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8BA05">
      <w:pPr>
        <w:spacing w:before="0" w:line="240" w:lineRule="auto"/>
        <w:rPr>
          <w:rFonts w:hint="default" w:ascii="Times New Roman" w:hAnsi="Times New Roman" w:eastAsia="Times New Roman" w:cs="Times New Roman"/>
          <w:color w:val="auto"/>
          <w:sz w:val="20"/>
          <w:szCs w:val="20"/>
        </w:rPr>
      </w:pPr>
    </w:p>
    <w:p w14:paraId="6EE0877B">
      <w:pPr>
        <w:spacing w:before="0" w:line="240" w:lineRule="auto"/>
        <w:rPr>
          <w:rFonts w:hint="default" w:ascii="Times New Roman" w:hAnsi="Times New Roman" w:eastAsia="Times New Roman" w:cs="Times New Roman"/>
          <w:color w:val="auto"/>
          <w:sz w:val="20"/>
          <w:szCs w:val="20"/>
        </w:rPr>
      </w:pPr>
    </w:p>
    <w:p w14:paraId="210C376B">
      <w:pPr>
        <w:spacing w:before="0" w:line="240" w:lineRule="auto"/>
        <w:rPr>
          <w:rFonts w:hint="default" w:ascii="Times New Roman" w:hAnsi="Times New Roman" w:eastAsia="Times New Roman" w:cs="Times New Roman"/>
          <w:color w:val="auto"/>
          <w:sz w:val="20"/>
          <w:szCs w:val="20"/>
        </w:rPr>
      </w:pPr>
    </w:p>
    <w:p w14:paraId="38F4156F">
      <w:pPr>
        <w:spacing w:before="0" w:line="240" w:lineRule="auto"/>
        <w:rPr>
          <w:rFonts w:hint="default" w:ascii="Times New Roman" w:hAnsi="Times New Roman" w:eastAsia="Times New Roman" w:cs="Times New Roman"/>
          <w:color w:val="auto"/>
          <w:sz w:val="20"/>
          <w:szCs w:val="20"/>
        </w:rPr>
      </w:pPr>
    </w:p>
    <w:p w14:paraId="11578261">
      <w:pPr>
        <w:spacing w:before="0" w:line="240" w:lineRule="auto"/>
        <w:rPr>
          <w:rFonts w:hint="default" w:ascii="Times New Roman" w:hAnsi="Times New Roman" w:eastAsia="Times New Roman" w:cs="Times New Roman"/>
          <w:color w:val="auto"/>
          <w:sz w:val="20"/>
          <w:szCs w:val="20"/>
        </w:rPr>
      </w:pPr>
    </w:p>
    <w:p w14:paraId="4CAC5E45">
      <w:pPr>
        <w:spacing w:before="0" w:line="240" w:lineRule="auto"/>
        <w:rPr>
          <w:rFonts w:hint="default" w:ascii="Times New Roman" w:hAnsi="Times New Roman" w:eastAsia="Times New Roman" w:cs="Times New Roman"/>
          <w:color w:val="auto"/>
          <w:sz w:val="20"/>
          <w:szCs w:val="20"/>
        </w:rPr>
      </w:pPr>
    </w:p>
    <w:p w14:paraId="3E4DBF26">
      <w:pPr>
        <w:spacing w:before="0" w:line="993" w:lineRule="exact"/>
        <w:ind w:left="552" w:right="294" w:firstLine="0"/>
        <w:jc w:val="center"/>
        <w:rPr>
          <w:rFonts w:hint="default" w:ascii="Times New Roman" w:hAnsi="Times New Roman" w:eastAsia="微软雅黑" w:cs="Times New Roman"/>
          <w:color w:val="auto"/>
          <w:sz w:val="72"/>
          <w:szCs w:val="72"/>
        </w:rPr>
      </w:pPr>
      <w:bookmarkStart w:id="0" w:name="建设项目环境影响报告表"/>
      <w:bookmarkEnd w:id="0"/>
      <w:r>
        <w:rPr>
          <w:rFonts w:hint="default" w:ascii="Times New Roman" w:hAnsi="Times New Roman" w:eastAsia="方正小标宋_GBK" w:cs="Times New Roman"/>
          <w:bCs/>
          <w:color w:val="auto"/>
          <w:sz w:val="72"/>
          <w:szCs w:val="72"/>
        </w:rPr>
        <w:t>建设项目环境影响报告表</w:t>
      </w:r>
    </w:p>
    <w:p w14:paraId="71D16A97">
      <w:pPr>
        <w:spacing w:before="256"/>
        <w:ind w:left="552" w:right="294" w:firstLine="0"/>
        <w:jc w:val="center"/>
        <w:rPr>
          <w:rFonts w:hint="default" w:ascii="Times New Roman" w:hAnsi="Times New Roman" w:eastAsia="楷体" w:cs="Times New Roman"/>
          <w:color w:val="auto"/>
          <w:sz w:val="48"/>
          <w:szCs w:val="48"/>
        </w:rPr>
      </w:pPr>
      <w:r>
        <w:rPr>
          <w:rFonts w:hint="default" w:ascii="Times New Roman" w:hAnsi="Times New Roman" w:eastAsia="楷体" w:cs="Times New Roman"/>
          <w:color w:val="auto"/>
          <w:sz w:val="48"/>
          <w:szCs w:val="48"/>
        </w:rPr>
        <w:t>（生态影响类）</w:t>
      </w:r>
      <w:bookmarkStart w:id="1" w:name="_GoBack"/>
      <w:bookmarkEnd w:id="1"/>
    </w:p>
    <w:p w14:paraId="3B7913EA">
      <w:pPr>
        <w:spacing w:before="0" w:line="240" w:lineRule="auto"/>
        <w:rPr>
          <w:rFonts w:hint="default" w:ascii="Times New Roman" w:hAnsi="Times New Roman" w:eastAsia="楷体" w:cs="Times New Roman"/>
          <w:color w:val="auto"/>
          <w:sz w:val="48"/>
          <w:szCs w:val="48"/>
        </w:rPr>
      </w:pPr>
    </w:p>
    <w:p w14:paraId="3AB901C5">
      <w:pPr>
        <w:spacing w:before="0" w:line="240" w:lineRule="auto"/>
        <w:rPr>
          <w:rFonts w:hint="default" w:ascii="Times New Roman" w:hAnsi="Times New Roman" w:eastAsia="楷体" w:cs="Times New Roman"/>
          <w:color w:val="auto"/>
          <w:sz w:val="48"/>
          <w:szCs w:val="48"/>
        </w:rPr>
      </w:pPr>
    </w:p>
    <w:p w14:paraId="3BC55853">
      <w:pPr>
        <w:spacing w:before="10" w:line="240" w:lineRule="auto"/>
        <w:rPr>
          <w:rFonts w:hint="default" w:ascii="Times New Roman" w:hAnsi="Times New Roman" w:eastAsia="楷体" w:cs="Times New Roman"/>
          <w:color w:val="auto"/>
          <w:sz w:val="61"/>
          <w:szCs w:val="61"/>
        </w:rPr>
      </w:pPr>
    </w:p>
    <w:p w14:paraId="36F544E1">
      <w:pPr>
        <w:tabs>
          <w:tab w:val="left" w:pos="2271"/>
          <w:tab w:val="left" w:pos="8569"/>
        </w:tabs>
        <w:spacing w:before="0"/>
        <w:ind w:right="0"/>
        <w:jc w:val="center"/>
        <w:rPr>
          <w:rFonts w:hint="default" w:ascii="Times New Roman" w:hAnsi="Times New Roman" w:eastAsia="仿宋" w:cs="Times New Roman"/>
          <w:color w:val="auto"/>
          <w:spacing w:val="-1"/>
          <w:sz w:val="36"/>
          <w:szCs w:val="36"/>
          <w:u w:val="single"/>
          <w:lang w:val="en-US" w:eastAsia="zh-CN"/>
        </w:rPr>
      </w:pPr>
      <w:r>
        <w:rPr>
          <w:rFonts w:hint="default" w:ascii="Times New Roman" w:hAnsi="Times New Roman" w:eastAsia="仿宋" w:cs="Times New Roman"/>
          <w:color w:val="auto"/>
          <w:spacing w:val="-1"/>
          <w:sz w:val="36"/>
          <w:szCs w:val="36"/>
        </w:rPr>
        <w:t>项目名称：</w:t>
      </w:r>
      <w:r>
        <w:rPr>
          <w:rFonts w:hint="default" w:ascii="Times New Roman" w:hAnsi="Times New Roman" w:eastAsia="仿宋" w:cs="Times New Roman"/>
          <w:color w:val="auto"/>
          <w:sz w:val="36"/>
          <w:szCs w:val="36"/>
          <w:highlight w:val="none"/>
          <w:u w:val="single" w:color="000000"/>
          <w:lang w:val="en-US" w:eastAsia="zh-CN"/>
        </w:rPr>
        <w:t>宁榆天然气评价项目组</w:t>
      </w:r>
      <w:r>
        <w:rPr>
          <w:rFonts w:hint="eastAsia" w:ascii="Times New Roman" w:hAnsi="Times New Roman" w:eastAsia="仿宋" w:cs="Times New Roman"/>
          <w:color w:val="auto"/>
          <w:sz w:val="36"/>
          <w:szCs w:val="36"/>
          <w:highlight w:val="none"/>
          <w:u w:val="single" w:color="000000"/>
          <w:lang w:val="en-US" w:eastAsia="zh-CN"/>
        </w:rPr>
        <w:t>米107-3MH评价</w:t>
      </w:r>
      <w:r>
        <w:rPr>
          <w:rFonts w:hint="default" w:ascii="Times New Roman" w:hAnsi="Times New Roman" w:eastAsia="仿宋" w:cs="Times New Roman"/>
          <w:color w:val="auto"/>
          <w:spacing w:val="-1"/>
          <w:sz w:val="36"/>
          <w:szCs w:val="36"/>
          <w:highlight w:val="none"/>
          <w:u w:val="single"/>
          <w:lang w:val="en-US" w:eastAsia="zh-CN"/>
        </w:rPr>
        <w:t>井建设项目</w:t>
      </w:r>
    </w:p>
    <w:p w14:paraId="38E1F6E8">
      <w:pPr>
        <w:tabs>
          <w:tab w:val="left" w:pos="8480"/>
        </w:tabs>
        <w:spacing w:before="90"/>
        <w:ind w:left="111" w:right="0" w:firstLine="0"/>
        <w:jc w:val="left"/>
        <w:rPr>
          <w:rFonts w:hint="default" w:ascii="Times New Roman" w:hAnsi="Times New Roman" w:eastAsia="仿宋" w:cs="Times New Roman"/>
          <w:color w:val="auto"/>
          <w:spacing w:val="-1"/>
          <w:sz w:val="36"/>
          <w:szCs w:val="36"/>
          <w:u w:val="single"/>
          <w:lang w:val="en-US" w:eastAsia="zh-CN"/>
        </w:rPr>
      </w:pPr>
      <w:r>
        <w:rPr>
          <w:rFonts w:hint="default" w:ascii="Times New Roman" w:hAnsi="Times New Roman" w:eastAsia="仿宋" w:cs="Times New Roman"/>
          <w:color w:val="auto"/>
          <w:sz w:val="36"/>
          <w:szCs w:val="36"/>
        </w:rPr>
        <w:t>建设单位（盖章）：</w:t>
      </w:r>
      <w:r>
        <w:rPr>
          <w:rFonts w:hint="default" w:ascii="Times New Roman" w:hAnsi="Times New Roman" w:eastAsia="仿宋" w:cs="Times New Roman"/>
          <w:color w:val="auto"/>
          <w:spacing w:val="-1"/>
          <w:sz w:val="36"/>
          <w:szCs w:val="36"/>
          <w:u w:val="single"/>
          <w:lang w:val="en-US" w:eastAsia="zh-CN"/>
        </w:rPr>
        <w:t xml:space="preserve"> 中国石油天然气股份有限公司 </w:t>
      </w:r>
      <w:r>
        <w:rPr>
          <w:rFonts w:hint="eastAsia"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lang w:val="en-US" w:eastAsia="zh-CN"/>
        </w:rPr>
        <w:tab/>
      </w:r>
    </w:p>
    <w:p w14:paraId="652C93E3">
      <w:pPr>
        <w:tabs>
          <w:tab w:val="left" w:pos="2991"/>
          <w:tab w:val="left" w:pos="8480"/>
        </w:tabs>
        <w:spacing w:before="88"/>
        <w:ind w:left="3346" w:leftChars="1521" w:right="0" w:firstLine="0" w:firstLineChars="0"/>
        <w:jc w:val="left"/>
        <w:rPr>
          <w:rFonts w:hint="default" w:ascii="Times New Roman" w:hAnsi="Times New Roman" w:eastAsia="Times New Roman" w:cs="Times New Roman"/>
          <w:color w:val="auto"/>
          <w:sz w:val="36"/>
          <w:szCs w:val="36"/>
          <w:lang w:val="en-US"/>
        </w:rPr>
      </w:pPr>
      <w:r>
        <w:rPr>
          <w:rFonts w:hint="default" w:ascii="Times New Roman" w:hAnsi="Times New Roman" w:eastAsia="仿宋" w:cs="Times New Roman"/>
          <w:color w:val="auto"/>
          <w:sz w:val="36"/>
          <w:szCs w:val="36"/>
          <w:u w:val="single" w:color="000000"/>
        </w:rPr>
        <w:t>长庆油田分公司</w:t>
      </w:r>
      <w:r>
        <w:rPr>
          <w:rFonts w:hint="default" w:ascii="Times New Roman" w:hAnsi="Times New Roman" w:eastAsia="仿宋" w:cs="Times New Roman"/>
          <w:color w:val="auto"/>
          <w:sz w:val="36"/>
          <w:szCs w:val="36"/>
          <w:u w:val="single" w:color="000000"/>
          <w:lang w:val="en-US" w:eastAsia="zh-CN"/>
        </w:rPr>
        <w:t xml:space="preserve">天然气评价项目部宁榆天然气评价项目组          </w:t>
      </w:r>
    </w:p>
    <w:p w14:paraId="0A308787">
      <w:pPr>
        <w:tabs>
          <w:tab w:val="left" w:pos="4071"/>
        </w:tabs>
        <w:spacing w:before="88"/>
        <w:ind w:left="111" w:right="0" w:firstLine="0"/>
        <w:jc w:val="left"/>
        <w:rPr>
          <w:rFonts w:hint="default" w:ascii="Times New Roman" w:hAnsi="Times New Roman" w:eastAsia="仿宋" w:cs="Times New Roman"/>
          <w:color w:val="auto"/>
          <w:sz w:val="36"/>
          <w:szCs w:val="36"/>
          <w:lang w:val="en-US" w:eastAsia="zh-CN"/>
        </w:rPr>
      </w:pPr>
      <w:r>
        <w:rPr>
          <w:rFonts w:hint="default" w:ascii="Times New Roman" w:hAnsi="Times New Roman" w:eastAsia="仿宋" w:cs="Times New Roman"/>
          <w:color w:val="auto"/>
          <w:sz w:val="36"/>
          <w:szCs w:val="36"/>
        </w:rPr>
        <w:t>编制日期：</w:t>
      </w:r>
      <w:r>
        <w:rPr>
          <w:rFonts w:hint="default" w:ascii="Times New Roman" w:hAnsi="Times New Roman" w:eastAsia="仿宋" w:cs="Times New Roman"/>
          <w:color w:val="auto"/>
          <w:sz w:val="36"/>
          <w:szCs w:val="36"/>
          <w:u w:val="single"/>
          <w:lang w:val="en-US" w:eastAsia="zh-CN"/>
        </w:rPr>
        <w:t xml:space="preserve">            202</w:t>
      </w:r>
      <w:r>
        <w:rPr>
          <w:rFonts w:hint="eastAsia"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lang w:val="en-US" w:eastAsia="zh-CN"/>
        </w:rPr>
        <w:t>年</w:t>
      </w:r>
      <w:r>
        <w:rPr>
          <w:rFonts w:hint="eastAsia"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lang w:val="en-US" w:eastAsia="zh-CN"/>
        </w:rPr>
        <w:t xml:space="preserve">月                </w:t>
      </w:r>
    </w:p>
    <w:p w14:paraId="29784C16">
      <w:pPr>
        <w:spacing w:line="20" w:lineRule="exact"/>
        <w:ind w:left="1902" w:right="0" w:firstLine="0"/>
        <w:rPr>
          <w:rFonts w:hint="default" w:ascii="Times New Roman" w:hAnsi="Times New Roman" w:eastAsia="仿宋" w:cs="Times New Roman"/>
          <w:color w:val="auto"/>
          <w:sz w:val="2"/>
          <w:szCs w:val="2"/>
        </w:rPr>
      </w:pPr>
    </w:p>
    <w:p w14:paraId="0EC6CA94">
      <w:pPr>
        <w:spacing w:before="0" w:line="240" w:lineRule="auto"/>
        <w:rPr>
          <w:rFonts w:hint="default" w:ascii="Times New Roman" w:hAnsi="Times New Roman" w:eastAsia="仿宋" w:cs="Times New Roman"/>
          <w:color w:val="auto"/>
          <w:sz w:val="20"/>
          <w:szCs w:val="20"/>
        </w:rPr>
      </w:pPr>
    </w:p>
    <w:p w14:paraId="7B360AE0">
      <w:pPr>
        <w:spacing w:before="0" w:line="240" w:lineRule="auto"/>
        <w:rPr>
          <w:rFonts w:hint="default" w:ascii="Times New Roman" w:hAnsi="Times New Roman" w:eastAsia="仿宋" w:cs="Times New Roman"/>
          <w:color w:val="auto"/>
          <w:sz w:val="20"/>
          <w:szCs w:val="20"/>
        </w:rPr>
      </w:pPr>
    </w:p>
    <w:p w14:paraId="42363B11">
      <w:pPr>
        <w:spacing w:before="0" w:line="240" w:lineRule="auto"/>
        <w:rPr>
          <w:rFonts w:hint="default" w:ascii="Times New Roman" w:hAnsi="Times New Roman" w:eastAsia="仿宋" w:cs="Times New Roman"/>
          <w:color w:val="auto"/>
          <w:sz w:val="20"/>
          <w:szCs w:val="20"/>
        </w:rPr>
      </w:pPr>
    </w:p>
    <w:p w14:paraId="1CB1F4BC">
      <w:pPr>
        <w:spacing w:before="0" w:line="240" w:lineRule="auto"/>
        <w:rPr>
          <w:rFonts w:hint="default" w:ascii="Times New Roman" w:hAnsi="Times New Roman" w:eastAsia="仿宋" w:cs="Times New Roman"/>
          <w:color w:val="auto"/>
          <w:sz w:val="20"/>
          <w:szCs w:val="20"/>
        </w:rPr>
      </w:pPr>
    </w:p>
    <w:p w14:paraId="1B6BA599">
      <w:pPr>
        <w:spacing w:before="0" w:line="240" w:lineRule="auto"/>
        <w:rPr>
          <w:rFonts w:hint="default" w:ascii="Times New Roman" w:hAnsi="Times New Roman" w:eastAsia="仿宋" w:cs="Times New Roman"/>
          <w:color w:val="auto"/>
          <w:sz w:val="20"/>
          <w:szCs w:val="20"/>
        </w:rPr>
      </w:pPr>
    </w:p>
    <w:p w14:paraId="298CD682">
      <w:pPr>
        <w:pStyle w:val="7"/>
        <w:rPr>
          <w:rFonts w:hint="default" w:ascii="Times New Roman" w:hAnsi="Times New Roman" w:eastAsia="仿宋" w:cs="Times New Roman"/>
          <w:color w:val="auto"/>
          <w:sz w:val="20"/>
          <w:szCs w:val="20"/>
        </w:rPr>
      </w:pPr>
    </w:p>
    <w:p w14:paraId="018806B9">
      <w:pPr>
        <w:pStyle w:val="9"/>
        <w:rPr>
          <w:rFonts w:hint="default"/>
          <w:color w:val="auto"/>
        </w:rPr>
      </w:pPr>
    </w:p>
    <w:p w14:paraId="127D4DB4">
      <w:pPr>
        <w:jc w:val="cente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t>中华人民共和国生态环境部制</w:t>
      </w:r>
    </w:p>
    <w:p w14:paraId="3C38A892">
      <w:pPr>
        <w:jc w:val="center"/>
        <w:rPr>
          <w:rFonts w:hint="default" w:ascii="Times New Roman" w:hAnsi="Times New Roman" w:eastAsia="楷体" w:cs="Times New Roman"/>
          <w:color w:val="auto"/>
          <w:sz w:val="36"/>
          <w:szCs w:val="36"/>
        </w:rPr>
      </w:pPr>
    </w:p>
    <w:p w14:paraId="01348EAF">
      <w:pPr>
        <w:jc w:val="center"/>
        <w:rPr>
          <w:rFonts w:hint="default" w:ascii="Times New Roman" w:hAnsi="Times New Roman" w:eastAsia="楷体" w:cs="Times New Roman"/>
          <w:color w:val="auto"/>
          <w:sz w:val="36"/>
          <w:szCs w:val="36"/>
        </w:rPr>
      </w:pPr>
    </w:p>
    <w:p w14:paraId="2C3D3783">
      <w:pPr>
        <w:jc w:val="center"/>
        <w:rPr>
          <w:rFonts w:hint="default" w:ascii="Times New Roman" w:hAnsi="Times New Roman" w:eastAsia="楷体" w:cs="Times New Roman"/>
          <w:color w:val="auto"/>
          <w:sz w:val="36"/>
          <w:szCs w:val="36"/>
        </w:rPr>
      </w:pPr>
    </w:p>
    <w:p w14:paraId="6F41A48E">
      <w:pPr>
        <w:jc w:val="center"/>
        <w:rPr>
          <w:rFonts w:hint="default" w:ascii="Times New Roman" w:hAnsi="Times New Roman" w:eastAsia="楷体" w:cs="Times New Roman"/>
          <w:color w:val="auto"/>
          <w:sz w:val="36"/>
          <w:szCs w:val="36"/>
        </w:rPr>
      </w:pPr>
    </w:p>
    <w:p w14:paraId="35763B49">
      <w:pPr>
        <w:jc w:val="center"/>
        <w:rPr>
          <w:rFonts w:hint="default" w:ascii="Times New Roman" w:hAnsi="Times New Roman" w:eastAsia="楷体" w:cs="Times New Roman"/>
          <w:color w:val="auto"/>
          <w:sz w:val="36"/>
          <w:szCs w:val="36"/>
        </w:rPr>
      </w:pPr>
    </w:p>
    <w:p w14:paraId="6C27868C">
      <w:pPr>
        <w:jc w:val="center"/>
        <w:rPr>
          <w:rFonts w:hint="default" w:ascii="Times New Roman" w:hAnsi="Times New Roman" w:eastAsia="楷体" w:cs="Times New Roman"/>
          <w:color w:val="auto"/>
          <w:sz w:val="36"/>
          <w:szCs w:val="36"/>
        </w:rPr>
      </w:pPr>
    </w:p>
    <w:p w14:paraId="23B37C77">
      <w:pPr>
        <w:jc w:val="center"/>
        <w:rPr>
          <w:rFonts w:hint="default" w:ascii="Times New Roman" w:hAnsi="Times New Roman" w:eastAsia="楷体" w:cs="Times New Roman"/>
          <w:color w:val="auto"/>
          <w:sz w:val="36"/>
          <w:szCs w:val="36"/>
        </w:rPr>
      </w:pPr>
    </w:p>
    <w:p w14:paraId="331C576A">
      <w:pPr>
        <w:jc w:val="center"/>
        <w:rPr>
          <w:rFonts w:hint="default" w:ascii="Times New Roman" w:hAnsi="Times New Roman" w:eastAsia="楷体" w:cs="Times New Roman"/>
          <w:color w:val="auto"/>
          <w:sz w:val="36"/>
          <w:szCs w:val="36"/>
        </w:rPr>
      </w:pPr>
    </w:p>
    <w:p w14:paraId="25FF0ED2">
      <w:pPr>
        <w:jc w:val="center"/>
        <w:rPr>
          <w:rFonts w:hint="default" w:ascii="Times New Roman" w:hAnsi="Times New Roman" w:eastAsia="楷体" w:cs="Times New Roman"/>
          <w:color w:val="auto"/>
          <w:sz w:val="36"/>
          <w:szCs w:val="36"/>
        </w:rPr>
      </w:pPr>
    </w:p>
    <w:p w14:paraId="0612BD3D">
      <w:pPr>
        <w:jc w:val="center"/>
        <w:rPr>
          <w:rFonts w:hint="default" w:ascii="Times New Roman" w:hAnsi="Times New Roman" w:eastAsia="楷体" w:cs="Times New Roman"/>
          <w:color w:val="auto"/>
          <w:sz w:val="36"/>
          <w:szCs w:val="36"/>
        </w:rPr>
      </w:pPr>
    </w:p>
    <w:p w14:paraId="7C10ECE0">
      <w:pPr>
        <w:jc w:val="center"/>
        <w:rPr>
          <w:rFonts w:hint="default" w:ascii="Times New Roman" w:hAnsi="Times New Roman" w:eastAsia="楷体" w:cs="Times New Roman"/>
          <w:color w:val="auto"/>
          <w:sz w:val="36"/>
          <w:szCs w:val="36"/>
        </w:rPr>
      </w:pPr>
    </w:p>
    <w:p w14:paraId="366A1B0F">
      <w:pPr>
        <w:jc w:val="center"/>
        <w:rPr>
          <w:rFonts w:hint="default" w:ascii="Times New Roman" w:hAnsi="Times New Roman" w:eastAsia="楷体" w:cs="Times New Roman"/>
          <w:color w:val="auto"/>
          <w:sz w:val="36"/>
          <w:szCs w:val="36"/>
        </w:rPr>
      </w:pPr>
    </w:p>
    <w:p w14:paraId="646083F6">
      <w:pPr>
        <w:jc w:val="center"/>
        <w:rPr>
          <w:rFonts w:hint="default" w:ascii="Times New Roman" w:hAnsi="Times New Roman" w:eastAsia="楷体" w:cs="Times New Roman"/>
          <w:color w:val="auto"/>
          <w:sz w:val="36"/>
          <w:szCs w:val="36"/>
        </w:rPr>
      </w:pPr>
    </w:p>
    <w:p w14:paraId="48177AEC">
      <w:pPr>
        <w:jc w:val="center"/>
        <w:rPr>
          <w:rFonts w:hint="default" w:ascii="Times New Roman" w:hAnsi="Times New Roman" w:eastAsia="楷体" w:cs="Times New Roman"/>
          <w:color w:val="auto"/>
          <w:sz w:val="36"/>
          <w:szCs w:val="36"/>
        </w:rPr>
      </w:pPr>
    </w:p>
    <w:p w14:paraId="66CB7378">
      <w:pPr>
        <w:jc w:val="center"/>
        <w:rPr>
          <w:rFonts w:hint="default" w:ascii="Times New Roman" w:hAnsi="Times New Roman" w:eastAsia="楷体" w:cs="Times New Roman"/>
          <w:color w:val="auto"/>
          <w:sz w:val="36"/>
          <w:szCs w:val="36"/>
        </w:rPr>
      </w:pPr>
    </w:p>
    <w:p w14:paraId="2DF9D5CF">
      <w:pPr>
        <w:jc w:val="center"/>
        <w:rPr>
          <w:rFonts w:hint="default" w:ascii="Times New Roman" w:hAnsi="Times New Roman" w:eastAsia="楷体" w:cs="Times New Roman"/>
          <w:color w:val="auto"/>
          <w:sz w:val="36"/>
          <w:szCs w:val="36"/>
        </w:rPr>
      </w:pPr>
    </w:p>
    <w:p w14:paraId="27483ABA">
      <w:pPr>
        <w:jc w:val="center"/>
        <w:rPr>
          <w:rFonts w:hint="default" w:ascii="Times New Roman" w:hAnsi="Times New Roman" w:eastAsia="楷体" w:cs="Times New Roman"/>
          <w:color w:val="auto"/>
          <w:sz w:val="36"/>
          <w:szCs w:val="36"/>
        </w:rPr>
      </w:pPr>
    </w:p>
    <w:p w14:paraId="466DAA50">
      <w:pPr>
        <w:jc w:val="center"/>
        <w:rPr>
          <w:rFonts w:hint="default" w:ascii="Times New Roman" w:hAnsi="Times New Roman" w:eastAsia="楷体" w:cs="Times New Roman"/>
          <w:color w:val="auto"/>
          <w:sz w:val="36"/>
          <w:szCs w:val="36"/>
        </w:rPr>
      </w:pPr>
    </w:p>
    <w:p w14:paraId="73850243">
      <w:pPr>
        <w:jc w:val="center"/>
        <w:rPr>
          <w:rFonts w:hint="default" w:ascii="Times New Roman" w:hAnsi="Times New Roman" w:eastAsia="楷体" w:cs="Times New Roman"/>
          <w:color w:val="auto"/>
          <w:sz w:val="36"/>
          <w:szCs w:val="36"/>
        </w:rPr>
      </w:pPr>
    </w:p>
    <w:p w14:paraId="160B0B19">
      <w:pPr>
        <w:jc w:val="center"/>
        <w:rPr>
          <w:rFonts w:hint="default" w:ascii="Times New Roman" w:hAnsi="Times New Roman" w:eastAsia="楷体" w:cs="Times New Roman"/>
          <w:color w:val="auto"/>
          <w:sz w:val="36"/>
          <w:szCs w:val="36"/>
        </w:rPr>
      </w:pPr>
    </w:p>
    <w:p w14:paraId="4A51F52B">
      <w:pPr>
        <w:jc w:val="both"/>
        <w:rPr>
          <w:rFonts w:hint="default" w:ascii="Times New Roman" w:hAnsi="Times New Roman" w:eastAsia="楷体" w:cs="Times New Roman"/>
          <w:color w:val="auto"/>
          <w:sz w:val="36"/>
          <w:szCs w:val="36"/>
        </w:rPr>
      </w:pPr>
    </w:p>
    <w:p w14:paraId="23A455BF">
      <w:pPr>
        <w:jc w:val="center"/>
        <w:rPr>
          <w:rFonts w:hint="default" w:ascii="Times New Roman" w:hAnsi="Times New Roman" w:eastAsia="楷体" w:cs="Times New Roman"/>
          <w:color w:val="auto"/>
          <w:sz w:val="36"/>
          <w:szCs w:val="36"/>
        </w:rPr>
      </w:pPr>
    </w:p>
    <w:p w14:paraId="350C9640">
      <w:pPr>
        <w:jc w:val="center"/>
        <w:rPr>
          <w:rFonts w:hint="default" w:ascii="Times New Roman" w:hAnsi="Times New Roman" w:eastAsia="黑体" w:cs="Times New Roman"/>
          <w:color w:val="auto"/>
          <w:sz w:val="28"/>
          <w:szCs w:val="28"/>
          <w:lang w:val="en-US" w:eastAsia="zh-CN"/>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38BF72A1">
      <w:pPr>
        <w:jc w:val="center"/>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一、建设项目基本情况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291"/>
        <w:gridCol w:w="2373"/>
        <w:gridCol w:w="3292"/>
      </w:tblGrid>
      <w:tr w14:paraId="3752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1154CD6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建设项目名称</w:t>
            </w:r>
          </w:p>
        </w:tc>
        <w:tc>
          <w:tcPr>
            <w:tcW w:w="4282" w:type="pct"/>
            <w:gridSpan w:val="3"/>
            <w:vAlign w:val="center"/>
          </w:tcPr>
          <w:p w14:paraId="6A1E9C7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宁榆天然气评价项目组</w:t>
            </w:r>
            <w:r>
              <w:rPr>
                <w:rFonts w:hint="eastAsia" w:ascii="Times New Roman" w:hAnsi="Times New Roman" w:eastAsia="宋体" w:cs="Times New Roman"/>
                <w:color w:val="auto"/>
                <w:sz w:val="21"/>
                <w:szCs w:val="21"/>
                <w:vertAlign w:val="baseline"/>
                <w:lang w:val="en-US" w:eastAsia="zh-CN"/>
              </w:rPr>
              <w:t>米107-3MH评价</w:t>
            </w:r>
            <w:r>
              <w:rPr>
                <w:rFonts w:hint="default" w:ascii="Times New Roman" w:hAnsi="Times New Roman" w:eastAsia="宋体" w:cs="Times New Roman"/>
                <w:color w:val="auto"/>
                <w:sz w:val="21"/>
                <w:szCs w:val="21"/>
                <w:vertAlign w:val="baseline"/>
                <w:lang w:val="en-US" w:eastAsia="zh-CN"/>
              </w:rPr>
              <w:t>井建设项目</w:t>
            </w:r>
          </w:p>
        </w:tc>
      </w:tr>
      <w:tr w14:paraId="6F84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0816FD0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项目代码</w:t>
            </w:r>
          </w:p>
        </w:tc>
        <w:tc>
          <w:tcPr>
            <w:tcW w:w="4282" w:type="pct"/>
            <w:gridSpan w:val="3"/>
            <w:vAlign w:val="center"/>
          </w:tcPr>
          <w:p w14:paraId="5880BDAC">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115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5B176C6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建设单位联系人</w:t>
            </w:r>
          </w:p>
        </w:tc>
        <w:tc>
          <w:tcPr>
            <w:tcW w:w="1233" w:type="pct"/>
            <w:vAlign w:val="center"/>
          </w:tcPr>
          <w:p w14:paraId="794C1992">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宋斌</w:t>
            </w:r>
          </w:p>
        </w:tc>
        <w:tc>
          <w:tcPr>
            <w:tcW w:w="1277" w:type="pct"/>
            <w:vAlign w:val="center"/>
          </w:tcPr>
          <w:p w14:paraId="51E01FB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联系方式</w:t>
            </w:r>
          </w:p>
        </w:tc>
        <w:tc>
          <w:tcPr>
            <w:tcW w:w="1771" w:type="pct"/>
            <w:vAlign w:val="center"/>
          </w:tcPr>
          <w:p w14:paraId="76BC104B">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13629575890</w:t>
            </w:r>
          </w:p>
        </w:tc>
      </w:tr>
      <w:tr w14:paraId="1B9A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44697D3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建设地点</w:t>
            </w:r>
          </w:p>
        </w:tc>
        <w:tc>
          <w:tcPr>
            <w:tcW w:w="4282" w:type="pct"/>
            <w:gridSpan w:val="3"/>
            <w:vAlign w:val="center"/>
          </w:tcPr>
          <w:p w14:paraId="31DE18D4">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米107-3MH：</w:t>
            </w:r>
            <w:r>
              <w:rPr>
                <w:rFonts w:hint="default" w:ascii="Times New Roman" w:hAnsi="Times New Roman" w:eastAsia="宋体" w:cs="Times New Roman"/>
                <w:color w:val="auto"/>
                <w:sz w:val="21"/>
                <w:szCs w:val="21"/>
                <w:u w:val="none"/>
                <w:vertAlign w:val="baseline"/>
                <w:lang w:val="en-US" w:eastAsia="zh-CN"/>
              </w:rPr>
              <w:t>陕西省榆林市</w:t>
            </w:r>
            <w:r>
              <w:rPr>
                <w:rFonts w:hint="eastAsia" w:ascii="Times New Roman" w:hAnsi="Times New Roman" w:eastAsia="宋体" w:cs="Times New Roman"/>
                <w:color w:val="auto"/>
                <w:sz w:val="21"/>
                <w:szCs w:val="21"/>
                <w:u w:val="none"/>
                <w:vertAlign w:val="baseline"/>
                <w:lang w:val="en-US" w:eastAsia="zh-CN"/>
              </w:rPr>
              <w:t>佳县通镇西梁峁村</w:t>
            </w:r>
          </w:p>
        </w:tc>
      </w:tr>
      <w:tr w14:paraId="1C92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0E9400E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地理坐标</w:t>
            </w:r>
          </w:p>
        </w:tc>
        <w:tc>
          <w:tcPr>
            <w:tcW w:w="4282" w:type="pct"/>
            <w:gridSpan w:val="3"/>
            <w:vAlign w:val="center"/>
          </w:tcPr>
          <w:p w14:paraId="6D0A1B9B">
            <w:pPr>
              <w:jc w:val="center"/>
              <w:rPr>
                <w:rFonts w:hint="default"/>
                <w:color w:val="auto"/>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东经：110°</w:t>
            </w:r>
            <w:r>
              <w:rPr>
                <w:rFonts w:hint="eastAsia" w:ascii="Times New Roman" w:hAnsi="Times New Roman" w:eastAsia="宋体" w:cs="Times New Roman"/>
                <w:color w:val="auto"/>
                <w:sz w:val="21"/>
                <w:szCs w:val="21"/>
                <w:highlight w:val="none"/>
                <w:u w:val="none"/>
                <w:vertAlign w:val="baseline"/>
                <w:lang w:val="en-US" w:eastAsia="zh-CN"/>
              </w:rPr>
              <w:t>19</w:t>
            </w:r>
            <w:r>
              <w:rPr>
                <w:rFonts w:hint="default" w:ascii="Times New Roman" w:hAnsi="Times New Roman" w:eastAsia="宋体" w:cs="Times New Roman"/>
                <w:color w:val="auto"/>
                <w:sz w:val="21"/>
                <w:szCs w:val="21"/>
                <w:highlight w:val="none"/>
                <w:u w:val="none"/>
                <w:vertAlign w:val="baseline"/>
                <w:lang w:val="en-US" w:eastAsia="zh-CN"/>
              </w:rPr>
              <w:t>′5</w:t>
            </w:r>
            <w:r>
              <w:rPr>
                <w:rFonts w:hint="eastAsia" w:ascii="Times New Roman" w:hAnsi="Times New Roman" w:eastAsia="宋体" w:cs="Times New Roman"/>
                <w:color w:val="auto"/>
                <w:sz w:val="21"/>
                <w:szCs w:val="21"/>
                <w:highlight w:val="none"/>
                <w:u w:val="none"/>
                <w:vertAlign w:val="baseline"/>
                <w:lang w:val="en-US" w:eastAsia="zh-CN"/>
              </w:rPr>
              <w:t>1</w:t>
            </w:r>
            <w:r>
              <w:rPr>
                <w:rFonts w:hint="default" w:ascii="Times New Roman" w:hAnsi="Times New Roman" w:eastAsia="宋体" w:cs="Times New Roman"/>
                <w:color w:val="auto"/>
                <w:sz w:val="21"/>
                <w:szCs w:val="21"/>
                <w:highlight w:val="none"/>
                <w:u w:val="none"/>
                <w:vertAlign w:val="baseline"/>
                <w:lang w:val="en-US" w:eastAsia="zh-CN"/>
              </w:rPr>
              <w:t>.</w:t>
            </w:r>
            <w:r>
              <w:rPr>
                <w:rFonts w:hint="eastAsia" w:ascii="Times New Roman" w:hAnsi="Times New Roman" w:eastAsia="宋体" w:cs="Times New Roman"/>
                <w:color w:val="auto"/>
                <w:sz w:val="21"/>
                <w:szCs w:val="21"/>
                <w:highlight w:val="none"/>
                <w:u w:val="none"/>
                <w:vertAlign w:val="baseline"/>
                <w:lang w:val="en-US" w:eastAsia="zh-CN"/>
              </w:rPr>
              <w:t>220</w:t>
            </w:r>
            <w:r>
              <w:rPr>
                <w:rFonts w:hint="default" w:ascii="Times New Roman" w:hAnsi="Times New Roman" w:eastAsia="宋体" w:cs="Times New Roman"/>
                <w:color w:val="auto"/>
                <w:sz w:val="21"/>
                <w:szCs w:val="21"/>
                <w:highlight w:val="none"/>
                <w:u w:val="none"/>
                <w:vertAlign w:val="baseline"/>
                <w:lang w:val="en-US" w:eastAsia="zh-CN"/>
              </w:rPr>
              <w:t>″，北纬：3</w:t>
            </w:r>
            <w:r>
              <w:rPr>
                <w:rFonts w:hint="eastAsia" w:ascii="Times New Roman" w:hAnsi="Times New Roman" w:eastAsia="宋体" w:cs="Times New Roman"/>
                <w:color w:val="auto"/>
                <w:sz w:val="21"/>
                <w:szCs w:val="21"/>
                <w:highlight w:val="none"/>
                <w:u w:val="none"/>
                <w:vertAlign w:val="baseline"/>
                <w:lang w:val="en-US" w:eastAsia="zh-CN"/>
              </w:rPr>
              <w:t>8</w:t>
            </w:r>
            <w:r>
              <w:rPr>
                <w:rFonts w:hint="default" w:ascii="Times New Roman" w:hAnsi="Times New Roman" w:eastAsia="宋体" w:cs="Times New Roman"/>
                <w:color w:val="auto"/>
                <w:sz w:val="21"/>
                <w:szCs w:val="21"/>
                <w:highlight w:val="none"/>
                <w:u w:val="none"/>
                <w:vertAlign w:val="baseline"/>
                <w:lang w:val="en-US" w:eastAsia="zh-CN"/>
              </w:rPr>
              <w:t>°</w:t>
            </w:r>
            <w:r>
              <w:rPr>
                <w:rFonts w:hint="eastAsia" w:ascii="Times New Roman" w:hAnsi="Times New Roman" w:eastAsia="宋体" w:cs="Times New Roman"/>
                <w:color w:val="auto"/>
                <w:sz w:val="21"/>
                <w:szCs w:val="21"/>
                <w:highlight w:val="none"/>
                <w:u w:val="none"/>
                <w:vertAlign w:val="baseline"/>
                <w:lang w:val="en-US" w:eastAsia="zh-CN"/>
              </w:rPr>
              <w:t>11</w:t>
            </w:r>
            <w:r>
              <w:rPr>
                <w:rFonts w:hint="default" w:ascii="Times New Roman" w:hAnsi="Times New Roman" w:eastAsia="宋体" w:cs="Times New Roman"/>
                <w:color w:val="auto"/>
                <w:sz w:val="21"/>
                <w:szCs w:val="21"/>
                <w:highlight w:val="none"/>
                <w:u w:val="none"/>
                <w:vertAlign w:val="baseline"/>
                <w:lang w:val="en-US" w:eastAsia="zh-CN"/>
              </w:rPr>
              <w:t>′</w:t>
            </w:r>
            <w:r>
              <w:rPr>
                <w:rFonts w:hint="eastAsia" w:ascii="Times New Roman" w:hAnsi="Times New Roman" w:eastAsia="宋体" w:cs="Times New Roman"/>
                <w:color w:val="auto"/>
                <w:sz w:val="21"/>
                <w:szCs w:val="21"/>
                <w:highlight w:val="none"/>
                <w:u w:val="none"/>
                <w:vertAlign w:val="baseline"/>
                <w:lang w:val="en-US" w:eastAsia="zh-CN"/>
              </w:rPr>
              <w:t>27</w:t>
            </w:r>
            <w:r>
              <w:rPr>
                <w:rFonts w:hint="default" w:ascii="Times New Roman" w:hAnsi="Times New Roman" w:eastAsia="宋体" w:cs="Times New Roman"/>
                <w:color w:val="auto"/>
                <w:sz w:val="21"/>
                <w:szCs w:val="21"/>
                <w:highlight w:val="none"/>
                <w:u w:val="none"/>
                <w:vertAlign w:val="baseline"/>
                <w:lang w:val="en-US" w:eastAsia="zh-CN"/>
              </w:rPr>
              <w:t>.</w:t>
            </w:r>
            <w:r>
              <w:rPr>
                <w:rFonts w:hint="eastAsia" w:ascii="Times New Roman" w:hAnsi="Times New Roman" w:eastAsia="宋体" w:cs="Times New Roman"/>
                <w:color w:val="auto"/>
                <w:sz w:val="21"/>
                <w:szCs w:val="21"/>
                <w:highlight w:val="none"/>
                <w:u w:val="none"/>
                <w:vertAlign w:val="baseline"/>
                <w:lang w:val="en-US" w:eastAsia="zh-CN"/>
              </w:rPr>
              <w:t>081</w:t>
            </w:r>
            <w:r>
              <w:rPr>
                <w:rFonts w:hint="default" w:ascii="Times New Roman" w:hAnsi="Times New Roman" w:eastAsia="宋体" w:cs="Times New Roman"/>
                <w:color w:val="auto"/>
                <w:sz w:val="21"/>
                <w:szCs w:val="21"/>
                <w:highlight w:val="none"/>
                <w:u w:val="none"/>
                <w:vertAlign w:val="baseline"/>
                <w:lang w:val="en-US" w:eastAsia="zh-CN"/>
              </w:rPr>
              <w:t>″</w:t>
            </w:r>
          </w:p>
        </w:tc>
      </w:tr>
      <w:tr w14:paraId="077B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33481E6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建设项目类别</w:t>
            </w:r>
          </w:p>
        </w:tc>
        <w:tc>
          <w:tcPr>
            <w:tcW w:w="1233" w:type="pct"/>
            <w:vAlign w:val="top"/>
          </w:tcPr>
          <w:p w14:paraId="02C66636">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四十六、专业技术服务</w:t>
            </w:r>
            <w:r>
              <w:rPr>
                <w:rFonts w:hint="eastAsia" w:ascii="Times New Roman" w:hAnsi="Times New Roman" w:eastAsia="宋体" w:cs="Times New Roman"/>
                <w:color w:val="auto"/>
                <w:sz w:val="21"/>
                <w:szCs w:val="21"/>
                <w:vertAlign w:val="baseline"/>
                <w:lang w:val="en-US" w:eastAsia="zh-CN"/>
              </w:rPr>
              <w:t>业</w:t>
            </w:r>
            <w:r>
              <w:rPr>
                <w:rFonts w:hint="default" w:ascii="Times New Roman" w:hAnsi="Times New Roman" w:eastAsia="宋体" w:cs="Times New Roman"/>
                <w:color w:val="auto"/>
                <w:sz w:val="21"/>
                <w:szCs w:val="21"/>
                <w:vertAlign w:val="baseline"/>
                <w:lang w:val="en-US" w:eastAsia="zh-CN"/>
              </w:rPr>
              <w:t>-99、陆地矿产资源地质勘察（含油气资源勘探）-全部</w:t>
            </w:r>
          </w:p>
        </w:tc>
        <w:tc>
          <w:tcPr>
            <w:tcW w:w="1277" w:type="pct"/>
            <w:vAlign w:val="center"/>
          </w:tcPr>
          <w:p w14:paraId="76E23274">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用地（用海）面积（m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）/长度（km）</w:t>
            </w:r>
          </w:p>
        </w:tc>
        <w:tc>
          <w:tcPr>
            <w:tcW w:w="1771" w:type="pct"/>
            <w:vAlign w:val="center"/>
          </w:tcPr>
          <w:p w14:paraId="7A6F3B56">
            <w:pPr>
              <w:jc w:val="center"/>
              <w:rPr>
                <w:rFonts w:hint="default"/>
                <w:color w:val="auto"/>
                <w:lang w:val="en-US" w:eastAsia="zh-CN"/>
              </w:rPr>
            </w:pPr>
            <w:r>
              <w:rPr>
                <w:rFonts w:hint="eastAsia" w:ascii="Times New Roman" w:hAnsi="Times New Roman" w:eastAsia="宋体" w:cs="Times New Roman"/>
                <w:color w:val="auto"/>
                <w:sz w:val="21"/>
                <w:szCs w:val="21"/>
                <w:vertAlign w:val="baseline"/>
                <w:lang w:val="en-US" w:eastAsia="zh-CN"/>
              </w:rPr>
              <w:t>12801.6</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p>
        </w:tc>
      </w:tr>
      <w:tr w14:paraId="5339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61A6AE78">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建设性质</w:t>
            </w:r>
          </w:p>
        </w:tc>
        <w:tc>
          <w:tcPr>
            <w:tcW w:w="1233" w:type="pct"/>
            <w:vAlign w:val="center"/>
          </w:tcPr>
          <w:p w14:paraId="00D92047">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新建（迁建）</w:t>
            </w:r>
          </w:p>
          <w:p w14:paraId="152E4797">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改建</w:t>
            </w:r>
          </w:p>
          <w:p w14:paraId="787D8663">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扩建</w:t>
            </w:r>
          </w:p>
          <w:p w14:paraId="3F731B92">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技术改造</w:t>
            </w:r>
          </w:p>
        </w:tc>
        <w:tc>
          <w:tcPr>
            <w:tcW w:w="1277" w:type="pct"/>
            <w:vAlign w:val="center"/>
          </w:tcPr>
          <w:p w14:paraId="5B949BF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建设项目</w:t>
            </w:r>
          </w:p>
          <w:p w14:paraId="3709A2C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申报情形</w:t>
            </w:r>
          </w:p>
        </w:tc>
        <w:tc>
          <w:tcPr>
            <w:tcW w:w="1771" w:type="pct"/>
            <w:vAlign w:val="top"/>
          </w:tcPr>
          <w:p w14:paraId="6B2BA492">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首次申报项目</w:t>
            </w:r>
          </w:p>
          <w:p w14:paraId="2AB7F42A">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不予批准后再次申报项目</w:t>
            </w:r>
          </w:p>
          <w:p w14:paraId="59FE85C1">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超过五年重新审核项目</w:t>
            </w:r>
          </w:p>
          <w:p w14:paraId="08173230">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重大变动重新报批项目</w:t>
            </w:r>
          </w:p>
        </w:tc>
      </w:tr>
      <w:tr w14:paraId="6CDD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pct"/>
            <w:vAlign w:val="center"/>
          </w:tcPr>
          <w:p w14:paraId="6A6C6F7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项目审批（核准/备案）部门（选填）</w:t>
            </w:r>
          </w:p>
        </w:tc>
        <w:tc>
          <w:tcPr>
            <w:tcW w:w="1233" w:type="pct"/>
            <w:vAlign w:val="center"/>
          </w:tcPr>
          <w:p w14:paraId="7255AF7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277" w:type="pct"/>
            <w:vAlign w:val="center"/>
          </w:tcPr>
          <w:p w14:paraId="3C3CAB57">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项目审批（核准/备案）文号（选填）</w:t>
            </w:r>
          </w:p>
        </w:tc>
        <w:tc>
          <w:tcPr>
            <w:tcW w:w="1771" w:type="pct"/>
            <w:vAlign w:val="center"/>
          </w:tcPr>
          <w:p w14:paraId="19BE676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33F7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19F0B6C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总投资（万元）</w:t>
            </w:r>
          </w:p>
        </w:tc>
        <w:tc>
          <w:tcPr>
            <w:tcW w:w="1233" w:type="pct"/>
            <w:vAlign w:val="center"/>
          </w:tcPr>
          <w:p w14:paraId="660FBA3E">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500</w:t>
            </w:r>
          </w:p>
        </w:tc>
        <w:tc>
          <w:tcPr>
            <w:tcW w:w="1277" w:type="pct"/>
            <w:vAlign w:val="center"/>
          </w:tcPr>
          <w:p w14:paraId="1B1DD3B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环保投资（万元）</w:t>
            </w:r>
          </w:p>
        </w:tc>
        <w:tc>
          <w:tcPr>
            <w:tcW w:w="1771" w:type="pct"/>
            <w:vAlign w:val="center"/>
          </w:tcPr>
          <w:p w14:paraId="41F18650">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54.5</w:t>
            </w:r>
          </w:p>
        </w:tc>
      </w:tr>
      <w:tr w14:paraId="3596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2FA79D2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环保投资占比（%）</w:t>
            </w:r>
          </w:p>
        </w:tc>
        <w:tc>
          <w:tcPr>
            <w:tcW w:w="1233" w:type="pct"/>
            <w:vAlign w:val="center"/>
          </w:tcPr>
          <w:p w14:paraId="1B3C30D9">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10.9</w:t>
            </w:r>
          </w:p>
        </w:tc>
        <w:tc>
          <w:tcPr>
            <w:tcW w:w="1277" w:type="pct"/>
            <w:vAlign w:val="center"/>
          </w:tcPr>
          <w:p w14:paraId="1BE678A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施工工期</w:t>
            </w:r>
          </w:p>
        </w:tc>
        <w:tc>
          <w:tcPr>
            <w:tcW w:w="1771" w:type="pct"/>
            <w:vAlign w:val="center"/>
          </w:tcPr>
          <w:p w14:paraId="18481F93">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w:t>
            </w:r>
            <w:r>
              <w:rPr>
                <w:rFonts w:hint="default" w:ascii="Times New Roman" w:hAnsi="Times New Roman" w:eastAsia="宋体" w:cs="Times New Roman"/>
                <w:color w:val="auto"/>
                <w:sz w:val="21"/>
                <w:szCs w:val="21"/>
                <w:vertAlign w:val="baseline"/>
                <w:lang w:val="en-US" w:eastAsia="zh-CN"/>
              </w:rPr>
              <w:t>天</w:t>
            </w:r>
          </w:p>
        </w:tc>
      </w:tr>
      <w:tr w14:paraId="7C95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top"/>
          </w:tcPr>
          <w:p w14:paraId="75F70A3F">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是否开工建设</w:t>
            </w:r>
          </w:p>
        </w:tc>
        <w:tc>
          <w:tcPr>
            <w:tcW w:w="4282" w:type="pct"/>
            <w:gridSpan w:val="3"/>
            <w:vAlign w:val="top"/>
          </w:tcPr>
          <w:p w14:paraId="08FC6D4F">
            <w:p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w:char="00FE"/>
            </w:r>
            <w:r>
              <w:rPr>
                <w:rFonts w:hint="default" w:ascii="Times New Roman" w:hAnsi="Times New Roman" w:eastAsia="宋体" w:cs="Times New Roman"/>
                <w:color w:val="auto"/>
                <w:sz w:val="21"/>
                <w:szCs w:val="21"/>
                <w:vertAlign w:val="baseline"/>
                <w:lang w:val="en-US" w:eastAsia="zh-CN"/>
              </w:rPr>
              <w:t>否</w:t>
            </w:r>
          </w:p>
          <w:p w14:paraId="2DEDA711">
            <w:pPr>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sym w:font="Wingdings" w:char="00A8"/>
            </w:r>
            <w:r>
              <w:rPr>
                <w:rFonts w:hint="default" w:ascii="Times New Roman" w:hAnsi="Times New Roman" w:eastAsia="宋体" w:cs="Times New Roman"/>
                <w:color w:val="auto"/>
                <w:sz w:val="21"/>
                <w:szCs w:val="21"/>
                <w:vertAlign w:val="baseline"/>
                <w:lang w:val="en-US" w:eastAsia="zh-CN"/>
              </w:rPr>
              <w:t>是：</w:t>
            </w:r>
            <w:r>
              <w:rPr>
                <w:rFonts w:hint="default" w:ascii="Times New Roman" w:hAnsi="Times New Roman" w:eastAsia="宋体" w:cs="Times New Roman"/>
                <w:color w:val="auto"/>
                <w:sz w:val="21"/>
                <w:szCs w:val="21"/>
                <w:u w:val="single"/>
                <w:vertAlign w:val="baseline"/>
                <w:lang w:val="en-US" w:eastAsia="zh-CN"/>
              </w:rPr>
              <w:t xml:space="preserve">                          </w:t>
            </w:r>
          </w:p>
        </w:tc>
      </w:tr>
      <w:tr w14:paraId="6FDB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top"/>
          </w:tcPr>
          <w:p w14:paraId="46A4097D">
            <w:pPr>
              <w:jc w:val="center"/>
              <w:rPr>
                <w:rFonts w:hint="default" w:ascii="Times New Roman" w:hAnsi="Times New Roman" w:eastAsia="宋体" w:cs="Times New Roman"/>
                <w:color w:val="auto"/>
                <w:sz w:val="21"/>
                <w:szCs w:val="21"/>
                <w:vertAlign w:val="baseline"/>
                <w:lang w:val="en-US" w:eastAsia="zh-CN"/>
              </w:rPr>
            </w:pPr>
          </w:p>
          <w:p w14:paraId="7B9AEE44">
            <w:pPr>
              <w:jc w:val="center"/>
              <w:rPr>
                <w:rFonts w:hint="default" w:ascii="Times New Roman" w:hAnsi="Times New Roman" w:eastAsia="宋体" w:cs="Times New Roman"/>
                <w:color w:val="auto"/>
                <w:sz w:val="21"/>
                <w:szCs w:val="21"/>
                <w:vertAlign w:val="baseline"/>
                <w:lang w:val="en-US" w:eastAsia="zh-CN"/>
              </w:rPr>
            </w:pPr>
          </w:p>
          <w:p w14:paraId="3FF69D3D">
            <w:pPr>
              <w:jc w:val="center"/>
              <w:rPr>
                <w:rFonts w:hint="default" w:ascii="Times New Roman" w:hAnsi="Times New Roman" w:eastAsia="宋体" w:cs="Times New Roman"/>
                <w:color w:val="auto"/>
                <w:sz w:val="21"/>
                <w:szCs w:val="21"/>
                <w:vertAlign w:val="baseline"/>
                <w:lang w:val="en-US" w:eastAsia="zh-CN"/>
              </w:rPr>
            </w:pPr>
          </w:p>
          <w:p w14:paraId="35159388">
            <w:pPr>
              <w:jc w:val="center"/>
              <w:rPr>
                <w:rFonts w:hint="default" w:ascii="Times New Roman" w:hAnsi="Times New Roman" w:eastAsia="宋体" w:cs="Times New Roman"/>
                <w:color w:val="auto"/>
                <w:sz w:val="21"/>
                <w:szCs w:val="21"/>
                <w:vertAlign w:val="baseline"/>
                <w:lang w:val="en-US" w:eastAsia="zh-CN"/>
              </w:rPr>
            </w:pPr>
          </w:p>
          <w:p w14:paraId="22AEC030">
            <w:pPr>
              <w:jc w:val="center"/>
              <w:rPr>
                <w:rFonts w:hint="default" w:ascii="Times New Roman" w:hAnsi="Times New Roman" w:eastAsia="宋体" w:cs="Times New Roman"/>
                <w:color w:val="auto"/>
                <w:sz w:val="21"/>
                <w:szCs w:val="21"/>
                <w:vertAlign w:val="baseline"/>
                <w:lang w:val="en-US" w:eastAsia="zh-CN"/>
              </w:rPr>
            </w:pPr>
          </w:p>
          <w:p w14:paraId="44069DDE">
            <w:pPr>
              <w:jc w:val="center"/>
              <w:rPr>
                <w:rFonts w:hint="default" w:ascii="Times New Roman" w:hAnsi="Times New Roman" w:eastAsia="宋体" w:cs="Times New Roman"/>
                <w:color w:val="auto"/>
                <w:sz w:val="21"/>
                <w:szCs w:val="21"/>
                <w:vertAlign w:val="baseline"/>
                <w:lang w:val="en-US" w:eastAsia="zh-CN"/>
              </w:rPr>
            </w:pPr>
          </w:p>
          <w:p w14:paraId="114DB104">
            <w:pPr>
              <w:jc w:val="center"/>
              <w:rPr>
                <w:rFonts w:hint="default" w:ascii="Times New Roman" w:hAnsi="Times New Roman" w:eastAsia="宋体" w:cs="Times New Roman"/>
                <w:color w:val="auto"/>
                <w:sz w:val="21"/>
                <w:szCs w:val="21"/>
                <w:vertAlign w:val="baseline"/>
                <w:lang w:val="en-US" w:eastAsia="zh-CN"/>
              </w:rPr>
            </w:pPr>
          </w:p>
          <w:p w14:paraId="1CBF4C6A">
            <w:pPr>
              <w:jc w:val="center"/>
              <w:rPr>
                <w:rFonts w:hint="default" w:ascii="Times New Roman" w:hAnsi="Times New Roman" w:eastAsia="宋体" w:cs="Times New Roman"/>
                <w:color w:val="auto"/>
                <w:sz w:val="21"/>
                <w:szCs w:val="21"/>
                <w:vertAlign w:val="baseline"/>
                <w:lang w:val="en-US" w:eastAsia="zh-CN"/>
              </w:rPr>
            </w:pPr>
          </w:p>
          <w:p w14:paraId="056000DD">
            <w:pPr>
              <w:jc w:val="center"/>
              <w:rPr>
                <w:rFonts w:hint="default" w:ascii="Times New Roman" w:hAnsi="Times New Roman" w:eastAsia="宋体" w:cs="Times New Roman"/>
                <w:color w:val="auto"/>
                <w:sz w:val="21"/>
                <w:szCs w:val="21"/>
                <w:vertAlign w:val="baseline"/>
                <w:lang w:val="en-US" w:eastAsia="zh-CN"/>
              </w:rPr>
            </w:pPr>
          </w:p>
          <w:p w14:paraId="39B8877C">
            <w:pPr>
              <w:jc w:val="center"/>
              <w:rPr>
                <w:rFonts w:hint="default" w:ascii="Times New Roman" w:hAnsi="Times New Roman" w:eastAsia="宋体" w:cs="Times New Roman"/>
                <w:color w:val="auto"/>
                <w:sz w:val="21"/>
                <w:szCs w:val="21"/>
                <w:vertAlign w:val="baseline"/>
                <w:lang w:val="en-US" w:eastAsia="zh-CN"/>
              </w:rPr>
            </w:pPr>
          </w:p>
          <w:p w14:paraId="6A04BCE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专项评价设置情况</w:t>
            </w:r>
          </w:p>
        </w:tc>
        <w:tc>
          <w:tcPr>
            <w:tcW w:w="4282" w:type="pct"/>
            <w:gridSpan w:val="3"/>
            <w:vAlign w:val="top"/>
          </w:tcPr>
          <w:p w14:paraId="2C50EF79">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表1-1   专项评价设置情况表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3594"/>
              <w:gridCol w:w="2181"/>
              <w:gridCol w:w="780"/>
            </w:tblGrid>
            <w:tr w14:paraId="59D0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8060D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专项评价的类别</w:t>
                  </w:r>
                </w:p>
              </w:tc>
              <w:tc>
                <w:tcPr>
                  <w:tcW w:w="2325" w:type="pct"/>
                  <w:vAlign w:val="center"/>
                </w:tcPr>
                <w:p w14:paraId="056E6C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涉及项目类别</w:t>
                  </w:r>
                </w:p>
              </w:tc>
              <w:tc>
                <w:tcPr>
                  <w:tcW w:w="1411" w:type="pct"/>
                  <w:vAlign w:val="center"/>
                </w:tcPr>
                <w:p w14:paraId="574062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本项目</w:t>
                  </w:r>
                </w:p>
              </w:tc>
              <w:tc>
                <w:tcPr>
                  <w:tcW w:w="504" w:type="pct"/>
                  <w:vAlign w:val="center"/>
                </w:tcPr>
                <w:p w14:paraId="78FF94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是否设置</w:t>
                  </w:r>
                </w:p>
              </w:tc>
            </w:tr>
            <w:tr w14:paraId="3856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7F478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地表水</w:t>
                  </w:r>
                </w:p>
              </w:tc>
              <w:tc>
                <w:tcPr>
                  <w:tcW w:w="2325" w:type="pct"/>
                  <w:vAlign w:val="center"/>
                </w:tcPr>
                <w:p w14:paraId="1717265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水利发电：引水式发电、涉及调峰发电的项目；</w:t>
                  </w:r>
                </w:p>
                <w:p w14:paraId="37B6F1F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人工湖、人工湿地：全部；</w:t>
                  </w:r>
                </w:p>
                <w:p w14:paraId="4D1C06B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水库：全部；</w:t>
                  </w:r>
                </w:p>
                <w:p w14:paraId="4B6A3DB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引水工程：全部（配套的管线工程等除外）；</w:t>
                  </w:r>
                </w:p>
                <w:p w14:paraId="59EF00B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防洪除涝工程：包含水库的项目</w:t>
                  </w:r>
                </w:p>
                <w:p w14:paraId="24B2451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河湖整治：涉及清淤且底泥存在重金属污染的项目</w:t>
                  </w:r>
                </w:p>
              </w:tc>
              <w:tc>
                <w:tcPr>
                  <w:tcW w:w="1411" w:type="pct"/>
                  <w:vAlign w:val="center"/>
                </w:tcPr>
                <w:p w14:paraId="308B7A3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井工程，不需开展地表水专项评价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1E6D80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237C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50D2F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地下水</w:t>
                  </w:r>
                </w:p>
              </w:tc>
              <w:tc>
                <w:tcPr>
                  <w:tcW w:w="2325" w:type="pct"/>
                  <w:vAlign w:val="center"/>
                </w:tcPr>
                <w:p w14:paraId="075EC92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陆地石油和天然气开采：全部；</w:t>
                  </w:r>
                </w:p>
                <w:p w14:paraId="031A8F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地下水（含矿泉水）开采：全部；</w:t>
                  </w:r>
                </w:p>
                <w:p w14:paraId="4E83341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水利、水电、交通等：含穿越可溶岩地层隧道的项目</w:t>
                  </w:r>
                </w:p>
              </w:tc>
              <w:tc>
                <w:tcPr>
                  <w:tcW w:w="1411" w:type="pct"/>
                  <w:vAlign w:val="center"/>
                </w:tcPr>
                <w:p w14:paraId="1505B96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井工程，不属于天然气开采，无需开展地下水专项评价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53D4DA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23BC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F8506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生态</w:t>
                  </w:r>
                </w:p>
              </w:tc>
              <w:tc>
                <w:tcPr>
                  <w:tcW w:w="2325" w:type="pct"/>
                  <w:vAlign w:val="center"/>
                </w:tcPr>
                <w:p w14:paraId="6E08470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涉及环境敏感区（不包括饮用水水源保护区，以居住、医疗卫生、文化教育、科研、行政办公为主要功能的区域，以及文物保护单位）的项目</w:t>
                  </w:r>
                </w:p>
              </w:tc>
              <w:tc>
                <w:tcPr>
                  <w:tcW w:w="1411" w:type="pct"/>
                  <w:vAlign w:val="center"/>
                </w:tcPr>
                <w:p w14:paraId="6A1C4F3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井工程，《建设项目环境影响评价分类管理名录》中针对该类项目无“敏感区”要求，同时本项目环境影响范围无以居住、医疗卫生、文化教育、科研、行政办公为主要功能的区域，以及文物保护单位）</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1303C8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4915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BBF2B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大气</w:t>
                  </w:r>
                </w:p>
              </w:tc>
              <w:tc>
                <w:tcPr>
                  <w:tcW w:w="2325" w:type="pct"/>
                  <w:vAlign w:val="center"/>
                </w:tcPr>
                <w:p w14:paraId="5A0105B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油气、液体化工码头：全部；</w:t>
                  </w:r>
                </w:p>
                <w:p w14:paraId="06DC39E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干散货（含煤炭、矿石）、件杂、多用途、通用码头：涉及粉尘、挥发性有机物排放的项目</w:t>
                  </w:r>
                </w:p>
              </w:tc>
              <w:tc>
                <w:tcPr>
                  <w:tcW w:w="1411" w:type="pct"/>
                  <w:vAlign w:val="center"/>
                </w:tcPr>
                <w:p w14:paraId="20CB448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井工程，不需开展</w:t>
                  </w:r>
                  <w:r>
                    <w:rPr>
                      <w:rFonts w:hint="eastAsia" w:ascii="Times New Roman" w:hAnsi="Times New Roman" w:cs="Times New Roman" w:eastAsiaTheme="minorEastAsia"/>
                      <w:color w:val="auto"/>
                      <w:sz w:val="21"/>
                      <w:szCs w:val="21"/>
                      <w:vertAlign w:val="baseline"/>
                      <w:lang w:val="en-US" w:eastAsia="zh-CN"/>
                    </w:rPr>
                    <w:t>大气</w:t>
                  </w:r>
                  <w:r>
                    <w:rPr>
                      <w:rFonts w:hint="default" w:ascii="Times New Roman" w:hAnsi="Times New Roman" w:cs="Times New Roman" w:eastAsiaTheme="minorEastAsia"/>
                      <w:color w:val="auto"/>
                      <w:sz w:val="21"/>
                      <w:szCs w:val="21"/>
                      <w:vertAlign w:val="baseline"/>
                      <w:lang w:val="en-US" w:eastAsia="zh-CN"/>
                    </w:rPr>
                    <w:t>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6FF5BB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否</w:t>
                  </w:r>
                </w:p>
              </w:tc>
            </w:tr>
            <w:tr w14:paraId="73C8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5EBA8C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噪声</w:t>
                  </w:r>
                </w:p>
              </w:tc>
              <w:tc>
                <w:tcPr>
                  <w:tcW w:w="2325" w:type="pct"/>
                  <w:vAlign w:val="center"/>
                </w:tcPr>
                <w:p w14:paraId="62C842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公路、铁路、机场等交通运输业涉及环境敏感区（以居住、医疗卫生、文化教育、科研、行政办公为主要功能的区域）的项目；</w:t>
                  </w:r>
                </w:p>
                <w:p w14:paraId="267FA71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城市道路（不含维护，不含支路、人行天桥、人行地道）：全部</w:t>
                  </w:r>
                </w:p>
              </w:tc>
              <w:tc>
                <w:tcPr>
                  <w:tcW w:w="1411" w:type="pct"/>
                  <w:vAlign w:val="center"/>
                </w:tcPr>
                <w:p w14:paraId="3110FB5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井工程，不需开展噪声专项评价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0111C2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r w14:paraId="51A9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70EDF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环境风险</w:t>
                  </w:r>
                </w:p>
              </w:tc>
              <w:tc>
                <w:tcPr>
                  <w:tcW w:w="2325" w:type="pct"/>
                  <w:vAlign w:val="center"/>
                </w:tcPr>
                <w:p w14:paraId="58E2DB6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石油和天然气开采：全部；</w:t>
                  </w:r>
                </w:p>
                <w:p w14:paraId="7A19207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油气、液体化工码头：全部；</w:t>
                  </w:r>
                </w:p>
                <w:p w14:paraId="253B08A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原油、成品油、天然气管线（不含城镇天然气管线、企业厂区内管线），危险化学品输送管线（不含企业厂区内管线）：全部</w:t>
                  </w:r>
                </w:p>
              </w:tc>
              <w:tc>
                <w:tcPr>
                  <w:tcW w:w="1411" w:type="pct"/>
                  <w:vAlign w:val="center"/>
                </w:tcPr>
                <w:p w14:paraId="42D52F7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本项目为天然气资源</w:t>
                  </w:r>
                  <w:r>
                    <w:rPr>
                      <w:rFonts w:hint="eastAsia" w:ascii="Times New Roman" w:hAnsi="Times New Roman" w:cs="Times New Roman" w:eastAsiaTheme="minorEastAsia"/>
                      <w:color w:val="auto"/>
                      <w:sz w:val="21"/>
                      <w:szCs w:val="21"/>
                      <w:vertAlign w:val="baseline"/>
                      <w:lang w:val="en-US" w:eastAsia="zh-CN"/>
                    </w:rPr>
                    <w:t>评价</w:t>
                  </w:r>
                  <w:r>
                    <w:rPr>
                      <w:rFonts w:hint="default" w:ascii="Times New Roman" w:hAnsi="Times New Roman" w:cs="Times New Roman" w:eastAsiaTheme="minorEastAsia"/>
                      <w:color w:val="auto"/>
                      <w:sz w:val="21"/>
                      <w:szCs w:val="21"/>
                      <w:vertAlign w:val="baseline"/>
                      <w:lang w:val="en-US" w:eastAsia="zh-CN"/>
                    </w:rPr>
                    <w:t>井工程，不属于天然气开采，无需开展环境风险专项评价</w:t>
                  </w:r>
                  <w:r>
                    <w:rPr>
                      <w:rFonts w:hint="eastAsia" w:ascii="Times New Roman" w:hAnsi="Times New Roman" w:cs="Times New Roman" w:eastAsiaTheme="minorEastAsia"/>
                      <w:color w:val="auto"/>
                      <w:sz w:val="21"/>
                      <w:szCs w:val="21"/>
                      <w:vertAlign w:val="baseline"/>
                      <w:lang w:val="en-US" w:eastAsia="zh-CN"/>
                    </w:rPr>
                    <w:t>。</w:t>
                  </w:r>
                </w:p>
              </w:tc>
              <w:tc>
                <w:tcPr>
                  <w:tcW w:w="504" w:type="pct"/>
                  <w:vAlign w:val="center"/>
                </w:tcPr>
                <w:p w14:paraId="7B16AD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否</w:t>
                  </w:r>
                </w:p>
              </w:tc>
            </w:tr>
          </w:tbl>
          <w:p w14:paraId="23AD27E7">
            <w:pPr>
              <w:jc w:val="both"/>
              <w:rPr>
                <w:rFonts w:hint="default" w:ascii="Times New Roman" w:hAnsi="Times New Roman" w:eastAsia="宋体" w:cs="Times New Roman"/>
                <w:color w:val="auto"/>
                <w:sz w:val="21"/>
                <w:szCs w:val="21"/>
                <w:vertAlign w:val="baseline"/>
                <w:lang w:val="en-US" w:eastAsia="zh-CN"/>
              </w:rPr>
            </w:pPr>
          </w:p>
        </w:tc>
      </w:tr>
      <w:tr w14:paraId="5023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664CBF8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规划情况</w:t>
            </w:r>
          </w:p>
        </w:tc>
        <w:tc>
          <w:tcPr>
            <w:tcW w:w="4282" w:type="pct"/>
            <w:gridSpan w:val="3"/>
            <w:vAlign w:val="center"/>
          </w:tcPr>
          <w:p w14:paraId="57B39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1、《陕西省矿产资源总体规划（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w:t>
            </w:r>
          </w:p>
          <w:p w14:paraId="6C87E8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审批情况：陕西省自然资源厅、陕西省发展和改革委员会关于印发《陕西省矿产资源总体规划（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年）》的通知（陕自然资发</w:t>
            </w:r>
            <w:r>
              <w:rPr>
                <w:rFonts w:hint="default" w:ascii="Times New Roman" w:hAnsi="Times New Roman" w:eastAsia="宋体" w:cs="Times New Roman"/>
                <w:color w:val="auto"/>
                <w:kern w:val="0"/>
                <w:sz w:val="24"/>
                <w:szCs w:val="24"/>
                <w:lang w:val="en-US" w:eastAsia="zh-CN" w:bidi="ar"/>
              </w:rPr>
              <w:t>[2022]40</w:t>
            </w:r>
            <w:r>
              <w:rPr>
                <w:rFonts w:hint="eastAsia" w:ascii="Times New Roman" w:hAnsi="Times New Roman" w:eastAsia="宋体" w:cs="Times New Roman"/>
                <w:color w:val="auto"/>
                <w:kern w:val="0"/>
                <w:sz w:val="24"/>
                <w:szCs w:val="24"/>
                <w:lang w:val="en-US" w:eastAsia="zh-CN" w:bidi="ar"/>
              </w:rPr>
              <w:t>号）</w:t>
            </w:r>
          </w:p>
          <w:p w14:paraId="60CF8A90">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《榆林市矿产资源总体规划（2021-2025年）》</w:t>
            </w:r>
          </w:p>
          <w:p w14:paraId="742F53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审批情况：榆林市人民政府办公室关于印发《榆林市矿产资源总体规划（2021-2025年）》的通知榆政发〔2023〕1号</w:t>
            </w:r>
          </w:p>
          <w:p w14:paraId="63138645">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w:t>
            </w:r>
          </w:p>
          <w:p w14:paraId="05A956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4"/>
                <w:szCs w:val="24"/>
                <w:lang w:val="en-US" w:eastAsia="zh-CN" w:bidi="ar"/>
              </w:rPr>
              <w:t>审批情况：佳县人民政府办公室关于印发《</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》的通知；2023年4月</w:t>
            </w:r>
          </w:p>
        </w:tc>
      </w:tr>
      <w:tr w14:paraId="1FBB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64FA46D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规划环境影响评价情况</w:t>
            </w:r>
          </w:p>
        </w:tc>
        <w:tc>
          <w:tcPr>
            <w:tcW w:w="4282" w:type="pct"/>
            <w:gridSpan w:val="3"/>
            <w:vAlign w:val="center"/>
          </w:tcPr>
          <w:p w14:paraId="5282A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年）环境影响报告书</w:t>
            </w:r>
          </w:p>
          <w:p w14:paraId="7BA35AB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审批情况：关于《陕西省矿产资源总体规划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环境影响报告书》的审查意见（环审</w:t>
            </w:r>
            <w:r>
              <w:rPr>
                <w:rFonts w:hint="default" w:ascii="Times New Roman" w:hAnsi="Times New Roman" w:eastAsia="宋体" w:cs="Times New Roman"/>
                <w:color w:val="auto"/>
                <w:kern w:val="0"/>
                <w:sz w:val="24"/>
                <w:szCs w:val="24"/>
                <w:lang w:val="en-US" w:eastAsia="zh-CN" w:bidi="ar"/>
              </w:rPr>
              <w:t>[2022]123</w:t>
            </w:r>
            <w:r>
              <w:rPr>
                <w:rFonts w:hint="eastAsia" w:ascii="Times New Roman" w:hAnsi="Times New Roman" w:eastAsia="宋体" w:cs="Times New Roman"/>
                <w:color w:val="auto"/>
                <w:kern w:val="0"/>
                <w:sz w:val="24"/>
                <w:szCs w:val="24"/>
                <w:lang w:val="en-US" w:eastAsia="zh-CN" w:bidi="ar"/>
              </w:rPr>
              <w:t>号）</w:t>
            </w:r>
          </w:p>
          <w:p w14:paraId="4E35D82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注：</w:t>
            </w:r>
            <w:r>
              <w:rPr>
                <w:rFonts w:hint="eastAsia" w:ascii="Times New Roman" w:hAnsi="Times New Roman" w:eastAsia="宋体" w:cs="Times New Roman"/>
                <w:color w:val="auto"/>
                <w:kern w:val="0"/>
                <w:sz w:val="24"/>
                <w:szCs w:val="24"/>
                <w:lang w:val="en-US" w:eastAsia="zh-CN" w:bidi="ar"/>
              </w:rPr>
              <w:t>《榆林市矿产资源总体规划（2021-2025年）》、《</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》未开展规划环评</w:t>
            </w:r>
          </w:p>
        </w:tc>
      </w:tr>
      <w:tr w14:paraId="6C30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center"/>
          </w:tcPr>
          <w:p w14:paraId="6CE7682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规划及规划环境影响评价符合性分析</w:t>
            </w:r>
          </w:p>
        </w:tc>
        <w:tc>
          <w:tcPr>
            <w:tcW w:w="4282" w:type="pct"/>
            <w:gridSpan w:val="3"/>
            <w:vAlign w:val="center"/>
          </w:tcPr>
          <w:p w14:paraId="00C67ED0">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4"/>
                <w:szCs w:val="24"/>
                <w:lang w:val="en-US" w:eastAsia="zh-CN" w:bidi="ar"/>
              </w:rPr>
              <w:t>项目与陕西省矿产资源总体规划及规划环评相符性分析见下表：</w:t>
            </w:r>
          </w:p>
          <w:p w14:paraId="317778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 xml:space="preserve">1-2   </w:t>
            </w:r>
            <w:r>
              <w:rPr>
                <w:rFonts w:hint="eastAsia" w:ascii="Times New Roman" w:hAnsi="Times New Roman" w:eastAsia="宋体" w:cs="Times New Roman"/>
                <w:b/>
                <w:bCs/>
                <w:color w:val="auto"/>
                <w:kern w:val="0"/>
                <w:sz w:val="21"/>
                <w:szCs w:val="21"/>
                <w:lang w:val="en-US" w:eastAsia="zh-CN" w:bidi="ar"/>
              </w:rPr>
              <w:t>项目与规划及规划环评符合性分析一览表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3327"/>
              <w:gridCol w:w="1975"/>
              <w:gridCol w:w="835"/>
            </w:tblGrid>
            <w:tr w14:paraId="7F6F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tcBorders>
                    <w:top w:val="single" w:color="auto" w:sz="4" w:space="0"/>
                    <w:left w:val="single" w:color="auto" w:sz="4" w:space="0"/>
                    <w:bottom w:val="single" w:color="auto" w:sz="4" w:space="0"/>
                    <w:right w:val="single" w:color="auto" w:sz="4" w:space="0"/>
                  </w:tcBorders>
                  <w:noWrap w:val="0"/>
                  <w:vAlign w:val="center"/>
                </w:tcPr>
                <w:p w14:paraId="64F9A68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文件名称</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417A96B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规划及规划环评相关要求</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530DF25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本项目情况</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2995569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符合性</w:t>
                  </w:r>
                </w:p>
              </w:tc>
            </w:tr>
            <w:tr w14:paraId="2EB8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restart"/>
                  <w:tcBorders>
                    <w:top w:val="single" w:color="auto" w:sz="4" w:space="0"/>
                    <w:left w:val="single" w:color="auto" w:sz="4" w:space="0"/>
                    <w:bottom w:val="single" w:color="auto" w:sz="4" w:space="0"/>
                    <w:right w:val="single" w:color="auto" w:sz="4" w:space="0"/>
                  </w:tcBorders>
                  <w:noWrap w:val="0"/>
                  <w:vAlign w:val="center"/>
                </w:tcPr>
                <w:p w14:paraId="3CB8A1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2A1B037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推动陕北能源转型升级发展。在鄂尔多斯盆地煤油气盐赋存区，加强石油、天然气、页岩气、煤层气等能源矿产的调查评价，加大石油、天然气勘探力度，稳步提高油气产能</w:t>
                  </w:r>
                </w:p>
              </w:tc>
              <w:tc>
                <w:tcPr>
                  <w:tcW w:w="1277" w:type="pct"/>
                  <w:vMerge w:val="restart"/>
                  <w:tcBorders>
                    <w:top w:val="single" w:color="auto" w:sz="4" w:space="0"/>
                    <w:left w:val="single" w:color="auto" w:sz="4" w:space="0"/>
                    <w:bottom w:val="single" w:color="auto" w:sz="4" w:space="0"/>
                    <w:right w:val="single" w:color="auto" w:sz="4" w:space="0"/>
                  </w:tcBorders>
                  <w:noWrap w:val="0"/>
                  <w:vAlign w:val="center"/>
                </w:tcPr>
                <w:p w14:paraId="7DFE269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项目气探井位于陕甘宁鄂尔多斯盆地煤油气盐赋存区，为天然气勘探井工程，项目的实施有助于加大勘探勘探力度</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促进天然气持续增产</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22AF64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6A85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5CCD211E">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1ACBC08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按照“稳油增气、常非并举”的部署，推进石油增储稳产、天然气增储扩产、煤层气增储上产。加强鄂尔多斯盆地油气勘查，加大页岩气、煤层气等非常规油气勘查力度，形成新的资源接续区</w:t>
                  </w:r>
                </w:p>
              </w:tc>
              <w:tc>
                <w:tcPr>
                  <w:tcW w:w="1277" w:type="pct"/>
                  <w:vMerge w:val="continue"/>
                  <w:tcBorders>
                    <w:top w:val="single" w:color="auto" w:sz="4" w:space="0"/>
                    <w:left w:val="single" w:color="auto" w:sz="4" w:space="0"/>
                    <w:bottom w:val="single" w:color="auto" w:sz="4" w:space="0"/>
                    <w:right w:val="single" w:color="auto" w:sz="4" w:space="0"/>
                  </w:tcBorders>
                  <w:noWrap w:val="0"/>
                  <w:vAlign w:val="center"/>
                </w:tcPr>
                <w:p w14:paraId="7369CC68">
                  <w:pPr>
                    <w:jc w:val="both"/>
                    <w:rPr>
                      <w:rFonts w:hint="default" w:ascii="Times New Roman" w:hAnsi="Times New Roman" w:cs="Times New Roman"/>
                      <w:color w:val="auto"/>
                      <w:sz w:val="20"/>
                      <w:szCs w:val="20"/>
                    </w:rPr>
                  </w:pPr>
                </w:p>
              </w:tc>
              <w:tc>
                <w:tcPr>
                  <w:tcW w:w="540" w:type="pct"/>
                  <w:tcBorders>
                    <w:top w:val="single" w:color="auto" w:sz="4" w:space="0"/>
                    <w:left w:val="single" w:color="auto" w:sz="4" w:space="0"/>
                    <w:bottom w:val="single" w:color="auto" w:sz="4" w:space="0"/>
                    <w:right w:val="single" w:color="auto" w:sz="4" w:space="0"/>
                  </w:tcBorders>
                  <w:noWrap w:val="0"/>
                  <w:vAlign w:val="center"/>
                </w:tcPr>
                <w:p w14:paraId="4E7CD64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58E4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78281F2C">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29F1E77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生态保护红线范围内原则上禁止不符合管控要求的矿产资源勘查开采</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658063F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根据项目榆林市投资项目选址</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一张图</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控制线检测报告，项目气探井不涉及生态红线</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E22B7F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1E27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030" w:type="pct"/>
                  <w:vMerge w:val="restart"/>
                  <w:tcBorders>
                    <w:top w:val="single" w:color="auto" w:sz="4" w:space="0"/>
                    <w:left w:val="single" w:color="auto" w:sz="4" w:space="0"/>
                    <w:bottom w:val="single" w:color="auto" w:sz="4" w:space="0"/>
                    <w:right w:val="single" w:color="auto" w:sz="4" w:space="0"/>
                  </w:tcBorders>
                  <w:noWrap w:val="0"/>
                  <w:vAlign w:val="center"/>
                </w:tcPr>
                <w:p w14:paraId="46CFA4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年）环境影响报告书</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6ED9330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围绕国家战略性矿产、我省优势和紧缺矿产，引导项目、资金等要素向国家规划矿区和重点勘查区投入，重点勘查石油、天然气、页岩气、煤层气、煤炭、地热、氦气、铁矿、锰矿、铜矿、镍矿、金矿、钴矿、晶质石墨、萤石等矿产</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1F0A39C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本项目位于陕西省榆林市佳县通镇，属于气探井建设项目</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55F51A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2B6B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1EDAB66E">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15B65BD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从环境本底调查、道路修建和场地平整、驻地建设与管理、勘查施工、环境修复等方面，降低或消除地质勘查对生态环境影响，实现地质勘查和生态环境保护协同共进</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1464F72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项目勘探施工过程在划定的施工区建设，利用现有道路，土石方平衡，结束后将采取相应措施对临时占地全部进行恢复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6EAF68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6C63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41D653B4">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1B9DFCA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生态保护红线原则上按禁止开发区域的要求进行管理，严禁不符合主体功能定位的各类开发活动，严禁任意改变用途，确保区域生态保护红线的生态功能不降低、面积不减少、性质不改变，维护国家生态安全。认真贯彻落实《中办国办关于划定并严守生态保护红线的若干意见》，严守生态保护红线，依法遵守环境敏感区规定，加强规划空间管制，合法开展矿产资源勘查和开发利用与保护，确保包括生态保护红线在内的生态空间面积不减少、功能不减低、性质不改变</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3A449E5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根据榆林市投资项目选址“一张图”控制线检测报告，项目气探井未占用生态保护红线</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1B91B6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19CE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452B4816">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0A655D0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对位于一般生态空间和水、大气、土壤等优先保护区内现有矿业权，矿产资源勘查开发应严格落实各类生态空间和优先保护区的管控要求，严格控制矿产资源勘查开采活动范围和强度，保证该单元生态系统结构和主要功能不受破坏</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78E9B0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根据《陕西省“三线一单”生态环境管控单元对照分析报告》，本项目涉及一般管控单元、优先保护单元，项目严格落实污染治理设施，不会破坏生态系统的结构和主要功能</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EC9260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521C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5949057E">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5E49BB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探矿活动结束后，应根据景观相似原则，对探矿活动造成的土壤、植被和地表景观破坏进行恢复</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1495004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项目施工结束后将采取相应措施对临时占地全部进行恢复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7B6E851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735F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tcBorders>
                    <w:top w:val="single" w:color="auto" w:sz="4" w:space="0"/>
                    <w:left w:val="single" w:color="auto" w:sz="4" w:space="0"/>
                    <w:bottom w:val="single" w:color="auto" w:sz="4" w:space="0"/>
                    <w:right w:val="single" w:color="auto" w:sz="4" w:space="0"/>
                  </w:tcBorders>
                  <w:noWrap w:val="0"/>
                  <w:vAlign w:val="center"/>
                </w:tcPr>
                <w:p w14:paraId="446FBE1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年）环境影响报告书审查意见</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58696AC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严格环境准入，保护区域生态功能。按照陕西省生态环境分区管控方案、生态环境保护规划等新要求，与大气环境优先保护区、水环境优先保护区、农用地优先保护区等存在空间重叠的现有矿业权、勘查规划区块、开采规划区块等，应严格执行相应管控要求，控制勘查、开采活动范围和强度，严格执行绿色勘查、绿色开采及矿山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有关生态功能区的不良环境影响</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3ED052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本项目气探井不占用禁止开发区，不涉及生物多样性保护优先区域、国家重点生态功能区、国家重要生态功能区、水源涵养区、水土流失重点防治区等区域矿产资源开发活动；</w:t>
                  </w:r>
                  <w:r>
                    <w:rPr>
                      <w:rFonts w:hint="default" w:ascii="Times New Roman" w:hAnsi="Times New Roman" w:eastAsia="宋体" w:cs="Times New Roman"/>
                      <w:color w:val="auto"/>
                      <w:sz w:val="21"/>
                      <w:szCs w:val="21"/>
                      <w:highlight w:val="none"/>
                      <w:lang w:eastAsia="zh-CN"/>
                    </w:rPr>
                    <w:t>项目仅为天然气勘探，勘探结束后将采取相应措</w:t>
                  </w:r>
                  <w:r>
                    <w:rPr>
                      <w:rFonts w:hint="eastAsia" w:ascii="宋体" w:hAnsi="宋体" w:eastAsia="宋体" w:cs="宋体"/>
                      <w:color w:val="auto"/>
                      <w:sz w:val="21"/>
                      <w:szCs w:val="21"/>
                      <w:lang w:eastAsia="zh-CN"/>
                    </w:rPr>
                    <w:t>施进行恢复，可防止加剧对有关生态功能区的不良环境影响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BC094F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bl>
          <w:p w14:paraId="6E1686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r>
      <w:tr w14:paraId="267F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vAlign w:val="top"/>
          </w:tcPr>
          <w:p w14:paraId="004A8030">
            <w:pPr>
              <w:jc w:val="center"/>
              <w:rPr>
                <w:rFonts w:hint="default" w:ascii="Times New Roman" w:hAnsi="Times New Roman" w:eastAsia="宋体" w:cs="Times New Roman"/>
                <w:color w:val="auto"/>
                <w:sz w:val="21"/>
                <w:szCs w:val="21"/>
                <w:vertAlign w:val="baseline"/>
                <w:lang w:val="en-US" w:eastAsia="zh-CN"/>
              </w:rPr>
            </w:pPr>
          </w:p>
          <w:p w14:paraId="08C1AA3C">
            <w:pPr>
              <w:jc w:val="center"/>
              <w:rPr>
                <w:rFonts w:hint="default" w:ascii="Times New Roman" w:hAnsi="Times New Roman" w:eastAsia="宋体" w:cs="Times New Roman"/>
                <w:color w:val="auto"/>
                <w:sz w:val="21"/>
                <w:szCs w:val="21"/>
                <w:vertAlign w:val="baseline"/>
                <w:lang w:val="en-US" w:eastAsia="zh-CN"/>
              </w:rPr>
            </w:pPr>
          </w:p>
          <w:p w14:paraId="6D894A38">
            <w:pPr>
              <w:jc w:val="center"/>
              <w:rPr>
                <w:rFonts w:hint="default" w:ascii="Times New Roman" w:hAnsi="Times New Roman" w:eastAsia="宋体" w:cs="Times New Roman"/>
                <w:color w:val="auto"/>
                <w:sz w:val="21"/>
                <w:szCs w:val="21"/>
                <w:vertAlign w:val="baseline"/>
                <w:lang w:val="en-US" w:eastAsia="zh-CN"/>
              </w:rPr>
            </w:pPr>
          </w:p>
          <w:p w14:paraId="0C1EBAC3">
            <w:pPr>
              <w:jc w:val="center"/>
              <w:rPr>
                <w:rFonts w:hint="default" w:ascii="Times New Roman" w:hAnsi="Times New Roman" w:eastAsia="宋体" w:cs="Times New Roman"/>
                <w:color w:val="auto"/>
                <w:sz w:val="21"/>
                <w:szCs w:val="21"/>
                <w:vertAlign w:val="baseline"/>
                <w:lang w:val="en-US" w:eastAsia="zh-CN"/>
              </w:rPr>
            </w:pPr>
          </w:p>
          <w:p w14:paraId="26FBE00B">
            <w:pPr>
              <w:jc w:val="center"/>
              <w:rPr>
                <w:rFonts w:hint="default" w:ascii="Times New Roman" w:hAnsi="Times New Roman" w:eastAsia="宋体" w:cs="Times New Roman"/>
                <w:color w:val="auto"/>
                <w:sz w:val="21"/>
                <w:szCs w:val="21"/>
                <w:vertAlign w:val="baseline"/>
                <w:lang w:val="en-US" w:eastAsia="zh-CN"/>
              </w:rPr>
            </w:pPr>
          </w:p>
          <w:p w14:paraId="33A3CBD1">
            <w:pPr>
              <w:jc w:val="center"/>
              <w:rPr>
                <w:rFonts w:hint="default" w:ascii="Times New Roman" w:hAnsi="Times New Roman" w:eastAsia="宋体" w:cs="Times New Roman"/>
                <w:color w:val="auto"/>
                <w:sz w:val="21"/>
                <w:szCs w:val="21"/>
                <w:vertAlign w:val="baseline"/>
                <w:lang w:val="en-US" w:eastAsia="zh-CN"/>
              </w:rPr>
            </w:pPr>
          </w:p>
          <w:p w14:paraId="50D5AD24">
            <w:pPr>
              <w:jc w:val="center"/>
              <w:rPr>
                <w:rFonts w:hint="default" w:ascii="Times New Roman" w:hAnsi="Times New Roman" w:eastAsia="宋体" w:cs="Times New Roman"/>
                <w:color w:val="auto"/>
                <w:sz w:val="21"/>
                <w:szCs w:val="21"/>
                <w:vertAlign w:val="baseline"/>
                <w:lang w:val="en-US" w:eastAsia="zh-CN"/>
              </w:rPr>
            </w:pPr>
          </w:p>
          <w:p w14:paraId="01F414EE">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其他符合性分析</w:t>
            </w:r>
          </w:p>
        </w:tc>
        <w:tc>
          <w:tcPr>
            <w:tcW w:w="4282" w:type="pct"/>
            <w:gridSpan w:val="3"/>
            <w:vAlign w:val="top"/>
          </w:tcPr>
          <w:p w14:paraId="561C00B1">
            <w:pPr>
              <w:ind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1、产业政策符合性分析</w:t>
            </w:r>
          </w:p>
          <w:p w14:paraId="6FC3C0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本项目属于天然气勘探项目，根据《产业结构调整指导目录》（2024年本），属于鼓励类中的“七、石油天然气-1、石油天然气开采：常规石油、天然气勘探与开采”。因此，项目建设符合国家和地方产业政策。</w:t>
            </w:r>
          </w:p>
          <w:p w14:paraId="001ADE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根据《榆林市石油天然气开发协调领导小组办公室关于同意天然气项目建设计划的通知》（榆油协办发〔2025〕17号）</w:t>
            </w:r>
            <w:r>
              <w:rPr>
                <w:rFonts w:hint="eastAsia" w:ascii="Times New Roman" w:hAnsi="Times New Roman" w:eastAsia="宋体" w:cs="Times New Roman"/>
                <w:color w:val="auto"/>
                <w:sz w:val="24"/>
                <w:szCs w:val="24"/>
                <w:vertAlign w:val="baseline"/>
                <w:lang w:val="en-US" w:eastAsia="zh-CN"/>
              </w:rPr>
              <w:t>和</w:t>
            </w:r>
            <w:r>
              <w:rPr>
                <w:rFonts w:hint="default" w:ascii="Times New Roman" w:hAnsi="Times New Roman" w:eastAsia="宋体" w:cs="Times New Roman"/>
                <w:color w:val="auto"/>
                <w:sz w:val="24"/>
                <w:szCs w:val="24"/>
                <w:vertAlign w:val="baseline"/>
                <w:lang w:val="en-US" w:eastAsia="zh-CN"/>
              </w:rPr>
              <w:t>202</w:t>
            </w:r>
            <w:r>
              <w:rPr>
                <w:rFonts w:hint="eastAsia" w:ascii="Times New Roman" w:hAnsi="Times New Roman" w:eastAsia="宋体" w:cs="Times New Roman"/>
                <w:color w:val="auto"/>
                <w:sz w:val="24"/>
                <w:szCs w:val="24"/>
                <w:vertAlign w:val="baseline"/>
                <w:lang w:val="en-US" w:eastAsia="zh-CN"/>
              </w:rPr>
              <w:t>5</w:t>
            </w:r>
            <w:r>
              <w:rPr>
                <w:rFonts w:hint="default" w:ascii="Times New Roman" w:hAnsi="Times New Roman" w:eastAsia="宋体" w:cs="Times New Roman"/>
                <w:color w:val="auto"/>
                <w:sz w:val="24"/>
                <w:szCs w:val="24"/>
                <w:vertAlign w:val="baseline"/>
                <w:lang w:val="en-US" w:eastAsia="zh-CN"/>
              </w:rPr>
              <w:t>年</w:t>
            </w:r>
            <w:r>
              <w:rPr>
                <w:rFonts w:hint="eastAsia" w:ascii="Times New Roman" w:hAnsi="Times New Roman" w:eastAsia="宋体" w:cs="Times New Roman"/>
                <w:color w:val="auto"/>
                <w:sz w:val="24"/>
                <w:szCs w:val="24"/>
                <w:vertAlign w:val="baseline"/>
                <w:lang w:val="en-US" w:eastAsia="zh-CN"/>
              </w:rPr>
              <w:t>4</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eastAsia="宋体" w:cs="Times New Roman"/>
                <w:color w:val="auto"/>
                <w:sz w:val="24"/>
                <w:szCs w:val="24"/>
                <w:vertAlign w:val="baseline"/>
                <w:lang w:val="en-US" w:eastAsia="zh-CN"/>
              </w:rPr>
              <w:t>24</w:t>
            </w:r>
            <w:r>
              <w:rPr>
                <w:rFonts w:hint="default" w:ascii="Times New Roman" w:hAnsi="Times New Roman" w:eastAsia="宋体" w:cs="Times New Roman"/>
                <w:color w:val="auto"/>
                <w:sz w:val="24"/>
                <w:szCs w:val="24"/>
                <w:vertAlign w:val="baseline"/>
                <w:lang w:val="en-US" w:eastAsia="zh-CN"/>
              </w:rPr>
              <w:t>日</w:t>
            </w:r>
            <w:r>
              <w:rPr>
                <w:rFonts w:hint="eastAsia" w:ascii="Times New Roman" w:hAnsi="Times New Roman" w:eastAsia="宋体" w:cs="Times New Roman"/>
                <w:color w:val="auto"/>
                <w:sz w:val="24"/>
                <w:szCs w:val="24"/>
                <w:vertAlign w:val="baseline"/>
                <w:lang w:val="en-US" w:eastAsia="zh-CN"/>
              </w:rPr>
              <w:t>佳县人民政府专项问题会议纪要第18次</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2025年第三次油气工作专题会会议纪要</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中原则</w:t>
            </w:r>
            <w:r>
              <w:rPr>
                <w:rFonts w:hint="default" w:ascii="Times New Roman" w:hAnsi="Times New Roman" w:eastAsia="宋体" w:cs="Times New Roman"/>
                <w:color w:val="auto"/>
                <w:sz w:val="24"/>
                <w:szCs w:val="24"/>
                <w:vertAlign w:val="baseline"/>
                <w:lang w:val="en-US" w:eastAsia="zh-CN"/>
              </w:rPr>
              <w:t>同意</w:t>
            </w:r>
            <w:r>
              <w:rPr>
                <w:rFonts w:hint="eastAsia" w:ascii="Times New Roman" w:hAnsi="Times New Roman" w:eastAsia="宋体" w:cs="Times New Roman"/>
                <w:color w:val="auto"/>
                <w:sz w:val="24"/>
                <w:szCs w:val="24"/>
                <w:vertAlign w:val="baseline"/>
                <w:lang w:val="en-US" w:eastAsia="zh-CN"/>
              </w:rPr>
              <w:t>长庆油田分公司天然气评价项目部</w:t>
            </w:r>
            <w:r>
              <w:rPr>
                <w:rFonts w:hint="default" w:ascii="Times New Roman" w:hAnsi="Times New Roman" w:eastAsia="宋体" w:cs="Times New Roman"/>
                <w:color w:val="auto"/>
                <w:sz w:val="24"/>
                <w:szCs w:val="24"/>
                <w:vertAlign w:val="baseline"/>
                <w:lang w:val="en-US" w:eastAsia="zh-CN"/>
              </w:rPr>
              <w:t>在</w:t>
            </w:r>
            <w:r>
              <w:rPr>
                <w:rFonts w:hint="eastAsia" w:ascii="Times New Roman" w:hAnsi="Times New Roman" w:eastAsia="宋体" w:cs="Times New Roman"/>
                <w:color w:val="auto"/>
                <w:sz w:val="24"/>
                <w:szCs w:val="24"/>
                <w:vertAlign w:val="baseline"/>
                <w:lang w:val="en-US" w:eastAsia="zh-CN"/>
              </w:rPr>
              <w:t>佳县通镇</w:t>
            </w:r>
            <w:r>
              <w:rPr>
                <w:rFonts w:hint="default" w:ascii="Times New Roman" w:hAnsi="Times New Roman" w:eastAsia="宋体" w:cs="Times New Roman"/>
                <w:color w:val="auto"/>
                <w:sz w:val="24"/>
                <w:szCs w:val="24"/>
                <w:vertAlign w:val="baseline"/>
                <w:lang w:val="en-US" w:eastAsia="zh-CN"/>
              </w:rPr>
              <w:t>新建</w:t>
            </w:r>
            <w:r>
              <w:rPr>
                <w:rFonts w:hint="eastAsia" w:ascii="Times New Roman" w:hAnsi="Times New Roman" w:eastAsia="宋体" w:cs="Times New Roman"/>
                <w:color w:val="auto"/>
                <w:sz w:val="24"/>
                <w:szCs w:val="24"/>
                <w:vertAlign w:val="baseline"/>
                <w:lang w:val="en-US" w:eastAsia="zh-CN"/>
              </w:rPr>
              <w:t>米107-3MH</w:t>
            </w:r>
            <w:r>
              <w:rPr>
                <w:rFonts w:hint="default" w:ascii="Times New Roman" w:hAnsi="Times New Roman" w:eastAsia="宋体" w:cs="Times New Roman"/>
                <w:color w:val="auto"/>
                <w:sz w:val="24"/>
                <w:szCs w:val="24"/>
                <w:vertAlign w:val="baseline"/>
                <w:lang w:val="en-US" w:eastAsia="zh-CN"/>
              </w:rPr>
              <w:t>井，进行天然气</w:t>
            </w:r>
            <w:r>
              <w:rPr>
                <w:rFonts w:hint="eastAsia" w:ascii="Times New Roman" w:hAnsi="Times New Roman" w:eastAsia="宋体" w:cs="Times New Roman"/>
                <w:color w:val="auto"/>
                <w:sz w:val="24"/>
                <w:szCs w:val="24"/>
                <w:vertAlign w:val="baseline"/>
                <w:lang w:val="en-US" w:eastAsia="zh-CN"/>
              </w:rPr>
              <w:t>评价建设</w:t>
            </w:r>
            <w:r>
              <w:rPr>
                <w:rFonts w:hint="default" w:ascii="Times New Roman" w:hAnsi="Times New Roman" w:eastAsia="宋体" w:cs="Times New Roman"/>
                <w:color w:val="auto"/>
                <w:sz w:val="24"/>
                <w:szCs w:val="24"/>
                <w:vertAlign w:val="baseline"/>
                <w:lang w:val="en-US" w:eastAsia="zh-CN"/>
              </w:rPr>
              <w:t>。</w:t>
            </w:r>
          </w:p>
          <w:p w14:paraId="5CC8142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2、项目与榆林市“多规合一”符合性分析</w:t>
            </w:r>
          </w:p>
          <w:p w14:paraId="4E000003">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根据榆林市“多规合一”辅助决策服务窗口针对本项目出具的《榆林市投资项目选址“一张图”控制线检测报告》（编号：202</w:t>
            </w:r>
            <w:r>
              <w:rPr>
                <w:rFonts w:hint="eastAsia"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2297</w:t>
            </w:r>
            <w:r>
              <w:rPr>
                <w:rFonts w:hint="default" w:ascii="Times New Roman" w:hAnsi="Times New Roman" w:eastAsia="宋体" w:cs="Times New Roman"/>
                <w:bCs/>
                <w:color w:val="auto"/>
                <w:sz w:val="24"/>
                <w:szCs w:val="24"/>
                <w:lang w:val="en-US" w:eastAsia="zh-CN"/>
              </w:rPr>
              <w:t>）号，详见附件）可知，本项目占地范围不涉及生态保护红线、永久基本农田及文物保护线，项目相关检测符合性分析见表1-2。</w:t>
            </w:r>
          </w:p>
          <w:p w14:paraId="3D172C6E">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表1-2  本项目与榆林市“一张图”控制线检测报告符合性分析表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82"/>
              <w:gridCol w:w="2810"/>
              <w:gridCol w:w="1732"/>
              <w:gridCol w:w="1439"/>
              <w:gridCol w:w="661"/>
            </w:tblGrid>
            <w:tr w14:paraId="5FAD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noWrap w:val="0"/>
                  <w:vAlign w:val="center"/>
                </w:tcPr>
                <w:p w14:paraId="42CA24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井场</w:t>
                  </w:r>
                </w:p>
              </w:tc>
              <w:tc>
                <w:tcPr>
                  <w:tcW w:w="1818" w:type="pct"/>
                  <w:noWrap w:val="0"/>
                  <w:vAlign w:val="center"/>
                </w:tcPr>
                <w:p w14:paraId="397901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控制线名称</w:t>
                  </w:r>
                </w:p>
              </w:tc>
              <w:tc>
                <w:tcPr>
                  <w:tcW w:w="1121" w:type="pct"/>
                  <w:noWrap w:val="0"/>
                  <w:vAlign w:val="center"/>
                </w:tcPr>
                <w:p w14:paraId="6BA227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本项目情况</w:t>
                  </w:r>
                </w:p>
              </w:tc>
              <w:tc>
                <w:tcPr>
                  <w:tcW w:w="931" w:type="pct"/>
                  <w:noWrap w:val="0"/>
                  <w:vAlign w:val="center"/>
                </w:tcPr>
                <w:p w14:paraId="7C9098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采取措施</w:t>
                  </w:r>
                </w:p>
              </w:tc>
              <w:tc>
                <w:tcPr>
                  <w:tcW w:w="428" w:type="pct"/>
                  <w:noWrap w:val="0"/>
                  <w:vAlign w:val="center"/>
                </w:tcPr>
                <w:p w14:paraId="19A450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7371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noWrap w:val="0"/>
                  <w:vAlign w:val="center"/>
                </w:tcPr>
                <w:p w14:paraId="70A850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米107-3MH井</w:t>
                  </w:r>
                </w:p>
              </w:tc>
              <w:tc>
                <w:tcPr>
                  <w:tcW w:w="1818" w:type="pct"/>
                  <w:noWrap w:val="0"/>
                  <w:vAlign w:val="center"/>
                </w:tcPr>
                <w:p w14:paraId="35231A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noWrap w:val="0"/>
                  <w:vAlign w:val="center"/>
                </w:tcPr>
                <w:p w14:paraId="2EBC27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38AF06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6D2868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1F89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51E908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p>
              </w:tc>
              <w:tc>
                <w:tcPr>
                  <w:tcW w:w="1818" w:type="pct"/>
                  <w:noWrap w:val="0"/>
                  <w:vAlign w:val="center"/>
                </w:tcPr>
                <w:p w14:paraId="20915E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特殊管控范围分析</w:t>
                  </w:r>
                </w:p>
              </w:tc>
              <w:tc>
                <w:tcPr>
                  <w:tcW w:w="1827" w:type="dxa"/>
                  <w:noWrap w:val="0"/>
                  <w:vAlign w:val="center"/>
                </w:tcPr>
                <w:p w14:paraId="43E679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1518" w:type="dxa"/>
                  <w:noWrap w:val="0"/>
                  <w:vAlign w:val="center"/>
                </w:tcPr>
                <w:p w14:paraId="004398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698" w:type="dxa"/>
                  <w:noWrap w:val="0"/>
                  <w:vAlign w:val="center"/>
                </w:tcPr>
                <w:p w14:paraId="028C46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5D62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23E55B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35B46D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榆阳机场净空区域分析</w:t>
                  </w:r>
                </w:p>
              </w:tc>
              <w:tc>
                <w:tcPr>
                  <w:tcW w:w="1121" w:type="pct"/>
                  <w:noWrap w:val="0"/>
                  <w:vAlign w:val="center"/>
                </w:tcPr>
                <w:p w14:paraId="3D6973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5C4800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6A43E2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1D86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5417A6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7D63E0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noWrap w:val="0"/>
                  <w:vAlign w:val="center"/>
                </w:tcPr>
                <w:p w14:paraId="05396C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230AD8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76E7DA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552D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6" w:hRule="atLeast"/>
                <w:jc w:val="center"/>
              </w:trPr>
              <w:tc>
                <w:tcPr>
                  <w:tcW w:w="700" w:type="pct"/>
                  <w:vMerge w:val="continue"/>
                  <w:noWrap w:val="0"/>
                  <w:vAlign w:val="center"/>
                </w:tcPr>
                <w:p w14:paraId="734DD9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41CB32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noWrap w:val="0"/>
                  <w:vAlign w:val="center"/>
                </w:tcPr>
                <w:p w14:paraId="7996DB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占用林地</w:t>
                  </w:r>
                  <w:r>
                    <w:rPr>
                      <w:rFonts w:hint="eastAsia" w:ascii="Times New Roman" w:hAnsi="Times New Roman" w:eastAsia="宋体" w:cs="Times New Roman"/>
                      <w:bCs/>
                      <w:color w:val="auto"/>
                      <w:sz w:val="21"/>
                      <w:szCs w:val="21"/>
                      <w:vertAlign w:val="baseline"/>
                      <w:lang w:val="en-US" w:eastAsia="zh-CN"/>
                    </w:rPr>
                    <w:t>0.2701</w:t>
                  </w:r>
                  <w:r>
                    <w:rPr>
                      <w:rFonts w:hint="default" w:ascii="Times New Roman" w:hAnsi="Times New Roman" w:eastAsia="宋体" w:cs="Times New Roman"/>
                      <w:bCs/>
                      <w:color w:val="auto"/>
                      <w:sz w:val="21"/>
                      <w:szCs w:val="21"/>
                      <w:vertAlign w:val="baseline"/>
                      <w:lang w:val="en-US" w:eastAsia="zh-CN"/>
                    </w:rPr>
                    <w:t>公顷</w:t>
                  </w:r>
                  <w:r>
                    <w:rPr>
                      <w:rFonts w:hint="eastAsia" w:ascii="Times New Roman" w:hAnsi="Times New Roman" w:eastAsia="宋体" w:cs="Times New Roman"/>
                      <w:bCs/>
                      <w:color w:val="auto"/>
                      <w:sz w:val="21"/>
                      <w:szCs w:val="21"/>
                      <w:vertAlign w:val="baseline"/>
                      <w:lang w:val="en-US" w:eastAsia="zh-CN"/>
                    </w:rPr>
                    <w:t>，占用非林地1.0100公顷</w:t>
                  </w:r>
                </w:p>
              </w:tc>
              <w:tc>
                <w:tcPr>
                  <w:tcW w:w="931" w:type="pct"/>
                  <w:noWrap w:val="0"/>
                  <w:vAlign w:val="center"/>
                </w:tcPr>
                <w:p w14:paraId="39019D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noWrap w:val="0"/>
                  <w:vAlign w:val="center"/>
                </w:tcPr>
                <w:p w14:paraId="29B80A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3E4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0F886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0CA09C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noWrap w:val="0"/>
                  <w:vAlign w:val="center"/>
                </w:tcPr>
                <w:p w14:paraId="0D87EC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16FB59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0A6042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4363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FE9C2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2D3C1A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noWrap w:val="0"/>
                  <w:vAlign w:val="center"/>
                </w:tcPr>
                <w:p w14:paraId="123696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054604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2CC84B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492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6E2781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27C2EE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noWrap w:val="0"/>
                  <w:vAlign w:val="center"/>
                </w:tcPr>
                <w:p w14:paraId="5DD700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751082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74323A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453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0B8F31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8" w:type="pct"/>
                  <w:noWrap w:val="0"/>
                  <w:vAlign w:val="center"/>
                </w:tcPr>
                <w:p w14:paraId="092390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noWrap w:val="0"/>
                  <w:vAlign w:val="center"/>
                </w:tcPr>
                <w:p w14:paraId="754B51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占用</w:t>
                  </w:r>
                  <w:r>
                    <w:rPr>
                      <w:rFonts w:hint="default" w:ascii="Times New Roman" w:hAnsi="Times New Roman" w:cs="Times New Roman"/>
                      <w:bCs/>
                      <w:color w:val="auto"/>
                      <w:sz w:val="21"/>
                      <w:szCs w:val="21"/>
                      <w:vertAlign w:val="baseline"/>
                      <w:lang w:val="en-US" w:eastAsia="zh-CN"/>
                    </w:rPr>
                    <w:t>林地</w:t>
                  </w:r>
                  <w:r>
                    <w:rPr>
                      <w:rFonts w:hint="eastAsia" w:ascii="Times New Roman" w:hAnsi="Times New Roman" w:cs="Times New Roman"/>
                      <w:bCs/>
                      <w:color w:val="auto"/>
                      <w:sz w:val="21"/>
                      <w:szCs w:val="21"/>
                      <w:vertAlign w:val="baseline"/>
                      <w:lang w:val="en-US" w:eastAsia="zh-CN"/>
                    </w:rPr>
                    <w:t>0.7104</w:t>
                  </w:r>
                  <w:r>
                    <w:rPr>
                      <w:rFonts w:hint="default" w:ascii="Times New Roman" w:hAnsi="Times New Roman" w:cs="Times New Roman"/>
                      <w:bCs/>
                      <w:color w:val="auto"/>
                      <w:sz w:val="21"/>
                      <w:szCs w:val="21"/>
                      <w:vertAlign w:val="baseline"/>
                      <w:lang w:val="en-US" w:eastAsia="zh-CN"/>
                    </w:rPr>
                    <w:t>公顷、</w:t>
                  </w:r>
                  <w:r>
                    <w:rPr>
                      <w:rFonts w:hint="eastAsia" w:ascii="Times New Roman" w:hAnsi="Times New Roman" w:cs="Times New Roman"/>
                      <w:bCs/>
                      <w:color w:val="auto"/>
                      <w:sz w:val="21"/>
                      <w:szCs w:val="21"/>
                      <w:vertAlign w:val="baseline"/>
                      <w:lang w:val="en-US" w:eastAsia="zh-CN"/>
                    </w:rPr>
                    <w:t>草地0.2996公顷、种植园用地0.2702公顷</w:t>
                  </w:r>
                </w:p>
              </w:tc>
              <w:tc>
                <w:tcPr>
                  <w:tcW w:w="931" w:type="pct"/>
                  <w:noWrap w:val="0"/>
                  <w:vAlign w:val="center"/>
                </w:tcPr>
                <w:p w14:paraId="727D42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noWrap w:val="0"/>
                  <w:vAlign w:val="center"/>
                </w:tcPr>
                <w:p w14:paraId="1E5577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bl>
          <w:p w14:paraId="33880BCA">
            <w:pPr>
              <w:pStyle w:val="26"/>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由上表可知，项目建设主要占用林地、种植园用地</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草地，已与自然资源规划部门及林业局对接，勘探后如有开采价值依法办理自然资源规划部门相关手续。</w:t>
            </w:r>
          </w:p>
          <w:p w14:paraId="5A121A1C">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综上所述，项目建设基本符合榆林市投资项目选址“一张图”控制线报告要求。</w:t>
            </w:r>
          </w:p>
          <w:p w14:paraId="55235FA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3、项目与“三线一单”符合性分析</w:t>
            </w:r>
          </w:p>
          <w:p w14:paraId="1E0A13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陕西省“三线一单”生态环境分区管控应用技术指南：环境影响评价（试行）》（陕环办发〔2022〕76号文），建设项目环评文件涉及“三线一单”生态环境分区管控符合性分析采取“一图一表一说明”的表达方式，对照分析结果，论证建设的符合性。</w:t>
            </w:r>
          </w:p>
          <w:p w14:paraId="563945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①一图</w:t>
            </w:r>
          </w:p>
          <w:p w14:paraId="4D4A4F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根据《榆林市“三线一单”生态环境分区管控方案》，结合“陕西省‘三线一单’数据应用管理平台”分析，本项目</w:t>
            </w:r>
            <w:r>
              <w:rPr>
                <w:rFonts w:hint="eastAsia" w:ascii="Times New Roman" w:hAnsi="Times New Roman" w:eastAsia="宋体" w:cs="Times New Roman"/>
                <w:color w:val="auto"/>
                <w:sz w:val="24"/>
                <w:szCs w:val="24"/>
                <w:highlight w:val="none"/>
                <w:lang w:val="en-US" w:eastAsia="zh-CN"/>
              </w:rPr>
              <w:t>米107-3MH井</w:t>
            </w:r>
            <w:r>
              <w:rPr>
                <w:rFonts w:hint="default" w:ascii="Times New Roman" w:hAnsi="Times New Roman" w:eastAsia="宋体" w:cs="Times New Roman"/>
                <w:color w:val="auto"/>
                <w:sz w:val="24"/>
                <w:szCs w:val="24"/>
                <w:highlight w:val="none"/>
                <w:lang w:val="en-US" w:eastAsia="zh-CN"/>
              </w:rPr>
              <w:t>位于</w:t>
            </w:r>
            <w:r>
              <w:rPr>
                <w:rFonts w:hint="eastAsia" w:ascii="Times New Roman" w:hAnsi="Times New Roman" w:eastAsia="宋体" w:cs="Times New Roman"/>
                <w:color w:val="auto"/>
                <w:sz w:val="24"/>
                <w:szCs w:val="24"/>
                <w:highlight w:val="none"/>
                <w:lang w:val="en-US" w:eastAsia="zh-CN"/>
              </w:rPr>
              <w:t>一般</w:t>
            </w:r>
            <w:r>
              <w:rPr>
                <w:rFonts w:hint="default" w:ascii="Times New Roman" w:hAnsi="Times New Roman" w:eastAsia="宋体" w:cs="Times New Roman"/>
                <w:color w:val="auto"/>
                <w:sz w:val="24"/>
                <w:szCs w:val="24"/>
                <w:highlight w:val="none"/>
                <w:lang w:val="en-US" w:eastAsia="zh-CN"/>
              </w:rPr>
              <w:t>管控单元，项目选址与榆林市“三线一单”生态环境分区管控的位置关系如下：</w:t>
            </w:r>
          </w:p>
          <w:p w14:paraId="66540F76">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rPr>
            </w:pPr>
            <w:r>
              <w:rPr>
                <w:color w:val="auto"/>
              </w:rPr>
              <w:drawing>
                <wp:inline distT="0" distB="0" distL="114300" distR="114300">
                  <wp:extent cx="5153660" cy="7289165"/>
                  <wp:effectExtent l="0" t="0" r="8890"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7"/>
                          <a:stretch>
                            <a:fillRect/>
                          </a:stretch>
                        </pic:blipFill>
                        <pic:spPr>
                          <a:xfrm>
                            <a:off x="0" y="0"/>
                            <a:ext cx="5153660" cy="7289165"/>
                          </a:xfrm>
                          <a:prstGeom prst="rect">
                            <a:avLst/>
                          </a:prstGeom>
                          <a:noFill/>
                          <a:ln>
                            <a:noFill/>
                          </a:ln>
                        </pic:spPr>
                      </pic:pic>
                    </a:graphicData>
                  </a:graphic>
                </wp:inline>
              </w:drawing>
            </w:r>
          </w:p>
          <w:p w14:paraId="7C378C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图1-1 本项目</w:t>
            </w:r>
            <w:r>
              <w:rPr>
                <w:rFonts w:hint="eastAsia" w:ascii="Times New Roman" w:hAnsi="Times New Roman" w:eastAsia="宋体" w:cs="Times New Roman"/>
                <w:b/>
                <w:bCs/>
                <w:color w:val="auto"/>
                <w:sz w:val="21"/>
                <w:szCs w:val="21"/>
                <w:highlight w:val="none"/>
                <w:lang w:val="en-US" w:eastAsia="zh-CN"/>
              </w:rPr>
              <w:t>米107-3MH与</w:t>
            </w:r>
            <w:r>
              <w:rPr>
                <w:rFonts w:hint="default" w:ascii="Times New Roman" w:hAnsi="Times New Roman" w:eastAsia="宋体" w:cs="Times New Roman"/>
                <w:b/>
                <w:bCs/>
                <w:color w:val="auto"/>
                <w:sz w:val="21"/>
                <w:szCs w:val="21"/>
                <w:highlight w:val="none"/>
                <w:lang w:val="en-US" w:eastAsia="zh-CN"/>
              </w:rPr>
              <w:t>榆林市“三线一单”生态空间管控对照图</w:t>
            </w:r>
          </w:p>
          <w:p w14:paraId="056979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②一表</w:t>
            </w:r>
          </w:p>
          <w:p w14:paraId="2C529CF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表1-</w:t>
            </w:r>
            <w:r>
              <w:rPr>
                <w:rFonts w:hint="eastAsia" w:ascii="Times New Roman" w:hAnsi="Times New Roman" w:eastAsia="宋体"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lang w:val="en-US" w:eastAsia="zh-CN"/>
              </w:rPr>
              <w:t xml:space="preserve"> 项目与榆林“三线一单”管控单元比对成果</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903"/>
              <w:gridCol w:w="1994"/>
              <w:gridCol w:w="1875"/>
              <w:gridCol w:w="1962"/>
            </w:tblGrid>
            <w:tr w14:paraId="1EF4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noWrap w:val="0"/>
                  <w:vAlign w:val="center"/>
                </w:tcPr>
                <w:p w14:paraId="7199019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井号</w:t>
                  </w:r>
                </w:p>
              </w:tc>
              <w:tc>
                <w:tcPr>
                  <w:tcW w:w="584" w:type="pct"/>
                  <w:noWrap w:val="0"/>
                  <w:vAlign w:val="center"/>
                </w:tcPr>
                <w:p w14:paraId="1BF6DDED">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项目</w:t>
                  </w:r>
                </w:p>
                <w:p w14:paraId="285150F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名称</w:t>
                  </w:r>
                </w:p>
              </w:tc>
              <w:tc>
                <w:tcPr>
                  <w:tcW w:w="1290" w:type="pct"/>
                  <w:noWrap w:val="0"/>
                  <w:vAlign w:val="center"/>
                </w:tcPr>
                <w:p w14:paraId="18AC459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管控单元分类</w:t>
                  </w:r>
                </w:p>
              </w:tc>
              <w:tc>
                <w:tcPr>
                  <w:tcW w:w="1213" w:type="pct"/>
                  <w:noWrap w:val="0"/>
                  <w:vAlign w:val="center"/>
                </w:tcPr>
                <w:p w14:paraId="2FAF5A7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是否涉及</w:t>
                  </w:r>
                </w:p>
              </w:tc>
              <w:tc>
                <w:tcPr>
                  <w:tcW w:w="1269" w:type="pct"/>
                  <w:noWrap w:val="0"/>
                  <w:vAlign w:val="center"/>
                </w:tcPr>
                <w:p w14:paraId="5FD4C2B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面积</w:t>
                  </w:r>
                </w:p>
              </w:tc>
            </w:tr>
            <w:tr w14:paraId="3BC6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restart"/>
                  <w:noWrap w:val="0"/>
                  <w:vAlign w:val="center"/>
                </w:tcPr>
                <w:p w14:paraId="1FCA5B8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r>
                    <w:rPr>
                      <w:rFonts w:hint="eastAsia" w:ascii="Times New Roman" w:hAnsi="Times New Roman" w:eastAsia="宋体" w:cs="Times New Roman"/>
                      <w:bCs/>
                      <w:color w:val="auto"/>
                      <w:sz w:val="21"/>
                      <w:szCs w:val="21"/>
                      <w:vertAlign w:val="baseline"/>
                      <w:lang w:val="en-US" w:eastAsia="zh-CN"/>
                    </w:rPr>
                    <w:t>米107-3MH井</w:t>
                  </w:r>
                </w:p>
              </w:tc>
              <w:tc>
                <w:tcPr>
                  <w:tcW w:w="584" w:type="pct"/>
                  <w:vMerge w:val="restart"/>
                  <w:noWrap w:val="0"/>
                  <w:vAlign w:val="center"/>
                </w:tcPr>
                <w:p w14:paraId="1385E31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项目</w:t>
                  </w:r>
                </w:p>
                <w:p w14:paraId="2A1CF9C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范围</w:t>
                  </w:r>
                </w:p>
              </w:tc>
              <w:tc>
                <w:tcPr>
                  <w:tcW w:w="1290" w:type="pct"/>
                  <w:noWrap w:val="0"/>
                  <w:vAlign w:val="center"/>
                </w:tcPr>
                <w:p w14:paraId="4AD874B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优先保护单元</w:t>
                  </w:r>
                </w:p>
              </w:tc>
              <w:tc>
                <w:tcPr>
                  <w:tcW w:w="1213" w:type="pct"/>
                  <w:noWrap w:val="0"/>
                  <w:vAlign w:val="center"/>
                </w:tcPr>
                <w:p w14:paraId="2FABAF4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否</w:t>
                  </w:r>
                </w:p>
              </w:tc>
              <w:tc>
                <w:tcPr>
                  <w:tcW w:w="1269" w:type="pct"/>
                  <w:noWrap w:val="0"/>
                  <w:vAlign w:val="center"/>
                </w:tcPr>
                <w:p w14:paraId="15849AE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0平方米</w:t>
                  </w:r>
                </w:p>
              </w:tc>
            </w:tr>
            <w:tr w14:paraId="3E26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noWrap w:val="0"/>
                  <w:vAlign w:val="center"/>
                </w:tcPr>
                <w:p w14:paraId="12A87BF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584" w:type="pct"/>
                  <w:vMerge w:val="continue"/>
                  <w:noWrap w:val="0"/>
                  <w:vAlign w:val="center"/>
                </w:tcPr>
                <w:p w14:paraId="6693092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290" w:type="pct"/>
                  <w:noWrap w:val="0"/>
                  <w:vAlign w:val="center"/>
                </w:tcPr>
                <w:p w14:paraId="0741757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重点管控单元</w:t>
                  </w:r>
                </w:p>
              </w:tc>
              <w:tc>
                <w:tcPr>
                  <w:tcW w:w="1213" w:type="pct"/>
                  <w:noWrap w:val="0"/>
                  <w:vAlign w:val="center"/>
                </w:tcPr>
                <w:p w14:paraId="76CCCD3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否</w:t>
                  </w:r>
                </w:p>
              </w:tc>
              <w:tc>
                <w:tcPr>
                  <w:tcW w:w="1269" w:type="pct"/>
                  <w:noWrap w:val="0"/>
                  <w:vAlign w:val="center"/>
                </w:tcPr>
                <w:p w14:paraId="6F1ABB2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0平方米</w:t>
                  </w:r>
                </w:p>
              </w:tc>
            </w:tr>
            <w:tr w14:paraId="4CD1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noWrap w:val="0"/>
                  <w:vAlign w:val="center"/>
                </w:tcPr>
                <w:p w14:paraId="05A533D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584" w:type="pct"/>
                  <w:vMerge w:val="continue"/>
                  <w:noWrap w:val="0"/>
                  <w:vAlign w:val="center"/>
                </w:tcPr>
                <w:p w14:paraId="58D60EE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290" w:type="pct"/>
                  <w:noWrap w:val="0"/>
                  <w:vAlign w:val="center"/>
                </w:tcPr>
                <w:p w14:paraId="079DACA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一般管控单元</w:t>
                  </w:r>
                </w:p>
              </w:tc>
              <w:tc>
                <w:tcPr>
                  <w:tcW w:w="1213" w:type="pct"/>
                  <w:noWrap w:val="0"/>
                  <w:vAlign w:val="center"/>
                </w:tcPr>
                <w:p w14:paraId="593904D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是</w:t>
                  </w:r>
                </w:p>
              </w:tc>
              <w:tc>
                <w:tcPr>
                  <w:tcW w:w="1269" w:type="pct"/>
                  <w:noWrap w:val="0"/>
                  <w:vAlign w:val="center"/>
                </w:tcPr>
                <w:p w14:paraId="7D4F003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12800.59平方米</w:t>
                  </w:r>
                </w:p>
              </w:tc>
            </w:tr>
          </w:tbl>
          <w:p w14:paraId="4C314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 xml:space="preserve"> 本项目与“三线一单”符合性分析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5173"/>
              <w:gridCol w:w="943"/>
            </w:tblGrid>
            <w:tr w14:paraId="710DEF04">
              <w:tblPrEx>
                <w:tblCellMar>
                  <w:top w:w="0" w:type="dxa"/>
                  <w:left w:w="108" w:type="dxa"/>
                  <w:bottom w:w="0" w:type="dxa"/>
                  <w:right w:w="108" w:type="dxa"/>
                </w:tblCellMar>
              </w:tblPrEx>
              <w:tc>
                <w:tcPr>
                  <w:tcW w:w="1042" w:type="pct"/>
                  <w:vAlign w:val="center"/>
                </w:tcPr>
                <w:p w14:paraId="6A15B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“三线一单”</w:t>
                  </w:r>
                </w:p>
              </w:tc>
              <w:tc>
                <w:tcPr>
                  <w:tcW w:w="3346" w:type="pct"/>
                  <w:vAlign w:val="center"/>
                </w:tcPr>
                <w:p w14:paraId="6087D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w:t>
                  </w:r>
                </w:p>
              </w:tc>
              <w:tc>
                <w:tcPr>
                  <w:tcW w:w="610" w:type="pct"/>
                  <w:vAlign w:val="center"/>
                </w:tcPr>
                <w:p w14:paraId="2B24C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相符性</w:t>
                  </w:r>
                </w:p>
              </w:tc>
            </w:tr>
            <w:tr w14:paraId="253F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3E8A7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生态保护红线</w:t>
                  </w:r>
                </w:p>
              </w:tc>
              <w:tc>
                <w:tcPr>
                  <w:tcW w:w="3346" w:type="pct"/>
                  <w:vAlign w:val="center"/>
                </w:tcPr>
                <w:p w14:paraId="1C373E6C">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根据《榆林市投资项目选址“一张图”控制线检测报告》及现场调查结果，本项目井场</w:t>
                  </w:r>
                  <w:r>
                    <w:rPr>
                      <w:rFonts w:hint="default" w:ascii="Times New Roman" w:hAnsi="Times New Roman" w:eastAsia="宋体" w:cs="Times New Roman"/>
                      <w:color w:val="auto"/>
                      <w:sz w:val="21"/>
                      <w:szCs w:val="21"/>
                      <w:vertAlign w:val="baseline"/>
                      <w:lang w:val="en-US" w:eastAsia="zh-CN"/>
                    </w:rPr>
                    <w:t>周围无特殊重要生态功能区，不涉及自然保护区、饮用水源保护区、风景名胜区等环境敏感区域，本项目不涉及生态红线。</w:t>
                  </w:r>
                </w:p>
              </w:tc>
              <w:tc>
                <w:tcPr>
                  <w:tcW w:w="610" w:type="pct"/>
                  <w:vAlign w:val="center"/>
                </w:tcPr>
                <w:p w14:paraId="0AE83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782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Align w:val="center"/>
                </w:tcPr>
                <w:p w14:paraId="5877D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环境质量底线</w:t>
                  </w:r>
                </w:p>
              </w:tc>
              <w:tc>
                <w:tcPr>
                  <w:tcW w:w="5457" w:type="dxa"/>
                  <w:vAlign w:val="center"/>
                </w:tcPr>
                <w:p w14:paraId="04A32471">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根据陕西省环保厅发布的全省环保快报可知，</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4年佳县空气中臭氧超标，属于环境空气质量不达标区。本项目施工期较短，施工过程中采用电驱动，不产生废气，污废水不外排，废水收集罐四周及池底均做了防渗处理。因此，不会改变区域地表水、地下水的功能，项目的建设符合榆林市的环境质量底线要求。</w:t>
                  </w:r>
                </w:p>
              </w:tc>
              <w:tc>
                <w:tcPr>
                  <w:tcW w:w="610" w:type="pct"/>
                  <w:vAlign w:val="center"/>
                </w:tcPr>
                <w:p w14:paraId="14C94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689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DE1FE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资源利用上线</w:t>
                  </w:r>
                </w:p>
              </w:tc>
              <w:tc>
                <w:tcPr>
                  <w:tcW w:w="3346" w:type="pct"/>
                  <w:vAlign w:val="center"/>
                </w:tcPr>
                <w:p w14:paraId="44BCF70A">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本项目井场为非生产类项目，不涉及资源利用，不触及榆林市资源利用上线。</w:t>
                  </w:r>
                </w:p>
              </w:tc>
              <w:tc>
                <w:tcPr>
                  <w:tcW w:w="610" w:type="pct"/>
                  <w:vAlign w:val="center"/>
                </w:tcPr>
                <w:p w14:paraId="3D758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B94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1F8C4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环境准入负面清单</w:t>
                  </w:r>
                </w:p>
              </w:tc>
              <w:tc>
                <w:tcPr>
                  <w:tcW w:w="3346" w:type="pct"/>
                  <w:vAlign w:val="center"/>
                </w:tcPr>
                <w:p w14:paraId="49409DAF">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本项目符合国家产业政策，工程位于榆林市佳县，不属于《陕西省国家重点生态功能区产业准入负面清单(试行)》(陕发改规划〔</w:t>
                  </w:r>
                  <w:r>
                    <w:rPr>
                      <w:rFonts w:hint="default" w:ascii="Times New Roman" w:hAnsi="Times New Roman" w:eastAsia="宋体" w:cs="Times New Roman"/>
                      <w:color w:val="auto"/>
                      <w:sz w:val="21"/>
                      <w:szCs w:val="21"/>
                      <w:vertAlign w:val="baseline"/>
                      <w:lang w:val="en-US" w:eastAsia="zh-CN"/>
                    </w:rPr>
                    <w:t>2018</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213</w:t>
                  </w:r>
                  <w:r>
                    <w:rPr>
                      <w:rFonts w:hint="eastAsia" w:ascii="Times New Roman" w:hAnsi="Times New Roman" w:eastAsia="宋体" w:cs="Times New Roman"/>
                      <w:color w:val="auto"/>
                      <w:sz w:val="21"/>
                      <w:szCs w:val="21"/>
                      <w:vertAlign w:val="baseline"/>
                      <w:lang w:val="en-US" w:eastAsia="zh-CN"/>
                    </w:rPr>
                    <w:t>号)中重点生态功能区，不属于《榆林市生态环境准入清单（</w:t>
                  </w:r>
                  <w:r>
                    <w:rPr>
                      <w:rFonts w:hint="default" w:ascii="Times New Roman" w:hAnsi="Times New Roman" w:eastAsia="宋体" w:cs="Times New Roman"/>
                      <w:color w:val="auto"/>
                      <w:sz w:val="21"/>
                      <w:szCs w:val="21"/>
                      <w:vertAlign w:val="baseline"/>
                      <w:lang w:val="en-US" w:eastAsia="zh-CN"/>
                    </w:rPr>
                    <w:t>2023</w:t>
                  </w:r>
                  <w:r>
                    <w:rPr>
                      <w:rFonts w:hint="eastAsia" w:ascii="Times New Roman" w:hAnsi="Times New Roman" w:eastAsia="宋体" w:cs="Times New Roman"/>
                      <w:color w:val="auto"/>
                      <w:sz w:val="21"/>
                      <w:szCs w:val="21"/>
                      <w:vertAlign w:val="baseline"/>
                      <w:lang w:val="en-US" w:eastAsia="zh-CN"/>
                    </w:rPr>
                    <w:t>年）》中禁止建设活动。</w:t>
                  </w:r>
                </w:p>
              </w:tc>
              <w:tc>
                <w:tcPr>
                  <w:tcW w:w="610" w:type="pct"/>
                  <w:vAlign w:val="center"/>
                </w:tcPr>
                <w:p w14:paraId="47B90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3B1AF5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米107-3MH井</w:t>
            </w:r>
            <w:r>
              <w:rPr>
                <w:rFonts w:hint="default" w:ascii="Times New Roman" w:hAnsi="Times New Roman" w:eastAsia="宋体" w:cs="Times New Roman"/>
                <w:b/>
                <w:bCs/>
                <w:color w:val="auto"/>
                <w:sz w:val="21"/>
                <w:szCs w:val="21"/>
                <w:vertAlign w:val="baseline"/>
                <w:lang w:val="en-US" w:eastAsia="zh-CN"/>
              </w:rPr>
              <w:t>与榆林市生态环境分区管控准入要求符合性分析表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456"/>
              <w:gridCol w:w="456"/>
              <w:gridCol w:w="456"/>
              <w:gridCol w:w="456"/>
              <w:gridCol w:w="3705"/>
              <w:gridCol w:w="1125"/>
              <w:gridCol w:w="458"/>
            </w:tblGrid>
            <w:tr w14:paraId="5BF5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14:paraId="6A94349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环境管控单元</w:t>
                  </w:r>
                </w:p>
              </w:tc>
              <w:tc>
                <w:tcPr>
                  <w:tcW w:w="295" w:type="pct"/>
                  <w:noWrap w:val="0"/>
                  <w:vAlign w:val="center"/>
                </w:tcPr>
                <w:p w14:paraId="5A8D537D">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区县</w:t>
                  </w:r>
                </w:p>
              </w:tc>
              <w:tc>
                <w:tcPr>
                  <w:tcW w:w="295" w:type="pct"/>
                  <w:noWrap w:val="0"/>
                  <w:vAlign w:val="center"/>
                </w:tcPr>
                <w:p w14:paraId="51F8093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市区</w:t>
                  </w:r>
                </w:p>
              </w:tc>
              <w:tc>
                <w:tcPr>
                  <w:tcW w:w="295" w:type="pct"/>
                  <w:noWrap w:val="0"/>
                  <w:vAlign w:val="center"/>
                </w:tcPr>
                <w:p w14:paraId="006DB28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单元要素属性</w:t>
                  </w:r>
                </w:p>
              </w:tc>
              <w:tc>
                <w:tcPr>
                  <w:tcW w:w="295" w:type="pct"/>
                  <w:noWrap w:val="0"/>
                  <w:vAlign w:val="center"/>
                </w:tcPr>
                <w:p w14:paraId="71E9A07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管控要求分类</w:t>
                  </w:r>
                </w:p>
              </w:tc>
              <w:tc>
                <w:tcPr>
                  <w:tcW w:w="2397" w:type="pct"/>
                  <w:noWrap w:val="0"/>
                  <w:vAlign w:val="center"/>
                </w:tcPr>
                <w:p w14:paraId="4836B50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w:t>
                  </w:r>
                </w:p>
              </w:tc>
              <w:tc>
                <w:tcPr>
                  <w:tcW w:w="728" w:type="pct"/>
                  <w:noWrap w:val="0"/>
                  <w:vAlign w:val="center"/>
                </w:tcPr>
                <w:p w14:paraId="18A1C07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w:t>
                  </w:r>
                </w:p>
              </w:tc>
              <w:tc>
                <w:tcPr>
                  <w:tcW w:w="296" w:type="pct"/>
                  <w:noWrap w:val="0"/>
                  <w:vAlign w:val="center"/>
                </w:tcPr>
                <w:p w14:paraId="0E73AC8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11D6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noWrap w:val="0"/>
                  <w:vAlign w:val="center"/>
                </w:tcPr>
                <w:p w14:paraId="7B352CF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陕西省榆林市</w:t>
                  </w:r>
                  <w:r>
                    <w:rPr>
                      <w:rFonts w:hint="eastAsia" w:ascii="Times New Roman" w:hAnsi="Times New Roman" w:eastAsia="宋体" w:cs="Times New Roman"/>
                      <w:bCs/>
                      <w:color w:val="auto"/>
                      <w:sz w:val="21"/>
                      <w:szCs w:val="21"/>
                      <w:highlight w:val="none"/>
                      <w:vertAlign w:val="baseline"/>
                      <w:lang w:val="en-US" w:eastAsia="zh-CN"/>
                    </w:rPr>
                    <w:t>佳县一般</w:t>
                  </w:r>
                  <w:r>
                    <w:rPr>
                      <w:rFonts w:hint="default" w:ascii="Times New Roman" w:hAnsi="Times New Roman" w:eastAsia="宋体" w:cs="Times New Roman"/>
                      <w:bCs/>
                      <w:color w:val="auto"/>
                      <w:sz w:val="21"/>
                      <w:szCs w:val="21"/>
                      <w:highlight w:val="none"/>
                      <w:vertAlign w:val="baseline"/>
                      <w:lang w:val="en-US" w:eastAsia="zh-CN"/>
                    </w:rPr>
                    <w:t>管控单元</w:t>
                  </w:r>
                  <w:r>
                    <w:rPr>
                      <w:rFonts w:hint="eastAsia" w:ascii="Times New Roman" w:hAnsi="Times New Roman" w:eastAsia="宋体" w:cs="Times New Roman"/>
                      <w:bCs/>
                      <w:color w:val="auto"/>
                      <w:sz w:val="21"/>
                      <w:szCs w:val="21"/>
                      <w:highlight w:val="none"/>
                      <w:vertAlign w:val="baseline"/>
                      <w:lang w:val="en-US" w:eastAsia="zh-CN"/>
                    </w:rPr>
                    <w:t>1</w:t>
                  </w:r>
                </w:p>
              </w:tc>
              <w:tc>
                <w:tcPr>
                  <w:tcW w:w="295" w:type="pct"/>
                  <w:vMerge w:val="restart"/>
                  <w:noWrap w:val="0"/>
                  <w:vAlign w:val="center"/>
                </w:tcPr>
                <w:p w14:paraId="4FACFEB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榆林市</w:t>
                  </w:r>
                </w:p>
              </w:tc>
              <w:tc>
                <w:tcPr>
                  <w:tcW w:w="295" w:type="pct"/>
                  <w:vMerge w:val="restart"/>
                  <w:noWrap w:val="0"/>
                  <w:vAlign w:val="center"/>
                </w:tcPr>
                <w:p w14:paraId="45BC682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佳县</w:t>
                  </w:r>
                </w:p>
              </w:tc>
              <w:tc>
                <w:tcPr>
                  <w:tcW w:w="295" w:type="pct"/>
                  <w:vMerge w:val="restart"/>
                  <w:noWrap w:val="0"/>
                  <w:vAlign w:val="center"/>
                </w:tcPr>
                <w:p w14:paraId="1A32456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无</w:t>
                  </w:r>
                </w:p>
              </w:tc>
              <w:tc>
                <w:tcPr>
                  <w:tcW w:w="295" w:type="pct"/>
                  <w:noWrap w:val="0"/>
                  <w:vAlign w:val="center"/>
                </w:tcPr>
                <w:p w14:paraId="330DA28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空间布局约束</w:t>
                  </w:r>
                </w:p>
              </w:tc>
              <w:tc>
                <w:tcPr>
                  <w:tcW w:w="2397" w:type="pct"/>
                  <w:noWrap w:val="0"/>
                  <w:vAlign w:val="center"/>
                </w:tcPr>
                <w:p w14:paraId="61F479A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1.执行榆林市生态环境要素分区总体准入清单中“6.1 一般管控单元总</w:t>
                  </w:r>
                </w:p>
                <w:p w14:paraId="56631B1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体要求”准入要求。</w:t>
                  </w:r>
                </w:p>
                <w:p w14:paraId="2889673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2.农用地优先保护区执行榆林市生态环境要素分区总体准入清单中“4.2农用地优先保护区”准入要求。</w:t>
                  </w:r>
                </w:p>
                <w:p w14:paraId="0C9DBB0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3.江河湖库岸线优先保护区执行榆林市生态环境要素分区总体准入清</w:t>
                  </w:r>
                </w:p>
                <w:p w14:paraId="639F8FD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单中“4.3 江河湖库岸线优先保护区”准入要求。</w:t>
                  </w:r>
                </w:p>
                <w:p w14:paraId="2092DD5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4.荒漠化沙化土地优先保护区执行榆林市生态环境要素分区总体准入</w:t>
                  </w:r>
                </w:p>
                <w:p w14:paraId="7E80492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清单中“4.4 荒漠化沙化土地优先保护区”准入要求。</w:t>
                  </w:r>
                </w:p>
                <w:p w14:paraId="2DE15D5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5.江河湖库岸线重点管控区执行榆林市生态环境要素分区总体准入清</w:t>
                  </w:r>
                </w:p>
                <w:p w14:paraId="3E70DE1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Cs/>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单中“5.14 江河湖库岸线重点管控区”中的“空间布局约束”准入要求</w:t>
                  </w:r>
                  <w:r>
                    <w:rPr>
                      <w:rFonts w:hint="eastAsia" w:ascii="Times New Roman" w:hAnsi="Times New Roman" w:eastAsia="宋体" w:cs="Times New Roman"/>
                      <w:color w:val="auto"/>
                      <w:kern w:val="0"/>
                      <w:sz w:val="21"/>
                      <w:szCs w:val="21"/>
                      <w:highlight w:val="none"/>
                      <w:lang w:val="en-US" w:eastAsia="zh-CN" w:bidi="ar"/>
                    </w:rPr>
                    <w:t>。</w:t>
                  </w:r>
                </w:p>
              </w:tc>
              <w:tc>
                <w:tcPr>
                  <w:tcW w:w="728" w:type="pct"/>
                  <w:shd w:val="clear" w:color="auto" w:fill="auto"/>
                  <w:noWrap w:val="0"/>
                  <w:vAlign w:val="center"/>
                </w:tcPr>
                <w:p w14:paraId="2FC06F60">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1、</w:t>
                  </w:r>
                  <w:r>
                    <w:rPr>
                      <w:rFonts w:hint="default" w:ascii="Times New Roman" w:hAnsi="Times New Roman" w:eastAsia="宋体" w:cs="Times New Roman"/>
                      <w:bCs/>
                      <w:color w:val="auto"/>
                      <w:sz w:val="21"/>
                      <w:szCs w:val="21"/>
                      <w:vertAlign w:val="baseline"/>
                      <w:lang w:val="en-US" w:eastAsia="zh-CN"/>
                    </w:rPr>
                    <w:t>本项目属于天然气</w:t>
                  </w:r>
                  <w:r>
                    <w:rPr>
                      <w:rFonts w:hint="eastAsia" w:ascii="Times New Roman" w:hAnsi="Times New Roman" w:eastAsia="宋体" w:cs="Times New Roman"/>
                      <w:bCs/>
                      <w:color w:val="auto"/>
                      <w:sz w:val="21"/>
                      <w:szCs w:val="21"/>
                      <w:vertAlign w:val="baseline"/>
                      <w:lang w:val="en-US" w:eastAsia="zh-CN"/>
                    </w:rPr>
                    <w:t>评价井钻井</w:t>
                  </w:r>
                  <w:r>
                    <w:rPr>
                      <w:rFonts w:hint="default" w:ascii="Times New Roman" w:hAnsi="Times New Roman" w:eastAsia="宋体" w:cs="Times New Roman"/>
                      <w:bCs/>
                      <w:color w:val="auto"/>
                      <w:sz w:val="21"/>
                      <w:szCs w:val="21"/>
                      <w:vertAlign w:val="baseline"/>
                      <w:lang w:val="en-US" w:eastAsia="zh-CN"/>
                    </w:rPr>
                    <w:t>项目，</w:t>
                  </w:r>
                  <w:r>
                    <w:rPr>
                      <w:rFonts w:hint="eastAsia" w:ascii="Times New Roman" w:hAnsi="Times New Roman" w:eastAsia="宋体" w:cs="Times New Roman"/>
                      <w:bCs/>
                      <w:color w:val="auto"/>
                      <w:sz w:val="21"/>
                      <w:szCs w:val="21"/>
                      <w:vertAlign w:val="baseline"/>
                      <w:lang w:val="en-US" w:eastAsia="zh-CN"/>
                    </w:rPr>
                    <w:t>位于一般管控单元内；2、本项目不涉及农用地优先保护区；3、本项目不涉及</w:t>
                  </w:r>
                  <w:r>
                    <w:rPr>
                      <w:rFonts w:hint="default" w:ascii="Times New Roman" w:hAnsi="Times New Roman" w:eastAsia="宋体" w:cs="Times New Roman"/>
                      <w:color w:val="auto"/>
                      <w:kern w:val="0"/>
                      <w:sz w:val="21"/>
                      <w:szCs w:val="21"/>
                      <w:lang w:val="en-US" w:eastAsia="zh-CN" w:bidi="ar"/>
                    </w:rPr>
                    <w:t>江河湖库岸线优先保护区</w:t>
                  </w:r>
                  <w:r>
                    <w:rPr>
                      <w:rFonts w:hint="eastAsia" w:ascii="Times New Roman" w:hAnsi="Times New Roman" w:eastAsia="宋体" w:cs="Times New Roman"/>
                      <w:color w:val="auto"/>
                      <w:kern w:val="0"/>
                      <w:sz w:val="21"/>
                      <w:szCs w:val="21"/>
                      <w:lang w:val="en-US" w:eastAsia="zh-CN" w:bidi="ar"/>
                    </w:rPr>
                    <w:t>；4、本项目位于黄土（丘陵）覆沙治理区，本次提出了防沙治沙相关要求；5、本项目不涉及</w:t>
                  </w:r>
                  <w:r>
                    <w:rPr>
                      <w:rFonts w:hint="default" w:ascii="Times New Roman" w:hAnsi="Times New Roman" w:eastAsia="宋体" w:cs="Times New Roman"/>
                      <w:color w:val="auto"/>
                      <w:kern w:val="0"/>
                      <w:sz w:val="21"/>
                      <w:szCs w:val="21"/>
                      <w:lang w:val="en-US" w:eastAsia="zh-CN" w:bidi="ar"/>
                    </w:rPr>
                    <w:t>江河湖库岸线重点管控区</w:t>
                  </w:r>
                </w:p>
              </w:tc>
              <w:tc>
                <w:tcPr>
                  <w:tcW w:w="296" w:type="pct"/>
                  <w:noWrap w:val="0"/>
                  <w:vAlign w:val="center"/>
                </w:tcPr>
                <w:p w14:paraId="727F027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符合</w:t>
                  </w:r>
                </w:p>
              </w:tc>
            </w:tr>
            <w:tr w14:paraId="586D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6" w:type="pct"/>
                  <w:vMerge w:val="continue"/>
                  <w:noWrap w:val="0"/>
                  <w:vAlign w:val="center"/>
                </w:tcPr>
                <w:p w14:paraId="15D3F92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6C71621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2041662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30C40E7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74EA470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污染物排放管控</w:t>
                  </w:r>
                </w:p>
              </w:tc>
              <w:tc>
                <w:tcPr>
                  <w:tcW w:w="2397" w:type="pct"/>
                  <w:noWrap w:val="0"/>
                  <w:vAlign w:val="center"/>
                </w:tcPr>
                <w:p w14:paraId="4BA1B9FD">
                  <w:pPr>
                    <w:keepNext w:val="0"/>
                    <w:keepLines w:val="0"/>
                    <w:widowControl/>
                    <w:suppressLineNumbers w:val="0"/>
                    <w:jc w:val="center"/>
                    <w:rPr>
                      <w:rFonts w:hint="default" w:ascii="Times New Roman" w:hAnsi="Times New Roman" w:cs="Times New Roman"/>
                      <w:bCs/>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w:t>
                  </w:r>
                </w:p>
              </w:tc>
              <w:tc>
                <w:tcPr>
                  <w:tcW w:w="728" w:type="pct"/>
                  <w:noWrap w:val="0"/>
                  <w:vAlign w:val="center"/>
                </w:tcPr>
                <w:p w14:paraId="7891C3D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296" w:type="pct"/>
                  <w:noWrap w:val="0"/>
                  <w:vAlign w:val="center"/>
                </w:tcPr>
                <w:p w14:paraId="083BFFD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r>
                    <w:rPr>
                      <w:rFonts w:hint="eastAsia" w:ascii="Times New Roman" w:hAnsi="Times New Roman" w:cs="Times New Roman"/>
                      <w:bCs/>
                      <w:color w:val="auto"/>
                      <w:sz w:val="21"/>
                      <w:szCs w:val="21"/>
                      <w:vertAlign w:val="baseline"/>
                      <w:lang w:val="en-US" w:eastAsia="zh-CN"/>
                    </w:rPr>
                    <w:t>/</w:t>
                  </w:r>
                </w:p>
              </w:tc>
            </w:tr>
            <w:tr w14:paraId="2076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6" w:type="pct"/>
                  <w:vMerge w:val="continue"/>
                  <w:noWrap w:val="0"/>
                  <w:vAlign w:val="center"/>
                </w:tcPr>
                <w:p w14:paraId="2AF3A00D">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2EB970B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6115B1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195E28F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4F31802D">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环境风险防控</w:t>
                  </w:r>
                </w:p>
              </w:tc>
              <w:tc>
                <w:tcPr>
                  <w:tcW w:w="2397" w:type="pct"/>
                  <w:noWrap w:val="0"/>
                  <w:vAlign w:val="center"/>
                </w:tcPr>
                <w:p w14:paraId="17BB1FA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488DB34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6" w:type="pct"/>
                  <w:noWrap w:val="0"/>
                  <w:vAlign w:val="center"/>
                </w:tcPr>
                <w:p w14:paraId="6BCBE90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r w14:paraId="6494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6" w:type="pct"/>
                  <w:vMerge w:val="continue"/>
                  <w:noWrap w:val="0"/>
                  <w:vAlign w:val="center"/>
                </w:tcPr>
                <w:p w14:paraId="6632C02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0F5DC69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5" w:type="pct"/>
                  <w:vMerge w:val="continue"/>
                  <w:noWrap w:val="0"/>
                  <w:vAlign w:val="center"/>
                </w:tcPr>
                <w:p w14:paraId="2D7AFC0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vMerge w:val="continue"/>
                  <w:noWrap w:val="0"/>
                  <w:vAlign w:val="center"/>
                </w:tcPr>
                <w:p w14:paraId="0FD7561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5" w:type="pct"/>
                  <w:noWrap w:val="0"/>
                  <w:vAlign w:val="center"/>
                </w:tcPr>
                <w:p w14:paraId="539E9A3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资源开发效率要求</w:t>
                  </w:r>
                </w:p>
              </w:tc>
              <w:tc>
                <w:tcPr>
                  <w:tcW w:w="2397" w:type="pct"/>
                  <w:noWrap w:val="0"/>
                  <w:vAlign w:val="center"/>
                </w:tcPr>
                <w:p w14:paraId="4CCB16D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vertAlign w:val="baseline"/>
                      <w:lang w:val="en-US" w:eastAsia="zh-CN"/>
                    </w:rPr>
                    <w:t>/</w:t>
                  </w:r>
                </w:p>
              </w:tc>
              <w:tc>
                <w:tcPr>
                  <w:tcW w:w="728" w:type="pct"/>
                  <w:noWrap w:val="0"/>
                  <w:vAlign w:val="center"/>
                </w:tcPr>
                <w:p w14:paraId="6CE9BC7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6" w:type="pct"/>
                  <w:noWrap w:val="0"/>
                  <w:vAlign w:val="center"/>
                </w:tcPr>
                <w:p w14:paraId="674A83F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bl>
          <w:p w14:paraId="085A1368">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③一说明</w:t>
            </w:r>
          </w:p>
          <w:p w14:paraId="3ECB47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bCs/>
                <w:color w:val="auto"/>
                <w:sz w:val="24"/>
                <w:szCs w:val="24"/>
                <w:highlight w:val="none"/>
              </w:rPr>
              <w:t>本项目位于榆林市“三线一单”生态环境分区中</w:t>
            </w:r>
            <w:r>
              <w:rPr>
                <w:rFonts w:hint="eastAsia" w:ascii="Times New Roman" w:hAnsi="Times New Roman" w:eastAsia="宋体" w:cs="Times New Roman"/>
                <w:bCs/>
                <w:color w:val="auto"/>
                <w:sz w:val="24"/>
                <w:szCs w:val="24"/>
                <w:highlight w:val="none"/>
                <w:vertAlign w:val="baseline"/>
                <w:lang w:val="en-US" w:eastAsia="zh-CN"/>
              </w:rPr>
              <w:t>佳县一般</w:t>
            </w:r>
            <w:r>
              <w:rPr>
                <w:rFonts w:hint="default" w:ascii="Times New Roman" w:hAnsi="Times New Roman" w:eastAsia="宋体" w:cs="Times New Roman"/>
                <w:bCs/>
                <w:color w:val="auto"/>
                <w:sz w:val="24"/>
                <w:szCs w:val="24"/>
                <w:highlight w:val="none"/>
                <w:vertAlign w:val="baseline"/>
                <w:lang w:val="en-US" w:eastAsia="zh-CN"/>
              </w:rPr>
              <w:t>管控单元</w:t>
            </w:r>
            <w:r>
              <w:rPr>
                <w:rFonts w:hint="default" w:ascii="Times New Roman" w:hAnsi="Times New Roman" w:cs="Times New Roman"/>
                <w:bCs/>
                <w:color w:val="auto"/>
                <w:sz w:val="24"/>
                <w:szCs w:val="24"/>
                <w:highlight w:val="none"/>
              </w:rPr>
              <w:t>，对照表</w:t>
            </w:r>
            <w:r>
              <w:rPr>
                <w:rFonts w:hint="eastAsia" w:ascii="Times New Roman" w:hAnsi="Times New Roman" w:eastAsia="宋体" w:cs="Times New Roman"/>
                <w:bCs/>
                <w:color w:val="auto"/>
                <w:sz w:val="24"/>
                <w:szCs w:val="24"/>
                <w:highlight w:val="none"/>
                <w:lang w:val="en-US" w:eastAsia="zh-CN"/>
              </w:rPr>
              <w:t>1-5</w:t>
            </w:r>
            <w:r>
              <w:rPr>
                <w:rFonts w:hint="default" w:ascii="Times New Roman" w:hAnsi="Times New Roman" w:cs="Times New Roman"/>
                <w:bCs/>
                <w:color w:val="auto"/>
                <w:sz w:val="24"/>
                <w:szCs w:val="24"/>
                <w:highlight w:val="none"/>
              </w:rPr>
              <w:t>中的管控要求，建设项目符合榆林市生态环境准入清单各管控单元的环境分区管控的要求。</w:t>
            </w:r>
          </w:p>
          <w:p w14:paraId="2BE362B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4、其他符合性分析</w:t>
            </w:r>
          </w:p>
          <w:p w14:paraId="688CFA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项目与相关政策的符合性分析见下表：</w:t>
            </w:r>
          </w:p>
          <w:p w14:paraId="653C4E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7</w:t>
            </w:r>
            <w:r>
              <w:rPr>
                <w:rFonts w:hint="default" w:ascii="Times New Roman" w:hAnsi="Times New Roman" w:eastAsia="宋体" w:cs="Times New Roman"/>
                <w:b/>
                <w:bCs/>
                <w:color w:val="auto"/>
                <w:sz w:val="21"/>
                <w:szCs w:val="21"/>
                <w:vertAlign w:val="baseline"/>
                <w:lang w:val="en-US" w:eastAsia="zh-CN"/>
              </w:rPr>
              <w:t xml:space="preserve"> 项目与相关政策符合性分析一览表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2118"/>
              <w:gridCol w:w="2504"/>
              <w:gridCol w:w="1867"/>
              <w:gridCol w:w="835"/>
            </w:tblGrid>
            <w:tr w14:paraId="7274D67D">
              <w:tblPrEx>
                <w:tblCellMar>
                  <w:top w:w="0" w:type="dxa"/>
                  <w:left w:w="108" w:type="dxa"/>
                  <w:bottom w:w="0" w:type="dxa"/>
                  <w:right w:w="108" w:type="dxa"/>
                </w:tblCellMar>
              </w:tblPrEx>
              <w:tc>
                <w:tcPr>
                  <w:tcW w:w="261" w:type="pct"/>
                  <w:vAlign w:val="center"/>
                </w:tcPr>
                <w:p w14:paraId="0FC923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370" w:type="pct"/>
                  <w:vAlign w:val="center"/>
                </w:tcPr>
                <w:p w14:paraId="083B8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政策名称</w:t>
                  </w:r>
                </w:p>
              </w:tc>
              <w:tc>
                <w:tcPr>
                  <w:tcW w:w="1619" w:type="pct"/>
                  <w:vAlign w:val="center"/>
                </w:tcPr>
                <w:p w14:paraId="07E9BC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政策要求（摘录）</w:t>
                  </w:r>
                </w:p>
              </w:tc>
              <w:tc>
                <w:tcPr>
                  <w:tcW w:w="1207" w:type="pct"/>
                  <w:vAlign w:val="center"/>
                </w:tcPr>
                <w:p w14:paraId="6A51C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540" w:type="pct"/>
                  <w:vAlign w:val="center"/>
                </w:tcPr>
                <w:p w14:paraId="702842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75BF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7894E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p>
              </w:tc>
              <w:tc>
                <w:tcPr>
                  <w:tcW w:w="1370" w:type="pct"/>
                  <w:vAlign w:val="center"/>
                </w:tcPr>
                <w:p w14:paraId="3D054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《中华人民共和国防沙治沙法</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r>
                    <w:rPr>
                      <w:rFonts w:hint="eastAsia" w:ascii="Times New Roman" w:hAnsi="Times New Roman" w:eastAsia="宋体"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18修正</w:t>
                  </w:r>
                  <w:r>
                    <w:rPr>
                      <w:rFonts w:hint="eastAsia" w:ascii="Times New Roman" w:hAnsi="Times New Roman" w:eastAsia="宋体" w:cs="Times New Roman"/>
                      <w:color w:val="auto"/>
                      <w:sz w:val="21"/>
                      <w:szCs w:val="21"/>
                      <w:vertAlign w:val="baseline"/>
                      <w:lang w:val="en-US" w:eastAsia="zh-CN"/>
                    </w:rPr>
                    <w:t>）》</w:t>
                  </w:r>
                </w:p>
              </w:tc>
              <w:tc>
                <w:tcPr>
                  <w:tcW w:w="1619" w:type="pct"/>
                  <w:vAlign w:val="center"/>
                </w:tcPr>
                <w:p w14:paraId="114F730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w:t>
                  </w:r>
                  <w:r>
                    <w:rPr>
                      <w:rFonts w:hint="eastAsia" w:ascii="Times New Roman" w:hAnsi="Times New Roman" w:eastAsia="宋体" w:cs="Times New Roman"/>
                      <w:color w:val="auto"/>
                      <w:sz w:val="21"/>
                      <w:szCs w:val="21"/>
                      <w:vertAlign w:val="baseline"/>
                      <w:lang w:val="en-US" w:eastAsia="zh-CN"/>
                    </w:rPr>
                    <w:t>二十一</w:t>
                  </w:r>
                  <w:r>
                    <w:rPr>
                      <w:rFonts w:hint="default" w:ascii="Times New Roman" w:hAnsi="Times New Roman" w:eastAsia="宋体" w:cs="Times New Roman"/>
                      <w:color w:val="auto"/>
                      <w:sz w:val="21"/>
                      <w:szCs w:val="21"/>
                      <w:vertAlign w:val="baseline"/>
                      <w:lang w:val="en-US" w:eastAsia="zh-CN"/>
                    </w:rPr>
                    <w:t>条 在沙化土地范围内从事开发建设活动的，必须事先就该项目可能对当地及相关地区生态产生的影响进行环境影响评价，依法提交环境影响报告；环境影响报告应当包括有关防沙治沙的内容。</w:t>
                  </w:r>
                </w:p>
              </w:tc>
              <w:tc>
                <w:tcPr>
                  <w:tcW w:w="1207" w:type="pct"/>
                  <w:vAlign w:val="center"/>
                </w:tcPr>
                <w:p w14:paraId="061D0E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本项目位于毛乌素沙地治理区。本次评价分析可能造成的生态影响，并提出保持水土、防治土地荒漠化及土地沙化的防治措施。</w:t>
                  </w:r>
                </w:p>
              </w:tc>
              <w:tc>
                <w:tcPr>
                  <w:tcW w:w="540" w:type="pct"/>
                  <w:vAlign w:val="center"/>
                </w:tcPr>
                <w:p w14:paraId="653F1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6E5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618489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2</w:t>
                  </w:r>
                </w:p>
              </w:tc>
              <w:tc>
                <w:tcPr>
                  <w:tcW w:w="1370" w:type="pct"/>
                  <w:vMerge w:val="restart"/>
                  <w:vAlign w:val="center"/>
                </w:tcPr>
                <w:p w14:paraId="4419A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《陕西省煤炭石油天然气开发生态环境保护条例》</w:t>
                  </w:r>
                </w:p>
              </w:tc>
              <w:tc>
                <w:tcPr>
                  <w:tcW w:w="1619" w:type="pct"/>
                  <w:vAlign w:val="center"/>
                </w:tcPr>
                <w:p w14:paraId="7DFAEA1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第十二条 省人民政府及其有关行政主管部门在编制能源产业发展规划和矿产资源开发规划时，应当按照本省国土空间规划、生态环境保护规划以及本省确定的生态保护红线、环境质量底线、资源利用上线和生态环境准入清单要求，合理确定煤炭、石油、天然气开发区域、规模和强度</w:t>
                  </w:r>
                </w:p>
              </w:tc>
              <w:tc>
                <w:tcPr>
                  <w:tcW w:w="1207" w:type="pct"/>
                  <w:vAlign w:val="center"/>
                </w:tcPr>
                <w:p w14:paraId="2D04906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本项目不涉及生态红线，项目满足环境质量底线、资源利用上线和生态环境准入清单要求</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2A3B1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20C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6C5ED72E">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39671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799EE1F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第十三条 禁止在居民区和国务院或者省人民政府划定的重要水源涵养区、饮用水水源保护区，国家公园，自然保护区，风景名胜区、森林公园、地质公园、草原公园、湿地公园等自然公园、文物保护单位等区域内进行煤炭、石油、天然气开发</w:t>
                  </w:r>
                </w:p>
              </w:tc>
              <w:tc>
                <w:tcPr>
                  <w:tcW w:w="1207" w:type="pct"/>
                  <w:vAlign w:val="center"/>
                </w:tcPr>
                <w:p w14:paraId="3812B5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本项目位于榆林市</w:t>
                  </w:r>
                  <w:r>
                    <w:rPr>
                      <w:rFonts w:hint="eastAsia" w:ascii="Times New Roman" w:hAnsi="Times New Roman" w:eastAsia="宋体" w:cs="Times New Roman"/>
                      <w:color w:val="auto"/>
                      <w:sz w:val="21"/>
                      <w:szCs w:val="21"/>
                      <w:vertAlign w:val="baseline"/>
                      <w:lang w:val="en-US" w:eastAsia="zh-CN"/>
                    </w:rPr>
                    <w:t>佳县通镇</w:t>
                  </w:r>
                  <w:r>
                    <w:rPr>
                      <w:rFonts w:hint="default" w:ascii="Times New Roman" w:hAnsi="Times New Roman" w:eastAsia="宋体" w:cs="Times New Roman"/>
                      <w:color w:val="auto"/>
                      <w:sz w:val="21"/>
                      <w:szCs w:val="21"/>
                      <w:vertAlign w:val="baseline"/>
                      <w:lang w:val="en-US" w:eastAsia="zh-CN"/>
                    </w:rPr>
                    <w:t>，勘探后</w:t>
                  </w:r>
                  <w:r>
                    <w:rPr>
                      <w:rFonts w:hint="eastAsia" w:ascii="Times New Roman" w:hAnsi="Times New Roman" w:eastAsia="宋体" w:cs="Times New Roman"/>
                      <w:color w:val="auto"/>
                      <w:sz w:val="21"/>
                      <w:szCs w:val="21"/>
                      <w:vertAlign w:val="baseline"/>
                      <w:lang w:val="en-US" w:eastAsia="zh-CN"/>
                    </w:rPr>
                    <w:t>若</w:t>
                  </w:r>
                  <w:r>
                    <w:rPr>
                      <w:rFonts w:hint="default" w:ascii="Times New Roman" w:hAnsi="Times New Roman" w:eastAsia="宋体" w:cs="Times New Roman"/>
                      <w:color w:val="auto"/>
                      <w:sz w:val="21"/>
                      <w:szCs w:val="21"/>
                      <w:vertAlign w:val="baseline"/>
                      <w:lang w:val="en-US" w:eastAsia="zh-CN"/>
                    </w:rPr>
                    <w:t>采取永久封井，</w:t>
                  </w:r>
                  <w:r>
                    <w:rPr>
                      <w:rFonts w:hint="eastAsia" w:ascii="Times New Roman" w:hAnsi="Times New Roman" w:eastAsia="宋体" w:cs="Times New Roman"/>
                      <w:color w:val="auto"/>
                      <w:sz w:val="21"/>
                      <w:szCs w:val="21"/>
                      <w:vertAlign w:val="baseline"/>
                      <w:lang w:val="en-US" w:eastAsia="zh-CN"/>
                    </w:rPr>
                    <w:t>则项目为临时占地；若</w:t>
                  </w:r>
                  <w:r>
                    <w:rPr>
                      <w:rFonts w:hint="default" w:ascii="Times New Roman" w:hAnsi="Times New Roman" w:eastAsia="宋体" w:cs="Times New Roman"/>
                      <w:color w:val="auto"/>
                      <w:sz w:val="21"/>
                      <w:szCs w:val="21"/>
                      <w:vertAlign w:val="baseline"/>
                      <w:lang w:val="en-US" w:eastAsia="zh-CN"/>
                    </w:rPr>
                    <w:t>采取临时封井，除预留转成生产井所需的面积</w:t>
                  </w:r>
                  <w:r>
                    <w:rPr>
                      <w:rFonts w:hint="eastAsia" w:ascii="Times New Roman" w:hAnsi="Times New Roman" w:eastAsia="宋体" w:cs="Times New Roman"/>
                      <w:color w:val="auto"/>
                      <w:sz w:val="21"/>
                      <w:szCs w:val="21"/>
                      <w:vertAlign w:val="baseline"/>
                      <w:lang w:val="en-US" w:eastAsia="zh-CN"/>
                    </w:rPr>
                    <w:t>为永久占地</w:t>
                  </w:r>
                  <w:r>
                    <w:rPr>
                      <w:rFonts w:hint="default" w:ascii="Times New Roman" w:hAnsi="Times New Roman" w:eastAsia="宋体" w:cs="Times New Roman"/>
                      <w:color w:val="auto"/>
                      <w:sz w:val="21"/>
                      <w:szCs w:val="21"/>
                      <w:vertAlign w:val="baseline"/>
                      <w:lang w:val="en-US" w:eastAsia="zh-CN"/>
                    </w:rPr>
                    <w:t>，其他区域</w:t>
                  </w:r>
                  <w:r>
                    <w:rPr>
                      <w:rFonts w:hint="eastAsia" w:ascii="Times New Roman" w:hAnsi="Times New Roman" w:eastAsia="宋体" w:cs="Times New Roman"/>
                      <w:color w:val="auto"/>
                      <w:sz w:val="21"/>
                      <w:szCs w:val="21"/>
                      <w:vertAlign w:val="baseline"/>
                      <w:lang w:val="en-US" w:eastAsia="zh-CN"/>
                    </w:rPr>
                    <w:t>为临时占地</w:t>
                  </w:r>
                  <w:r>
                    <w:rPr>
                      <w:rFonts w:hint="default" w:ascii="Times New Roman" w:hAnsi="Times New Roman" w:eastAsia="宋体" w:cs="Times New Roman"/>
                      <w:color w:val="auto"/>
                      <w:sz w:val="21"/>
                      <w:szCs w:val="21"/>
                      <w:vertAlign w:val="baseline"/>
                      <w:lang w:val="en-US" w:eastAsia="zh-CN"/>
                    </w:rPr>
                    <w:t>，不涉及重要水源涵养区、饮用水水源保护区，国家公园、自然保护区、风景名胜区、森林公园、地质公园、草原公园、湿地公园等自然公园、文物保护单位等区域</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70B2A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A94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3A8A26F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4AFE47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54B85B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第十六条 新建、扩建、改建煤炭、石油、天然气开发建设项目，建设单位应当在项目开工建设前编制环境影响评价文件，按照建设项目环境影响评价分级管理目录规定，报有审批权的生态环境行政主管部门审批。实行相对集中行政许可权的地方，审批机关应当将审批文件同时抄送项目所在地同级生态环境行政主管部门</w:t>
                  </w:r>
                </w:p>
              </w:tc>
              <w:tc>
                <w:tcPr>
                  <w:tcW w:w="1207" w:type="pct"/>
                  <w:vAlign w:val="center"/>
                </w:tcPr>
                <w:p w14:paraId="650CDB1F">
                  <w:pPr>
                    <w:keepNext w:val="0"/>
                    <w:keepLines w:val="0"/>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长庆油田分公司天然气评价项目部已正式委托我公司进行环境影响评价工作，拟上报榆林市生态环境局</w:t>
                  </w:r>
                  <w:r>
                    <w:rPr>
                      <w:rFonts w:hint="eastAsia" w:ascii="Times New Roman" w:hAnsi="Times New Roman" w:eastAsia="宋体" w:cs="Times New Roman"/>
                      <w:color w:val="auto"/>
                      <w:sz w:val="21"/>
                      <w:szCs w:val="21"/>
                      <w:vertAlign w:val="baseline"/>
                      <w:lang w:val="en-US" w:eastAsia="zh-CN"/>
                    </w:rPr>
                    <w:t>佳县</w:t>
                  </w:r>
                  <w:r>
                    <w:rPr>
                      <w:rFonts w:hint="default" w:ascii="Times New Roman" w:hAnsi="Times New Roman" w:eastAsia="宋体" w:cs="Times New Roman"/>
                      <w:color w:val="auto"/>
                      <w:sz w:val="21"/>
                      <w:szCs w:val="21"/>
                      <w:vertAlign w:val="baseline"/>
                      <w:lang w:val="en-US" w:eastAsia="zh-CN"/>
                    </w:rPr>
                    <w:t>分局审批</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4AC59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CC4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6C1AEBA7">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1A0D5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5394C4B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第二十六条 石油、天然气开发单位应当对开采过程中产生的钻井废水、压裂返排液、采出水按照国家有关规定进行无害化处理，经处理达到标准的，按照经批准的环境影响评价文件要求排放或者回注。石油采出水应当同层回注，不得外排</w:t>
                  </w:r>
                </w:p>
              </w:tc>
              <w:tc>
                <w:tcPr>
                  <w:tcW w:w="1207" w:type="pct"/>
                  <w:vAlign w:val="center"/>
                </w:tcPr>
                <w:p w14:paraId="19C7BE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本项目天然气勘探过程产生的钻井废水、压裂返排液等交</w:t>
                  </w:r>
                  <w:r>
                    <w:rPr>
                      <w:rFonts w:hint="eastAsia" w:ascii="Times New Roman" w:hAnsi="Times New Roman" w:eastAsia="宋体" w:cs="Times New Roman"/>
                      <w:color w:val="auto"/>
                      <w:sz w:val="21"/>
                      <w:szCs w:val="21"/>
                      <w:vertAlign w:val="baseline"/>
                      <w:lang w:val="en-US" w:eastAsia="zh-CN"/>
                    </w:rPr>
                    <w:t>陕西榆佳环保科技有限公司</w:t>
                  </w:r>
                  <w:r>
                    <w:rPr>
                      <w:rFonts w:hint="default" w:ascii="Times New Roman" w:hAnsi="Times New Roman" w:eastAsia="宋体" w:cs="Times New Roman"/>
                      <w:color w:val="auto"/>
                      <w:sz w:val="21"/>
                      <w:szCs w:val="21"/>
                      <w:vertAlign w:val="baseline"/>
                      <w:lang w:val="en-US" w:eastAsia="zh-CN"/>
                    </w:rPr>
                    <w:t>处置，</w:t>
                  </w:r>
                  <w:r>
                    <w:rPr>
                      <w:rFonts w:hint="eastAsia" w:ascii="Times New Roman" w:hAnsi="Times New Roman" w:eastAsia="宋体" w:cs="Times New Roman"/>
                      <w:color w:val="auto"/>
                      <w:sz w:val="21"/>
                      <w:szCs w:val="21"/>
                      <w:vertAlign w:val="baseline"/>
                      <w:lang w:val="en-US" w:eastAsia="zh-CN"/>
                    </w:rPr>
                    <w:t>已</w:t>
                  </w:r>
                  <w:r>
                    <w:rPr>
                      <w:rFonts w:hint="default" w:ascii="Times New Roman" w:hAnsi="Times New Roman" w:eastAsia="宋体" w:cs="Times New Roman"/>
                      <w:color w:val="auto"/>
                      <w:sz w:val="21"/>
                      <w:szCs w:val="21"/>
                      <w:vertAlign w:val="baseline"/>
                      <w:lang w:val="en-US" w:eastAsia="zh-CN"/>
                    </w:rPr>
                    <w:t>明确处置责任及去向。</w:t>
                  </w:r>
                </w:p>
              </w:tc>
              <w:tc>
                <w:tcPr>
                  <w:tcW w:w="540" w:type="pct"/>
                  <w:vAlign w:val="center"/>
                </w:tcPr>
                <w:p w14:paraId="7E4D50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C1E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595B755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5C4EC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487B03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第二十九条 煤炭、石油、天然气开发单位收集、贮存、运输、利用和处置危险废物，应当严格执行国家和本省有关规定，不得将危险废物交由不具备资质的单位处置</w:t>
                  </w:r>
                </w:p>
              </w:tc>
              <w:tc>
                <w:tcPr>
                  <w:tcW w:w="1207" w:type="pct"/>
                  <w:vAlign w:val="center"/>
                </w:tcPr>
                <w:p w14:paraId="51AE111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本项目产生的危险废物委托有资质单位处理</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3F8E48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3BC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6CA5A4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4E2D54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11547212">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石油、天然气开发单位对开采过程中产生的废弃泥浆、岩屑等工业固体废物应当集中收集、处置</w:t>
                  </w:r>
                </w:p>
              </w:tc>
              <w:tc>
                <w:tcPr>
                  <w:tcW w:w="1207" w:type="pct"/>
                  <w:vAlign w:val="center"/>
                </w:tcPr>
                <w:p w14:paraId="1F24465A">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本项目施工场地设有移动式</w:t>
                  </w:r>
                  <w:r>
                    <w:rPr>
                      <w:rFonts w:hint="default" w:ascii="Times New Roman" w:hAnsi="Times New Roman" w:eastAsia="宋体" w:cs="Times New Roman"/>
                      <w:color w:val="auto"/>
                      <w:sz w:val="21"/>
                      <w:szCs w:val="21"/>
                    </w:rPr>
                    <w:t>泥饼和岩屑收集罐</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对产生的废弃泥浆和岩屑进行集中收集，待施工结束后，</w:t>
                  </w:r>
                  <w:r>
                    <w:rPr>
                      <w:rFonts w:hint="default" w:ascii="Times New Roman" w:hAnsi="Times New Roman" w:eastAsia="宋体" w:cs="Times New Roman"/>
                      <w:color w:val="auto"/>
                      <w:sz w:val="21"/>
                      <w:szCs w:val="21"/>
                      <w:vertAlign w:val="baseline"/>
                      <w:lang w:val="en-US" w:eastAsia="zh-CN"/>
                    </w:rPr>
                    <w:t>项目开工前</w:t>
                  </w:r>
                  <w:r>
                    <w:rPr>
                      <w:rFonts w:hint="eastAsia" w:ascii="Times New Roman" w:hAnsi="Times New Roman" w:eastAsia="宋体" w:cs="Times New Roman"/>
                      <w:color w:val="auto"/>
                      <w:sz w:val="21"/>
                      <w:szCs w:val="21"/>
                      <w:vertAlign w:val="baseline"/>
                      <w:lang w:val="en-US" w:eastAsia="zh-CN"/>
                    </w:rPr>
                    <w:t>已同陕西德禾鑫盛环保科技有限公司</w:t>
                  </w:r>
                  <w:r>
                    <w:rPr>
                      <w:rFonts w:hint="default" w:ascii="Times New Roman" w:hAnsi="Times New Roman" w:eastAsia="宋体" w:cs="Times New Roman"/>
                      <w:color w:val="auto"/>
                      <w:sz w:val="21"/>
                      <w:szCs w:val="21"/>
                      <w:vertAlign w:val="baseline"/>
                      <w:lang w:val="en-US" w:eastAsia="zh-CN"/>
                    </w:rPr>
                    <w:t>签订处置合同，</w:t>
                  </w:r>
                  <w:r>
                    <w:rPr>
                      <w:rFonts w:hint="eastAsia" w:ascii="Times New Roman" w:hAnsi="Times New Roman" w:eastAsia="宋体" w:cs="Times New Roman"/>
                      <w:color w:val="auto"/>
                      <w:sz w:val="21"/>
                      <w:szCs w:val="21"/>
                      <w:vertAlign w:val="baseline"/>
                      <w:lang w:val="en-US" w:eastAsia="zh-CN"/>
                    </w:rPr>
                    <w:t>已</w:t>
                  </w:r>
                  <w:r>
                    <w:rPr>
                      <w:rFonts w:hint="default" w:ascii="Times New Roman" w:hAnsi="Times New Roman" w:eastAsia="宋体" w:cs="Times New Roman"/>
                      <w:color w:val="auto"/>
                      <w:sz w:val="21"/>
                      <w:szCs w:val="21"/>
                      <w:vertAlign w:val="baseline"/>
                      <w:lang w:val="en-US" w:eastAsia="zh-CN"/>
                    </w:rPr>
                    <w:t>明确处置责任及去向</w:t>
                  </w:r>
                  <w:r>
                    <w:rPr>
                      <w:rFonts w:hint="eastAsia" w:cs="Times New Roman"/>
                      <w:color w:val="auto"/>
                      <w:sz w:val="21"/>
                      <w:szCs w:val="21"/>
                      <w:lang w:val="en-US" w:eastAsia="zh-CN"/>
                    </w:rPr>
                    <w:t>。</w:t>
                  </w:r>
                </w:p>
              </w:tc>
              <w:tc>
                <w:tcPr>
                  <w:tcW w:w="540" w:type="pct"/>
                  <w:vAlign w:val="center"/>
                </w:tcPr>
                <w:p w14:paraId="3FF439CC">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5B52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6E0D982D">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00CD1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587F9736">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天然气井选点测试放喷，应当综合考虑气候、风向、安全等因素合理选点，远离居民区和建筑物，排出的气体应当点燃焚烧</w:t>
                  </w:r>
                </w:p>
              </w:tc>
              <w:tc>
                <w:tcPr>
                  <w:tcW w:w="1207" w:type="pct"/>
                  <w:vAlign w:val="center"/>
                </w:tcPr>
                <w:p w14:paraId="32070C60">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测试放喷的天然气经专用放喷管线引至</w:t>
                  </w:r>
                  <w:r>
                    <w:rPr>
                      <w:rFonts w:hint="eastAsia" w:cs="Times New Roman"/>
                      <w:color w:val="auto"/>
                      <w:sz w:val="21"/>
                      <w:szCs w:val="21"/>
                      <w:lang w:val="en-US" w:eastAsia="zh-CN"/>
                    </w:rPr>
                    <w:t>放喷池</w:t>
                  </w:r>
                  <w:r>
                    <w:rPr>
                      <w:rFonts w:hint="default" w:ascii="Times New Roman" w:hAnsi="Times New Roman" w:eastAsia="宋体" w:cs="Times New Roman"/>
                      <w:color w:val="auto"/>
                      <w:sz w:val="21"/>
                      <w:szCs w:val="21"/>
                      <w:lang w:val="en-US" w:eastAsia="zh-CN"/>
                    </w:rPr>
                    <w:t>后点火燃烧，放喷时要选择合适的时间，在天气晴朗，且风较大的天气进行，便于废气扩散</w:t>
                  </w:r>
                  <w:r>
                    <w:rPr>
                      <w:rFonts w:hint="eastAsia" w:cs="Times New Roman"/>
                      <w:color w:val="auto"/>
                      <w:sz w:val="21"/>
                      <w:szCs w:val="21"/>
                      <w:lang w:val="en-US" w:eastAsia="zh-CN"/>
                    </w:rPr>
                    <w:t>。</w:t>
                  </w:r>
                </w:p>
              </w:tc>
              <w:tc>
                <w:tcPr>
                  <w:tcW w:w="540" w:type="pct"/>
                  <w:vAlign w:val="center"/>
                </w:tcPr>
                <w:p w14:paraId="4720ADB5">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5B51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713F5392">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43289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2E67D72F">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煤炭、石油、天然气勘探开发中使用放射性同位素和射线装置的，应当依照放射性污染防治法律、法规的规定办理辐射安全许可证。放射性同位素和放射性废物的运输、储存、保管和封装等活动，按照放射性污染防治法律、法规的相关规定执行</w:t>
                  </w:r>
                </w:p>
              </w:tc>
              <w:tc>
                <w:tcPr>
                  <w:tcW w:w="1207" w:type="pct"/>
                  <w:vAlign w:val="center"/>
                </w:tcPr>
                <w:p w14:paraId="010A241A">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本次天然气勘探不使用放射性同位素和射线装置</w:t>
                  </w:r>
                  <w:r>
                    <w:rPr>
                      <w:rFonts w:hint="eastAsia" w:cs="Times New Roman"/>
                      <w:color w:val="auto"/>
                      <w:sz w:val="21"/>
                      <w:szCs w:val="21"/>
                      <w:lang w:val="en-US" w:eastAsia="zh-CN"/>
                    </w:rPr>
                    <w:t>。</w:t>
                  </w:r>
                </w:p>
              </w:tc>
              <w:tc>
                <w:tcPr>
                  <w:tcW w:w="540" w:type="pct"/>
                  <w:vAlign w:val="center"/>
                </w:tcPr>
                <w:p w14:paraId="7E930828">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507C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01DA6A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3</w:t>
                  </w:r>
                </w:p>
              </w:tc>
              <w:tc>
                <w:tcPr>
                  <w:tcW w:w="1370" w:type="pct"/>
                  <w:vMerge w:val="restart"/>
                  <w:vAlign w:val="center"/>
                </w:tcPr>
                <w:p w14:paraId="6BE80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《石油天然气开采业污染防治技术政策》</w:t>
                  </w:r>
                </w:p>
              </w:tc>
              <w:tc>
                <w:tcPr>
                  <w:tcW w:w="1619" w:type="pct"/>
                  <w:vAlign w:val="center"/>
                </w:tcPr>
                <w:p w14:paraId="6EE520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在环境敏感区进行石油天然气勘探、开采的，要在开发前对生态、环境影响进行充分论证，并严格执行环境影响评价文件的要求，积极采取缓解生态、环境破坏的措施</w:t>
                  </w:r>
                </w:p>
              </w:tc>
              <w:tc>
                <w:tcPr>
                  <w:tcW w:w="1207" w:type="pct"/>
                  <w:vAlign w:val="center"/>
                </w:tcPr>
                <w:p w14:paraId="27166C2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本项目在钻井前进行环境影响评价，并积极采取生态保护与恢复措施</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1491E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E6F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F0F347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23B55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734BB0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在油气勘探过程中，宜使用环保型炸药和可控震源，应采取防渗等措施预防燃料泄漏对环境的污染</w:t>
                  </w:r>
                </w:p>
              </w:tc>
              <w:tc>
                <w:tcPr>
                  <w:tcW w:w="1207" w:type="pct"/>
                  <w:vAlign w:val="center"/>
                </w:tcPr>
                <w:p w14:paraId="29F8B3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项目属于气探井工程，勘探方式为钻探井，钻机采用</w:t>
                  </w:r>
                  <w:r>
                    <w:rPr>
                      <w:rFonts w:hint="eastAsia" w:ascii="Times New Roman" w:hAnsi="Times New Roman" w:eastAsia="宋体" w:cs="Times New Roman"/>
                      <w:color w:val="auto"/>
                      <w:sz w:val="21"/>
                      <w:szCs w:val="21"/>
                      <w:vertAlign w:val="baseline"/>
                      <w:lang w:val="en-US" w:eastAsia="zh-CN"/>
                    </w:rPr>
                    <w:t>电驱动机</w:t>
                  </w:r>
                  <w:r>
                    <w:rPr>
                      <w:rFonts w:hint="default" w:ascii="Times New Roman" w:hAnsi="Times New Roman" w:eastAsia="宋体" w:cs="Times New Roman"/>
                      <w:color w:val="auto"/>
                      <w:sz w:val="21"/>
                      <w:szCs w:val="21"/>
                      <w:vertAlign w:val="baseline"/>
                      <w:lang w:val="en-US" w:eastAsia="zh-CN"/>
                    </w:rPr>
                    <w:t>。</w:t>
                  </w:r>
                </w:p>
              </w:tc>
              <w:tc>
                <w:tcPr>
                  <w:tcW w:w="540" w:type="pct"/>
                  <w:vAlign w:val="center"/>
                </w:tcPr>
                <w:p w14:paraId="610CDB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F1F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649272A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5E5E1F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39E4D32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钻井过程中，鼓励采用环境友好的钻井液体系；配备完善的固控设备，钻井液循环率达到95%以上；钻井过程产生的废水应回用</w:t>
                  </w:r>
                </w:p>
              </w:tc>
              <w:tc>
                <w:tcPr>
                  <w:tcW w:w="1207" w:type="pct"/>
                  <w:vAlign w:val="center"/>
                </w:tcPr>
                <w:p w14:paraId="2DBB479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本项目使用水基钻井泥浆，钻井废水用于配置泥浆，循环使用，钻井液循环使用率要求达到95%以上</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79E5C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3F0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6D84D59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57B0D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2DA4A35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在井下作业过程中，酸化液和压裂液宜集中配制，酸化残液、压裂残液和返排液应回收利用或进行无害化处置，压裂放喷返排入罐率应达到100%。酸化、压裂作业和</w:t>
                  </w:r>
                  <w:r>
                    <w:rPr>
                      <w:rFonts w:hint="eastAsia" w:ascii="Times New Roman" w:hAnsi="Times New Roman" w:eastAsia="宋体" w:cs="Times New Roman"/>
                      <w:color w:val="auto"/>
                      <w:kern w:val="0"/>
                      <w:sz w:val="21"/>
                      <w:szCs w:val="21"/>
                      <w:lang w:val="en-US" w:eastAsia="zh-CN" w:bidi="ar"/>
                    </w:rPr>
                    <w:t>试气</w:t>
                  </w:r>
                  <w:r>
                    <w:rPr>
                      <w:rFonts w:hint="default" w:ascii="Times New Roman" w:hAnsi="Times New Roman" w:eastAsia="宋体" w:cs="Times New Roman"/>
                      <w:color w:val="auto"/>
                      <w:kern w:val="0"/>
                      <w:sz w:val="21"/>
                      <w:szCs w:val="21"/>
                      <w:lang w:val="en-US" w:eastAsia="zh-CN" w:bidi="ar"/>
                    </w:rPr>
                    <w:t>（气）过程应采取防喷、地面管线防刺、防漏、防溢等措施</w:t>
                  </w:r>
                </w:p>
              </w:tc>
              <w:tc>
                <w:tcPr>
                  <w:tcW w:w="1207" w:type="pct"/>
                  <w:vAlign w:val="center"/>
                </w:tcPr>
                <w:p w14:paraId="0FA1A78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本项目压裂返排液等交</w:t>
                  </w:r>
                  <w:r>
                    <w:rPr>
                      <w:rFonts w:hint="eastAsia" w:ascii="Times New Roman" w:hAnsi="Times New Roman" w:eastAsia="宋体" w:cs="Times New Roman"/>
                      <w:color w:val="auto"/>
                      <w:sz w:val="21"/>
                      <w:szCs w:val="21"/>
                      <w:highlight w:val="none"/>
                      <w:vertAlign w:val="baseline"/>
                      <w:lang w:val="en-US" w:eastAsia="zh-CN"/>
                    </w:rPr>
                    <w:t>陕西榆佳环保科技有限公司处置</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kern w:val="0"/>
                      <w:sz w:val="21"/>
                      <w:szCs w:val="21"/>
                      <w:highlight w:val="none"/>
                      <w:lang w:val="en-US" w:eastAsia="zh-CN" w:bidi="ar"/>
                    </w:rPr>
                    <w:t>压裂作业和试气过程采取防喷、地面管线防刺、防漏、防溢等措施。本项目勘探过程中不涉及酸化作业</w:t>
                  </w:r>
                  <w:r>
                    <w:rPr>
                      <w:rFonts w:hint="eastAsia" w:ascii="Times New Roman" w:hAnsi="Times New Roman" w:eastAsia="宋体" w:cs="Times New Roman"/>
                      <w:color w:val="auto"/>
                      <w:kern w:val="0"/>
                      <w:sz w:val="21"/>
                      <w:szCs w:val="21"/>
                      <w:highlight w:val="none"/>
                      <w:lang w:val="en-US" w:eastAsia="zh-CN" w:bidi="ar"/>
                    </w:rPr>
                    <w:t>。</w:t>
                  </w:r>
                </w:p>
              </w:tc>
              <w:tc>
                <w:tcPr>
                  <w:tcW w:w="540" w:type="pct"/>
                  <w:vAlign w:val="center"/>
                </w:tcPr>
                <w:p w14:paraId="048248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279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532DBC3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20F48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4B02F5B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207" w:type="pct"/>
                  <w:vAlign w:val="center"/>
                </w:tcPr>
                <w:p w14:paraId="01FE0AB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本项目突发环境事件应急预案纳入中国石油天然气股份有限公司长庆油田分公司突发环境事件应急预案中。</w:t>
                  </w:r>
                </w:p>
              </w:tc>
              <w:tc>
                <w:tcPr>
                  <w:tcW w:w="540" w:type="pct"/>
                  <w:vAlign w:val="center"/>
                </w:tcPr>
                <w:p w14:paraId="03441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D85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76981E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4</w:t>
                  </w:r>
                </w:p>
              </w:tc>
              <w:tc>
                <w:tcPr>
                  <w:tcW w:w="1370" w:type="pct"/>
                  <w:vMerge w:val="restart"/>
                  <w:vAlign w:val="center"/>
                </w:tcPr>
                <w:p w14:paraId="26294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《生态环境部关于进一步加强石油天然气行业环境影响评价管理的通知》</w:t>
                  </w:r>
                </w:p>
              </w:tc>
              <w:tc>
                <w:tcPr>
                  <w:tcW w:w="1619" w:type="pct"/>
                  <w:vAlign w:val="center"/>
                </w:tcPr>
                <w:p w14:paraId="70B45D5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r>
                    <w:rPr>
                      <w:rFonts w:hint="default" w:ascii="Times New Roman" w:hAnsi="Times New Roman" w:eastAsia="宋体" w:cs="Times New Roman"/>
                      <w:color w:val="auto"/>
                      <w:kern w:val="0"/>
                      <w:sz w:val="21"/>
                      <w:szCs w:val="21"/>
                      <w:lang w:val="en-US" w:eastAsia="zh-CN" w:bidi="ar"/>
                    </w:rPr>
                    <w:t>规划环评应当结合油气开发区域的资源环境特征、主体功能区规划、自然保护地、生态保护红线管控等要求，切实维护生态系统完整性和稳定性，明确禁止开发区域和规划实施的资源环境制约因素，合理确定开发方案，明确预防和减轻不良环境影响的对策措施</w:t>
                  </w:r>
                </w:p>
              </w:tc>
              <w:tc>
                <w:tcPr>
                  <w:tcW w:w="1207" w:type="pct"/>
                  <w:vAlign w:val="center"/>
                </w:tcPr>
                <w:p w14:paraId="18847D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本项目不涉及生态红线</w:t>
                  </w:r>
                  <w:r>
                    <w:rPr>
                      <w:rFonts w:hint="eastAsia" w:ascii="Times New Roman" w:hAnsi="Times New Roman" w:eastAsia="宋体" w:cs="Times New Roman"/>
                      <w:color w:val="auto"/>
                      <w:sz w:val="21"/>
                      <w:szCs w:val="21"/>
                      <w:vertAlign w:val="baseline"/>
                      <w:lang w:val="en-US" w:eastAsia="zh-CN"/>
                    </w:rPr>
                    <w:t>等。</w:t>
                  </w:r>
                </w:p>
              </w:tc>
              <w:tc>
                <w:tcPr>
                  <w:tcW w:w="540" w:type="pct"/>
                  <w:vAlign w:val="center"/>
                </w:tcPr>
                <w:p w14:paraId="4D864A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5A9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1EF9071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2DDC1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35620772">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（五）</w:t>
                  </w:r>
                  <w:r>
                    <w:rPr>
                      <w:rFonts w:hint="default" w:ascii="Times New Roman" w:hAnsi="Times New Roman" w:eastAsia="宋体" w:cs="Times New Roman"/>
                      <w:color w:val="auto"/>
                      <w:kern w:val="0"/>
                      <w:sz w:val="21"/>
                      <w:szCs w:val="21"/>
                      <w:lang w:val="en-US" w:eastAsia="zh-CN" w:bidi="ar"/>
                    </w:rPr>
                    <w:t>未确定产能建设规模的陆地油气开采新区块，建设勘探井应当依法编制环境影响报告表</w:t>
                  </w:r>
                </w:p>
              </w:tc>
              <w:tc>
                <w:tcPr>
                  <w:tcW w:w="1207" w:type="pct"/>
                  <w:vAlign w:val="center"/>
                </w:tcPr>
                <w:p w14:paraId="669E0E8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本项目区块不属于新区块，已取得采矿许可证，区块内滚动开发，为给后期产能项目提供依据设本次评价井，并委托编制环境影响报告表。</w:t>
                  </w:r>
                </w:p>
              </w:tc>
              <w:tc>
                <w:tcPr>
                  <w:tcW w:w="540" w:type="pct"/>
                  <w:vAlign w:val="center"/>
                </w:tcPr>
                <w:p w14:paraId="42156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AF9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6CC47353">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155E4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539BCE3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（七）</w:t>
                  </w:r>
                  <w:r>
                    <w:rPr>
                      <w:rFonts w:hint="default" w:ascii="Times New Roman" w:hAnsi="Times New Roman" w:eastAsia="宋体" w:cs="Times New Roman"/>
                      <w:color w:val="auto"/>
                      <w:kern w:val="0"/>
                      <w:sz w:val="21"/>
                      <w:szCs w:val="21"/>
                      <w:lang w:val="en-US" w:eastAsia="zh-CN" w:bidi="ar"/>
                    </w:rPr>
                    <w:t>涉及向地表水体排放污染物的陆地油气开采项目，应当符合国家和地方污染物排放标准，满足重点污染物排放总量控制要求</w:t>
                  </w:r>
                </w:p>
              </w:tc>
              <w:tc>
                <w:tcPr>
                  <w:tcW w:w="1207" w:type="pct"/>
                  <w:vAlign w:val="center"/>
                </w:tcPr>
                <w:p w14:paraId="17DC6C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本项目生活污水和施工废水均不外排</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09A6C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290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6155D90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33BF4D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3B15E8D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（九）</w:t>
                  </w:r>
                  <w:r>
                    <w:rPr>
                      <w:rFonts w:hint="default" w:ascii="Times New Roman" w:hAnsi="Times New Roman" w:eastAsia="宋体" w:cs="Times New Roman"/>
                      <w:color w:val="auto"/>
                      <w:kern w:val="0"/>
                      <w:sz w:val="21"/>
                      <w:szCs w:val="21"/>
                      <w:lang w:val="en-US" w:eastAsia="zh-CN" w:bidi="ar"/>
                    </w:rPr>
                    <w:t>油气开采产生的废弃油基泥浆、含油钻屑及其他固体废物，应当遵循减量化、资源化、无害化原则，按照国家和地方有关固体废物的管理规定进行处置</w:t>
                  </w:r>
                </w:p>
              </w:tc>
              <w:tc>
                <w:tcPr>
                  <w:tcW w:w="1207" w:type="pct"/>
                  <w:vAlign w:val="center"/>
                </w:tcPr>
                <w:p w14:paraId="574C94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本项目采用水基泥浆钻井液，不产生废弃油基泥浆、含油钻屑</w:t>
                  </w:r>
                  <w:r>
                    <w:rPr>
                      <w:rFonts w:hint="eastAsia" w:ascii="Times New Roman" w:hAnsi="Times New Roman" w:eastAsia="宋体" w:cs="Times New Roman"/>
                      <w:color w:val="auto"/>
                      <w:sz w:val="21"/>
                      <w:szCs w:val="21"/>
                      <w:vertAlign w:val="baseline"/>
                      <w:lang w:val="en-US" w:eastAsia="zh-CN"/>
                    </w:rPr>
                    <w:t>和其他废物。</w:t>
                  </w:r>
                </w:p>
              </w:tc>
              <w:tc>
                <w:tcPr>
                  <w:tcW w:w="540" w:type="pct"/>
                  <w:vAlign w:val="center"/>
                </w:tcPr>
                <w:p w14:paraId="3F18CB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FD9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70451BB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230D1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15EBAF5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w:t>
                  </w:r>
                  <w:r>
                    <w:rPr>
                      <w:rFonts w:hint="default" w:ascii="Times New Roman" w:hAnsi="Times New Roman" w:eastAsia="宋体" w:cs="Times New Roman"/>
                      <w:color w:val="auto"/>
                      <w:kern w:val="0"/>
                      <w:sz w:val="21"/>
                      <w:szCs w:val="21"/>
                      <w:lang w:val="en-US" w:eastAsia="zh-CN" w:bidi="ar"/>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w:t>
                  </w:r>
                </w:p>
              </w:tc>
              <w:tc>
                <w:tcPr>
                  <w:tcW w:w="1207" w:type="pct"/>
                  <w:vAlign w:val="center"/>
                </w:tcPr>
                <w:p w14:paraId="33E13CB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本项目采用电驱动钻井，钻井过程中不会产生有机废气及恶臭气体</w:t>
                  </w:r>
                </w:p>
              </w:tc>
              <w:tc>
                <w:tcPr>
                  <w:tcW w:w="540" w:type="pct"/>
                  <w:vAlign w:val="center"/>
                </w:tcPr>
                <w:p w14:paraId="4F48D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22B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6233B25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310F3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24BAF5B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（十一）</w:t>
                  </w:r>
                  <w:r>
                    <w:rPr>
                      <w:rFonts w:hint="default" w:ascii="Times New Roman" w:hAnsi="Times New Roman" w:eastAsia="宋体" w:cs="Times New Roman"/>
                      <w:color w:val="auto"/>
                      <w:kern w:val="0"/>
                      <w:sz w:val="21"/>
                      <w:szCs w:val="21"/>
                      <w:lang w:val="en-US" w:eastAsia="zh-CN" w:bidi="ar"/>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207" w:type="pct"/>
                  <w:vAlign w:val="center"/>
                </w:tcPr>
                <w:p w14:paraId="0A0C23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项目选址合理，施工期较短，项目地周边100m范围内无环境敏感目标。项目选用低噪声设备，勘探结束后进行生态恢复</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0A1C9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63E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078F3D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5</w:t>
                  </w:r>
                </w:p>
              </w:tc>
              <w:tc>
                <w:tcPr>
                  <w:tcW w:w="1370" w:type="pct"/>
                  <w:vMerge w:val="restart"/>
                  <w:vAlign w:val="center"/>
                </w:tcPr>
                <w:p w14:paraId="1CFEB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《陕西省石油天然气开采项目环境影响评价文件审批要点》</w:t>
                  </w:r>
                </w:p>
              </w:tc>
              <w:tc>
                <w:tcPr>
                  <w:tcW w:w="1619" w:type="pct"/>
                  <w:vAlign w:val="center"/>
                </w:tcPr>
                <w:p w14:paraId="3126A00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1207" w:type="pct"/>
                  <w:vAlign w:val="center"/>
                </w:tcPr>
                <w:p w14:paraId="2644EC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本</w:t>
                  </w:r>
                  <w:r>
                    <w:rPr>
                      <w:rFonts w:hint="default" w:ascii="Times New Roman" w:hAnsi="Times New Roman" w:eastAsia="宋体" w:cs="Times New Roman"/>
                      <w:color w:val="auto"/>
                      <w:sz w:val="21"/>
                      <w:szCs w:val="21"/>
                      <w:vertAlign w:val="baseline"/>
                      <w:lang w:val="en-US" w:eastAsia="zh-CN"/>
                    </w:rPr>
                    <w:t>项目不涉及生态红线，不涉及水源涵养区、饮用水水源保护区，国家公园，自然保护区，风景名胜区、森林公园、地质公园、湿地公园等自然公园、文物保护单位等</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0E4846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168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321770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20B2C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0F3B9732">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油气开采企业应对永久停用、拆除或弃置的各类井、管道等工程设施落实封堵、土壤及地下水修复、生态修复等措施</w:t>
                  </w:r>
                </w:p>
              </w:tc>
              <w:tc>
                <w:tcPr>
                  <w:tcW w:w="1207" w:type="pct"/>
                  <w:vAlign w:val="center"/>
                </w:tcPr>
                <w:p w14:paraId="0B9C531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本项目为天然气</w:t>
                  </w:r>
                  <w:r>
                    <w:rPr>
                      <w:rFonts w:hint="eastAsia" w:ascii="Times New Roman" w:hAnsi="Times New Roman" w:eastAsia="宋体" w:cs="Times New Roman"/>
                      <w:color w:val="auto"/>
                      <w:sz w:val="21"/>
                      <w:szCs w:val="21"/>
                      <w:vertAlign w:val="baseline"/>
                      <w:lang w:val="en-US" w:eastAsia="zh-CN"/>
                    </w:rPr>
                    <w:t>评价井</w:t>
                  </w:r>
                  <w:r>
                    <w:rPr>
                      <w:rFonts w:hint="default" w:ascii="Times New Roman" w:hAnsi="Times New Roman" w:eastAsia="宋体" w:cs="Times New Roman"/>
                      <w:color w:val="auto"/>
                      <w:sz w:val="21"/>
                      <w:szCs w:val="21"/>
                      <w:vertAlign w:val="baseline"/>
                      <w:lang w:val="en-US" w:eastAsia="zh-CN"/>
                    </w:rPr>
                    <w:t>项目，当</w:t>
                  </w:r>
                  <w:r>
                    <w:rPr>
                      <w:rFonts w:hint="eastAsia" w:ascii="Times New Roman" w:hAnsi="Times New Roman" w:eastAsia="宋体" w:cs="Times New Roman"/>
                      <w:color w:val="auto"/>
                      <w:sz w:val="21"/>
                      <w:szCs w:val="21"/>
                      <w:vertAlign w:val="baseline"/>
                      <w:lang w:val="en-US" w:eastAsia="zh-CN"/>
                    </w:rPr>
                    <w:t>评价</w:t>
                  </w:r>
                  <w:r>
                    <w:rPr>
                      <w:rFonts w:hint="default" w:ascii="Times New Roman" w:hAnsi="Times New Roman" w:eastAsia="宋体" w:cs="Times New Roman"/>
                      <w:color w:val="auto"/>
                      <w:sz w:val="21"/>
                      <w:szCs w:val="21"/>
                      <w:vertAlign w:val="baseline"/>
                      <w:lang w:val="en-US" w:eastAsia="zh-CN"/>
                    </w:rPr>
                    <w:t>井不具有开发价值时，采取永久封井，对井场临时占地以及进场道路恢复原状；当勘探井具有开发价值时，采取临时封井，除预留转成生产井所需的面积外，保留临时拓宽道路，其他区域恢复原有植被和生态景观，使区域生态景观和谐一致</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7CB0AB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5C4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31EE9845">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3E964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76F03EF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涉及废水回注的油气开采项目，应当论证回注的环境可行性，不得回注与油气开采无关的废水</w:t>
                  </w:r>
                </w:p>
              </w:tc>
              <w:tc>
                <w:tcPr>
                  <w:tcW w:w="1207" w:type="pct"/>
                  <w:vAlign w:val="center"/>
                </w:tcPr>
                <w:p w14:paraId="7E741BB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本项目为天然气</w:t>
                  </w:r>
                  <w:r>
                    <w:rPr>
                      <w:rFonts w:hint="eastAsia" w:ascii="Times New Roman" w:hAnsi="Times New Roman" w:eastAsia="宋体" w:cs="Times New Roman"/>
                      <w:color w:val="auto"/>
                      <w:sz w:val="21"/>
                      <w:szCs w:val="21"/>
                      <w:vertAlign w:val="baseline"/>
                      <w:lang w:val="en-US" w:eastAsia="zh-CN"/>
                    </w:rPr>
                    <w:t>评价井</w:t>
                  </w:r>
                  <w:r>
                    <w:rPr>
                      <w:rFonts w:hint="default" w:ascii="Times New Roman" w:hAnsi="Times New Roman" w:eastAsia="宋体" w:cs="Times New Roman"/>
                      <w:color w:val="auto"/>
                      <w:sz w:val="21"/>
                      <w:szCs w:val="21"/>
                      <w:vertAlign w:val="baseline"/>
                      <w:lang w:val="en-US" w:eastAsia="zh-CN"/>
                    </w:rPr>
                    <w:t>项目，不涉及废水回注</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389C91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CF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CD81F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6</w:t>
                  </w:r>
                </w:p>
              </w:tc>
              <w:tc>
                <w:tcPr>
                  <w:tcW w:w="1370" w:type="pct"/>
                  <w:vAlign w:val="center"/>
                </w:tcPr>
                <w:p w14:paraId="20E595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《陕西省加强陕北地区环境保护的若干意见》</w:t>
                  </w:r>
                </w:p>
              </w:tc>
              <w:tc>
                <w:tcPr>
                  <w:tcW w:w="1619" w:type="pct"/>
                  <w:vAlign w:val="center"/>
                </w:tcPr>
                <w:p w14:paraId="7034CE8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城市规划区、生态防护区、试验区、自然保护区内不得开采煤、气、油、盐；城市饮用水水源一、二级保护区、革命圣地遗址、风景名胜区等具有特殊保护价值的地区，不得新建各类有污染的项目</w:t>
                  </w:r>
                </w:p>
              </w:tc>
              <w:tc>
                <w:tcPr>
                  <w:tcW w:w="1207" w:type="pct"/>
                  <w:vAlign w:val="center"/>
                </w:tcPr>
                <w:p w14:paraId="3FB36C8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项目建设内容不在城市规划区、生态防护区、试验区、自然保护区、一二级水源保护区内、革命圣地遗址、风景名胜区等具有特殊保护价值的地区内</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1113F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C7F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167661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7</w:t>
                  </w:r>
                </w:p>
              </w:tc>
              <w:tc>
                <w:tcPr>
                  <w:tcW w:w="1370" w:type="pct"/>
                  <w:vAlign w:val="center"/>
                </w:tcPr>
                <w:p w14:paraId="1C186D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《陕西省防沙治沙规划（2021-2030年）》</w:t>
                  </w:r>
                </w:p>
              </w:tc>
              <w:tc>
                <w:tcPr>
                  <w:tcW w:w="1619" w:type="pct"/>
                  <w:shd w:val="clear" w:color="auto" w:fill="auto"/>
                  <w:vAlign w:val="center"/>
                </w:tcPr>
                <w:p w14:paraId="3F5B961A">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四）黄土(丘陵)覆沙治理区本区地处长城沿线毛乌素沙地治理区东南，包括榆阳、横山、神木、府谷、佳县5个县(市、区)46个乡镇，总面积920091.25公顷，占规划总面积的25.02%，其中沙化土地面积57931.05公顷。本区为沙地与黄土梁峁的过渡带，沟壑纵横深切，梁涧兼存，尤其是黄河沿线石质山区地势陡峭，侵蚀模数大;该区气候干燥，有效降水少，植被覆盖率低，水蚀、风蚀荒漠化并存。</w:t>
                  </w:r>
                </w:p>
                <w:p w14:paraId="042C154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主攻方向</w:t>
                  </w:r>
                  <w:r>
                    <w:rPr>
                      <w:rFonts w:hint="eastAsia" w:ascii="Times New Roman" w:hAnsi="Times New Roman" w:eastAsia="宋体" w:cs="Times New Roman"/>
                      <w:b/>
                      <w:bCs/>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保持水土，防治土地荒漠化和沙化。加强困难立地造林和飞播造林技术研究示范。重点营造防风固沙林和水土保持林，发展兼有生态经济功用的树种，加大经济林提质增效力度。环城市矿区、乡镇、村庄营造景观防护林，农田、河道营造农田防护林、护岸林，加快绿化速度，提高植被覆盖度</w:t>
                  </w:r>
                  <w:r>
                    <w:rPr>
                      <w:rFonts w:hint="eastAsia" w:ascii="Times New Roman" w:hAnsi="Times New Roman" w:eastAsia="宋体" w:cs="Times New Roman"/>
                      <w:color w:val="auto"/>
                      <w:kern w:val="0"/>
                      <w:sz w:val="21"/>
                      <w:szCs w:val="21"/>
                      <w:lang w:val="en-US" w:eastAsia="zh-CN" w:bidi="ar"/>
                    </w:rPr>
                    <w:t>。</w:t>
                  </w:r>
                </w:p>
              </w:tc>
              <w:tc>
                <w:tcPr>
                  <w:tcW w:w="1207" w:type="pct"/>
                  <w:shd w:val="clear" w:color="auto" w:fill="auto"/>
                  <w:vAlign w:val="center"/>
                </w:tcPr>
                <w:p w14:paraId="4AD05FC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本项目位于佳县通镇。根据陕西省防沙治沙规划（2021-2030年）附表5，本项目位于黄土（丘陵）覆沙治理区，不涉及沙化土地封禁保区。本报告已提出保持水土、防治土地荒漠化及土地沙化的防治措施。</w:t>
                  </w:r>
                </w:p>
              </w:tc>
              <w:tc>
                <w:tcPr>
                  <w:tcW w:w="540" w:type="pct"/>
                  <w:vAlign w:val="center"/>
                </w:tcPr>
                <w:p w14:paraId="311A9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D64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06A1F0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8</w:t>
                  </w:r>
                </w:p>
              </w:tc>
              <w:tc>
                <w:tcPr>
                  <w:tcW w:w="1370" w:type="pct"/>
                  <w:vAlign w:val="center"/>
                </w:tcPr>
                <w:p w14:paraId="7B33B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《陕西省固体废物污染防治专项整治行动方案》</w:t>
                  </w:r>
                </w:p>
              </w:tc>
              <w:tc>
                <w:tcPr>
                  <w:tcW w:w="1619" w:type="pct"/>
                  <w:vAlign w:val="center"/>
                </w:tcPr>
                <w:p w14:paraId="269229F8">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落实产废企业污染防治主体责任。固体废物产生企业要对固体废物处置全过程负责，细化管理台账、落实申报登记制度，如实申报固体废物利用处置最终去向，实行申报登记信息承诺制，向社会公开固体废物产生种类、数量、利用、处置情况及承诺书等信息，接受社会监督</w:t>
                  </w:r>
                </w:p>
              </w:tc>
              <w:tc>
                <w:tcPr>
                  <w:tcW w:w="1207" w:type="pct"/>
                  <w:vAlign w:val="center"/>
                </w:tcPr>
                <w:p w14:paraId="091B62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项目产生的废弃岩屑、泥饼运输过程实施全程GPS定位及监控，严禁运输过程中随意掩埋、抛洒废弃钻井岩屑、泥饼。</w:t>
                  </w:r>
                  <w:r>
                    <w:rPr>
                      <w:rFonts w:hint="eastAsia" w:ascii="Times New Roman" w:hAnsi="Times New Roman" w:eastAsia="宋体" w:cs="Times New Roman"/>
                      <w:color w:val="auto"/>
                      <w:sz w:val="21"/>
                      <w:szCs w:val="21"/>
                      <w:vertAlign w:val="baseline"/>
                      <w:lang w:val="en-US" w:eastAsia="zh-CN"/>
                    </w:rPr>
                    <w:t>陕西德禾鑫盛环保科技有限公司</w:t>
                  </w:r>
                  <w:r>
                    <w:rPr>
                      <w:rFonts w:hint="default" w:ascii="Times New Roman" w:hAnsi="Times New Roman" w:eastAsia="宋体" w:cs="Times New Roman"/>
                      <w:color w:val="auto"/>
                      <w:sz w:val="21"/>
                      <w:szCs w:val="21"/>
                      <w:vertAlign w:val="baseline"/>
                      <w:lang w:val="en-US" w:eastAsia="zh-CN"/>
                    </w:rPr>
                    <w:t>负责废弃泥饼、岩屑从产生地至合法处置场之间的运输以及运输过程中的污染防治，并应按照规定向榆林市生态环境局佳县分局提供废物的产生量、实际流向和处置等有关资料。</w:t>
                  </w:r>
                </w:p>
              </w:tc>
              <w:tc>
                <w:tcPr>
                  <w:tcW w:w="540" w:type="pct"/>
                  <w:vAlign w:val="center"/>
                </w:tcPr>
                <w:p w14:paraId="79ED6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285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399D1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9</w:t>
                  </w:r>
                </w:p>
              </w:tc>
              <w:tc>
                <w:tcPr>
                  <w:tcW w:w="1370" w:type="pct"/>
                  <w:vAlign w:val="center"/>
                </w:tcPr>
                <w:p w14:paraId="3DF88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《榆林市油田开采废弃物不落地集中处置推广项目建设管理指南（试行）的通知》</w:t>
                  </w:r>
                </w:p>
              </w:tc>
              <w:tc>
                <w:tcPr>
                  <w:tcW w:w="1619" w:type="pct"/>
                  <w:vAlign w:val="center"/>
                </w:tcPr>
                <w:p w14:paraId="5354275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油气钻井现场配备移动式泥浆罐（槽）、振动筛、废弃泥浆混凝压滤机等预处理设备，泥渣、岩屑堆放场完成底部防渗处理，设置50公分防水围堰及堆场遮盖防雨设施。废弃泥浆岩屑经破乳、混凝、压滤后，含水率不高于50%，固相、液相废弃物在井场完井后10天内必须运往推广区域集中处置场所。废弃泥浆上清液、压裂返排液、渗滤收集液统一收集，送联合站、试点项目或集中处置站处理后回用于配制钻井液或压裂液，剩余部分由回注井实施同层达标回注</w:t>
                  </w:r>
                </w:p>
              </w:tc>
              <w:tc>
                <w:tcPr>
                  <w:tcW w:w="1207" w:type="pct"/>
                  <w:vAlign w:val="center"/>
                </w:tcPr>
                <w:p w14:paraId="7CA41BF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本项目气井</w:t>
                  </w:r>
                  <w:r>
                    <w:rPr>
                      <w:rFonts w:hint="eastAsia" w:ascii="Times New Roman" w:hAnsi="Times New Roman" w:eastAsia="宋体" w:cs="Times New Roman"/>
                      <w:color w:val="auto"/>
                      <w:sz w:val="21"/>
                      <w:szCs w:val="21"/>
                      <w:vertAlign w:val="baseline"/>
                      <w:lang w:val="en-US" w:eastAsia="zh-CN"/>
                    </w:rPr>
                    <w:t>钻井</w:t>
                  </w:r>
                  <w:r>
                    <w:rPr>
                      <w:rFonts w:hint="default" w:ascii="Times New Roman" w:hAnsi="Times New Roman" w:eastAsia="宋体" w:cs="Times New Roman"/>
                      <w:color w:val="auto"/>
                      <w:sz w:val="21"/>
                      <w:szCs w:val="21"/>
                      <w:vertAlign w:val="baseline"/>
                      <w:lang w:val="en-US" w:eastAsia="zh-CN"/>
                    </w:rPr>
                    <w:t>现场设置</w:t>
                  </w:r>
                  <w:r>
                    <w:rPr>
                      <w:rFonts w:hint="eastAsia" w:ascii="Times New Roman" w:hAnsi="Times New Roman" w:eastAsia="宋体" w:cs="Times New Roman"/>
                      <w:b w:val="0"/>
                      <w:bCs w:val="0"/>
                      <w:color w:val="auto"/>
                      <w:sz w:val="21"/>
                      <w:szCs w:val="21"/>
                      <w:vertAlign w:val="baseline"/>
                      <w:lang w:val="en-US" w:eastAsia="zh-CN"/>
                    </w:rPr>
                    <w:t>7</w:t>
                  </w:r>
                  <w:r>
                    <w:rPr>
                      <w:rFonts w:hint="default" w:ascii="Times New Roman" w:hAnsi="Times New Roman" w:eastAsia="宋体" w:cs="Times New Roman"/>
                      <w:b w:val="0"/>
                      <w:bCs w:val="0"/>
                      <w:color w:val="auto"/>
                      <w:sz w:val="21"/>
                      <w:szCs w:val="21"/>
                      <w:vertAlign w:val="baseline"/>
                      <w:lang w:val="en-US" w:eastAsia="zh-CN"/>
                    </w:rPr>
                    <w:t>个</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移动式泥饼和岩屑收集罐，收集罐底部进行防渗处理并设置围堰。</w:t>
                  </w:r>
                  <w:r>
                    <w:rPr>
                      <w:rFonts w:hint="default" w:ascii="Times New Roman" w:hAnsi="Times New Roman" w:eastAsia="宋体" w:cs="Times New Roman"/>
                      <w:color w:val="auto"/>
                      <w:kern w:val="0"/>
                      <w:sz w:val="21"/>
                      <w:szCs w:val="21"/>
                      <w:lang w:val="en-US" w:eastAsia="zh-CN" w:bidi="ar"/>
                    </w:rPr>
                    <w:t>压裂返排液、钻井废水等</w:t>
                  </w:r>
                  <w:r>
                    <w:rPr>
                      <w:rFonts w:hint="eastAsia" w:ascii="Times New Roman" w:hAnsi="Times New Roman" w:eastAsia="宋体" w:cs="Times New Roman"/>
                      <w:color w:val="auto"/>
                      <w:kern w:val="0"/>
                      <w:sz w:val="21"/>
                      <w:szCs w:val="21"/>
                      <w:lang w:val="en-US" w:eastAsia="zh-CN" w:bidi="ar"/>
                    </w:rPr>
                    <w:t>交</w:t>
                  </w:r>
                  <w:r>
                    <w:rPr>
                      <w:rFonts w:hint="eastAsia" w:ascii="Times New Roman" w:hAnsi="Times New Roman" w:eastAsia="宋体" w:cs="Times New Roman"/>
                      <w:color w:val="auto"/>
                      <w:sz w:val="21"/>
                      <w:szCs w:val="21"/>
                      <w:vertAlign w:val="baseline"/>
                      <w:lang w:val="en-US" w:eastAsia="zh-CN"/>
                    </w:rPr>
                    <w:t>陕西榆佳环保科技有限公司处置</w:t>
                  </w:r>
                  <w:r>
                    <w:rPr>
                      <w:rFonts w:hint="eastAsia" w:ascii="Times New Roman" w:hAnsi="Times New Roman" w:eastAsia="宋体" w:cs="Times New Roman"/>
                      <w:color w:val="auto"/>
                      <w:kern w:val="0"/>
                      <w:sz w:val="21"/>
                      <w:szCs w:val="21"/>
                      <w:lang w:val="en-US" w:eastAsia="zh-CN" w:bidi="ar"/>
                    </w:rPr>
                    <w:t>。</w:t>
                  </w:r>
                </w:p>
              </w:tc>
              <w:tc>
                <w:tcPr>
                  <w:tcW w:w="540" w:type="pct"/>
                  <w:vAlign w:val="center"/>
                </w:tcPr>
                <w:p w14:paraId="04D3C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3A3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Align w:val="center"/>
                </w:tcPr>
                <w:p w14:paraId="5E8955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10</w:t>
                  </w:r>
                </w:p>
              </w:tc>
              <w:tc>
                <w:tcPr>
                  <w:tcW w:w="1370" w:type="pct"/>
                  <w:vAlign w:val="center"/>
                </w:tcPr>
                <w:p w14:paraId="615FDC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《榆林市油（气）开采废弃物处置环保暂行管理办法》</w:t>
                  </w:r>
                </w:p>
              </w:tc>
              <w:tc>
                <w:tcPr>
                  <w:tcW w:w="1619" w:type="pct"/>
                  <w:vAlign w:val="center"/>
                </w:tcPr>
                <w:p w14:paraId="4BCB9CB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要在钻井前配备废弃钻井泥浆岩屑地上移动式收集设施，对钻井过程中废弃钻井泥浆岩屑进行不落地收集，收集设施不得混合收集其它废弃物；废弃钻井泥浆岩屑需在油（气）井完井后3天内，由防渗漏、防抛洒、防扬尘的运输车辆统一运送至油（气）开采废弃物集中处置场所处置</w:t>
                  </w:r>
                </w:p>
              </w:tc>
              <w:tc>
                <w:tcPr>
                  <w:tcW w:w="1207" w:type="pct"/>
                  <w:vAlign w:val="center"/>
                </w:tcPr>
                <w:p w14:paraId="029DAA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气井现场</w:t>
                  </w:r>
                  <w:r>
                    <w:rPr>
                      <w:rFonts w:hint="default" w:ascii="Times New Roman" w:hAnsi="Times New Roman" w:eastAsia="宋体" w:cs="Times New Roman"/>
                      <w:color w:val="auto"/>
                      <w:sz w:val="21"/>
                      <w:szCs w:val="21"/>
                      <w:vertAlign w:val="baseline"/>
                      <w:lang w:val="en-US" w:eastAsia="zh-CN"/>
                    </w:rPr>
                    <w:t>设置</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个100m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w:t>
                  </w:r>
                  <w:r>
                    <w:rPr>
                      <w:rFonts w:hint="eastAsia" w:ascii="Times New Roman" w:hAnsi="Times New Roman" w:eastAsia="宋体" w:cs="Times New Roman"/>
                      <w:b w:val="0"/>
                      <w:bCs w:val="0"/>
                      <w:color w:val="auto"/>
                      <w:sz w:val="21"/>
                      <w:szCs w:val="21"/>
                      <w:vertAlign w:val="baseline"/>
                      <w:lang w:val="en-US" w:eastAsia="zh-CN"/>
                    </w:rPr>
                    <w:t>定期由</w:t>
                  </w:r>
                  <w:r>
                    <w:rPr>
                      <w:rFonts w:hint="eastAsia" w:ascii="Times New Roman" w:hAnsi="Times New Roman" w:eastAsia="宋体" w:cs="Times New Roman"/>
                      <w:color w:val="auto"/>
                      <w:sz w:val="21"/>
                      <w:szCs w:val="21"/>
                      <w:vertAlign w:val="baseline"/>
                      <w:lang w:val="en-US" w:eastAsia="zh-CN"/>
                    </w:rPr>
                    <w:t>陕西德禾鑫盛环保科技有限公司</w:t>
                  </w:r>
                  <w:r>
                    <w:rPr>
                      <w:rFonts w:hint="default" w:ascii="Times New Roman" w:hAnsi="Times New Roman" w:eastAsia="宋体" w:cs="Times New Roman"/>
                      <w:color w:val="auto"/>
                      <w:kern w:val="0"/>
                      <w:sz w:val="21"/>
                      <w:szCs w:val="21"/>
                      <w:lang w:val="en-US" w:eastAsia="zh-CN" w:bidi="ar"/>
                    </w:rPr>
                    <w:t>由防渗漏、防抛洒、防扬尘的运输车辆</w:t>
                  </w:r>
                  <w:r>
                    <w:rPr>
                      <w:rFonts w:hint="eastAsia" w:ascii="Times New Roman" w:hAnsi="Times New Roman" w:eastAsia="宋体" w:cs="Times New Roman"/>
                      <w:color w:val="auto"/>
                      <w:sz w:val="21"/>
                      <w:szCs w:val="21"/>
                      <w:vertAlign w:val="baseline"/>
                      <w:lang w:val="en-US" w:eastAsia="zh-CN"/>
                    </w:rPr>
                    <w:t>拉运处置</w:t>
                  </w:r>
                  <w:r>
                    <w:rPr>
                      <w:rFonts w:hint="eastAsia" w:ascii="Times New Roman" w:hAnsi="Times New Roman" w:eastAsia="宋体" w:cs="Times New Roman"/>
                      <w:b w:val="0"/>
                      <w:bCs w:val="0"/>
                      <w:color w:val="auto"/>
                      <w:sz w:val="21"/>
                      <w:szCs w:val="21"/>
                      <w:vertAlign w:val="baseline"/>
                      <w:lang w:val="en-US" w:eastAsia="zh-CN"/>
                    </w:rPr>
                    <w:t>。</w:t>
                  </w:r>
                </w:p>
              </w:tc>
              <w:tc>
                <w:tcPr>
                  <w:tcW w:w="540" w:type="pct"/>
                  <w:vAlign w:val="center"/>
                </w:tcPr>
                <w:p w14:paraId="41308D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794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0D4D5B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1</w:t>
                  </w:r>
                </w:p>
              </w:tc>
              <w:tc>
                <w:tcPr>
                  <w:tcW w:w="1370" w:type="pct"/>
                  <w:vMerge w:val="restart"/>
                  <w:vAlign w:val="center"/>
                </w:tcPr>
                <w:p w14:paraId="4016E3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《陆上石油天然气开采钻井废物处置污染控制技术要求》</w:t>
                  </w:r>
                </w:p>
              </w:tc>
              <w:tc>
                <w:tcPr>
                  <w:tcW w:w="1619" w:type="pct"/>
                  <w:vAlign w:val="center"/>
                </w:tcPr>
                <w:p w14:paraId="23ACFA9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钻井废物的收集、贮存、利用、处置，以及处钻井废物处置工程的选址、设计、施工、验收和运行应符合国家和地方固体废物污染防治法律法规与标准要求</w:t>
                  </w:r>
                </w:p>
              </w:tc>
              <w:tc>
                <w:tcPr>
                  <w:tcW w:w="1207" w:type="pct"/>
                  <w:vAlign w:val="center"/>
                </w:tcPr>
                <w:p w14:paraId="49E60F3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本项目属于</w:t>
                  </w:r>
                  <w:r>
                    <w:rPr>
                      <w:rFonts w:hint="eastAsia" w:ascii="Times New Roman" w:hAnsi="Times New Roman" w:eastAsia="宋体" w:cs="Times New Roman"/>
                      <w:color w:val="auto"/>
                      <w:sz w:val="21"/>
                      <w:szCs w:val="21"/>
                      <w:vertAlign w:val="baseline"/>
                      <w:lang w:val="en-US" w:eastAsia="zh-CN"/>
                    </w:rPr>
                    <w:t>天然气评价井</w:t>
                  </w:r>
                  <w:r>
                    <w:rPr>
                      <w:rFonts w:hint="default" w:ascii="Times New Roman" w:hAnsi="Times New Roman" w:eastAsia="宋体" w:cs="Times New Roman"/>
                      <w:color w:val="auto"/>
                      <w:sz w:val="21"/>
                      <w:szCs w:val="21"/>
                      <w:vertAlign w:val="baseline"/>
                      <w:lang w:val="en-US" w:eastAsia="zh-CN"/>
                    </w:rPr>
                    <w:t>探井项目，仅涉及施工期，钻井产生的污染物均有妥善处置去向，不会对周边环境产生不良影响。项目钻井废水、洗井废水</w:t>
                  </w:r>
                  <w:r>
                    <w:rPr>
                      <w:rFonts w:hint="eastAsia" w:ascii="Times New Roman" w:hAnsi="Times New Roman" w:eastAsia="宋体" w:cs="Times New Roman"/>
                      <w:color w:val="auto"/>
                      <w:sz w:val="21"/>
                      <w:szCs w:val="21"/>
                      <w:vertAlign w:val="baseline"/>
                      <w:lang w:val="en-US" w:eastAsia="zh-CN"/>
                    </w:rPr>
                    <w:t>委托</w:t>
                  </w:r>
                  <w:r>
                    <w:rPr>
                      <w:rFonts w:hint="eastAsia"/>
                      <w:color w:val="auto"/>
                      <w:sz w:val="21"/>
                      <w:szCs w:val="21"/>
                      <w:lang w:val="en-US" w:eastAsia="zh-CN"/>
                    </w:rPr>
                    <w:t>陕西榆佳环保科技有限公司外运处理</w:t>
                  </w:r>
                </w:p>
              </w:tc>
              <w:tc>
                <w:tcPr>
                  <w:tcW w:w="540" w:type="pct"/>
                  <w:vAlign w:val="center"/>
                </w:tcPr>
                <w:p w14:paraId="27750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C76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5190020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0C0597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6EA0984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钻井废水处置过程中使用环境友好的原材料与添加剂</w:t>
                  </w:r>
                </w:p>
              </w:tc>
              <w:tc>
                <w:tcPr>
                  <w:tcW w:w="1207" w:type="pct"/>
                  <w:vAlign w:val="center"/>
                </w:tcPr>
                <w:p w14:paraId="1143AC5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本项目气探井长庆油田分公司开发范围内，探井结束后，具备开采价值交由长庆油田分公司</w:t>
                  </w:r>
                  <w:r>
                    <w:rPr>
                      <w:rFonts w:hint="eastAsia" w:ascii="Times New Roman" w:hAnsi="Times New Roman" w:eastAsia="宋体" w:cs="Times New Roman"/>
                      <w:color w:val="auto"/>
                      <w:sz w:val="21"/>
                      <w:szCs w:val="21"/>
                      <w:highlight w:val="none"/>
                      <w:vertAlign w:val="baseline"/>
                      <w:lang w:val="en-US" w:eastAsia="zh-CN"/>
                    </w:rPr>
                    <w:t>第二采气厂</w:t>
                  </w:r>
                  <w:r>
                    <w:rPr>
                      <w:rFonts w:hint="default" w:ascii="Times New Roman" w:hAnsi="Times New Roman" w:eastAsia="宋体" w:cs="Times New Roman"/>
                      <w:color w:val="auto"/>
                      <w:sz w:val="21"/>
                      <w:szCs w:val="21"/>
                      <w:highlight w:val="none"/>
                      <w:vertAlign w:val="baseline"/>
                      <w:lang w:val="en-US" w:eastAsia="zh-CN"/>
                    </w:rPr>
                    <w:t>进行</w:t>
                  </w:r>
                  <w:r>
                    <w:rPr>
                      <w:rFonts w:hint="eastAsia" w:ascii="Times New Roman" w:hAnsi="Times New Roman" w:eastAsia="宋体" w:cs="Times New Roman"/>
                      <w:color w:val="auto"/>
                      <w:sz w:val="21"/>
                      <w:szCs w:val="21"/>
                      <w:highlight w:val="none"/>
                      <w:vertAlign w:val="baseline"/>
                      <w:lang w:val="en-US" w:eastAsia="zh-CN"/>
                    </w:rPr>
                    <w:t>评价井</w:t>
                  </w:r>
                  <w:r>
                    <w:rPr>
                      <w:rFonts w:hint="default" w:ascii="Times New Roman" w:hAnsi="Times New Roman" w:eastAsia="宋体" w:cs="Times New Roman"/>
                      <w:color w:val="auto"/>
                      <w:sz w:val="21"/>
                      <w:szCs w:val="21"/>
                      <w:highlight w:val="none"/>
                      <w:vertAlign w:val="baseline"/>
                      <w:lang w:val="en-US" w:eastAsia="zh-CN"/>
                    </w:rPr>
                    <w:t>的开发</w:t>
                  </w:r>
                  <w:r>
                    <w:rPr>
                      <w:rFonts w:hint="eastAsia" w:ascii="Times New Roman" w:hAnsi="Times New Roman" w:eastAsia="宋体" w:cs="Times New Roman"/>
                      <w:color w:val="auto"/>
                      <w:sz w:val="21"/>
                      <w:szCs w:val="21"/>
                      <w:highlight w:val="none"/>
                      <w:vertAlign w:val="baseline"/>
                      <w:lang w:val="en-US" w:eastAsia="zh-CN"/>
                    </w:rPr>
                    <w:t>维护</w:t>
                  </w:r>
                  <w:r>
                    <w:rPr>
                      <w:rFonts w:hint="default" w:ascii="Times New Roman" w:hAnsi="Times New Roman" w:eastAsia="宋体" w:cs="Times New Roman"/>
                      <w:color w:val="auto"/>
                      <w:sz w:val="21"/>
                      <w:szCs w:val="21"/>
                      <w:highlight w:val="none"/>
                      <w:vertAlign w:val="baseline"/>
                      <w:lang w:val="en-US" w:eastAsia="zh-CN"/>
                    </w:rPr>
                    <w:t>，废弃泥浆、钻井岩屑交由</w:t>
                  </w:r>
                  <w:r>
                    <w:rPr>
                      <w:rFonts w:hint="eastAsia"/>
                      <w:color w:val="auto"/>
                      <w:sz w:val="21"/>
                      <w:szCs w:val="21"/>
                      <w:highlight w:val="none"/>
                      <w:lang w:val="en-US" w:eastAsia="zh-CN"/>
                    </w:rPr>
                    <w:t>陕西德禾鑫盛环保科技有限公司外运处理</w:t>
                  </w:r>
                  <w:r>
                    <w:rPr>
                      <w:rFonts w:hint="eastAsia" w:ascii="Times New Roman" w:hAnsi="Times New Roman" w:eastAsia="宋体" w:cs="Times New Roman"/>
                      <w:color w:val="auto"/>
                      <w:sz w:val="21"/>
                      <w:szCs w:val="21"/>
                      <w:highlight w:val="none"/>
                      <w:vertAlign w:val="baseline"/>
                      <w:lang w:val="en-US" w:eastAsia="zh-CN"/>
                    </w:rPr>
                    <w:t>。</w:t>
                  </w:r>
                </w:p>
              </w:tc>
              <w:tc>
                <w:tcPr>
                  <w:tcW w:w="540" w:type="pct"/>
                  <w:vAlign w:val="center"/>
                </w:tcPr>
                <w:p w14:paraId="1855F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000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0CA5A04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0C9B4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2A7A14D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对水基钻井液体系钻井废物宜实施固液分离处置，优先考虑钻井液回收</w:t>
                  </w:r>
                </w:p>
              </w:tc>
              <w:tc>
                <w:tcPr>
                  <w:tcW w:w="1207" w:type="pct"/>
                  <w:vMerge w:val="restart"/>
                  <w:vAlign w:val="center"/>
                </w:tcPr>
                <w:p w14:paraId="073F60B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项目钻井废水、洗井废水</w:t>
                  </w:r>
                  <w:r>
                    <w:rPr>
                      <w:rFonts w:hint="eastAsia" w:ascii="Times New Roman" w:hAnsi="Times New Roman" w:eastAsia="宋体" w:cs="Times New Roman"/>
                      <w:color w:val="auto"/>
                      <w:sz w:val="21"/>
                      <w:szCs w:val="21"/>
                      <w:vertAlign w:val="baseline"/>
                      <w:lang w:val="en-US" w:eastAsia="zh-CN"/>
                    </w:rPr>
                    <w:t>委托</w:t>
                  </w:r>
                  <w:r>
                    <w:rPr>
                      <w:rFonts w:hint="eastAsia"/>
                      <w:color w:val="auto"/>
                      <w:sz w:val="21"/>
                      <w:szCs w:val="21"/>
                      <w:lang w:val="en-US" w:eastAsia="zh-CN"/>
                    </w:rPr>
                    <w:t>陕西榆佳环保科技有限公司外运处理</w:t>
                  </w:r>
                  <w:r>
                    <w:rPr>
                      <w:rFonts w:hint="eastAsia" w:ascii="Times New Roman" w:hAnsi="Times New Roman" w:eastAsia="宋体" w:cs="Times New Roman"/>
                      <w:color w:val="auto"/>
                      <w:sz w:val="21"/>
                      <w:szCs w:val="21"/>
                      <w:vertAlign w:val="baseline"/>
                      <w:lang w:val="en-US" w:eastAsia="zh-CN"/>
                    </w:rPr>
                    <w:t>；已签订</w:t>
                  </w:r>
                  <w:r>
                    <w:rPr>
                      <w:rFonts w:hint="default" w:ascii="Times New Roman" w:hAnsi="Times New Roman" w:eastAsia="宋体" w:cs="Times New Roman"/>
                      <w:color w:val="auto"/>
                      <w:sz w:val="21"/>
                      <w:szCs w:val="21"/>
                      <w:vertAlign w:val="baseline"/>
                      <w:lang w:val="en-US" w:eastAsia="zh-CN"/>
                    </w:rPr>
                    <w:t>压裂返排液裂液</w:t>
                  </w:r>
                  <w:r>
                    <w:rPr>
                      <w:rFonts w:hint="eastAsia" w:ascii="Times New Roman" w:hAnsi="Times New Roman" w:eastAsia="宋体" w:cs="Times New Roman"/>
                      <w:color w:val="auto"/>
                      <w:sz w:val="21"/>
                      <w:szCs w:val="21"/>
                      <w:vertAlign w:val="baseline"/>
                      <w:lang w:val="en-US" w:eastAsia="zh-CN"/>
                    </w:rPr>
                    <w:t>处置合同，钻井过程产生的各类废物均能够得到合理处置</w:t>
                  </w:r>
                  <w:r>
                    <w:rPr>
                      <w:rFonts w:hint="default" w:ascii="Times New Roman" w:hAnsi="Times New Roman" w:eastAsia="宋体" w:cs="Times New Roman"/>
                      <w:color w:val="auto"/>
                      <w:sz w:val="21"/>
                      <w:szCs w:val="21"/>
                      <w:vertAlign w:val="baseline"/>
                      <w:lang w:val="en-US" w:eastAsia="zh-CN"/>
                    </w:rPr>
                    <w:t>，对周边环境影响较小</w:t>
                  </w:r>
                </w:p>
              </w:tc>
              <w:tc>
                <w:tcPr>
                  <w:tcW w:w="540" w:type="pct"/>
                  <w:vAlign w:val="center"/>
                </w:tcPr>
                <w:p w14:paraId="46EF95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97C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7492FCC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1FDD3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796B0B5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处置过程保护场地周边地表水，地下水、土壤、空气、植被以及野生动植物栖息环境，避免造成环境污染和生态破坏；对钻井废弃物宜采取现场不落地收集措施</w:t>
                  </w:r>
                </w:p>
              </w:tc>
              <w:tc>
                <w:tcPr>
                  <w:tcW w:w="1207" w:type="pct"/>
                  <w:vMerge w:val="continue"/>
                  <w:vAlign w:val="center"/>
                </w:tcPr>
                <w:p w14:paraId="1A4DDA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540" w:type="pct"/>
                  <w:vAlign w:val="center"/>
                </w:tcPr>
                <w:p w14:paraId="52548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4FA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2CC8AC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2</w:t>
                  </w:r>
                </w:p>
              </w:tc>
              <w:tc>
                <w:tcPr>
                  <w:tcW w:w="1370" w:type="pct"/>
                  <w:vMerge w:val="restart"/>
                  <w:vAlign w:val="center"/>
                </w:tcPr>
                <w:p w14:paraId="302DEC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《石油天然气钻井井控技术规范》（GB/T31-33-2014）</w:t>
                  </w:r>
                </w:p>
              </w:tc>
              <w:tc>
                <w:tcPr>
                  <w:tcW w:w="1619" w:type="pct"/>
                  <w:vAlign w:val="center"/>
                </w:tcPr>
                <w:p w14:paraId="215CA99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油气井井口距高压线及其他永久性设施不小于</w:t>
                  </w:r>
                  <w:r>
                    <w:rPr>
                      <w:rFonts w:hint="default" w:ascii="Times New Roman" w:hAnsi="Times New Roman" w:eastAsia="宋体" w:cs="Times New Roman"/>
                      <w:color w:val="auto"/>
                      <w:kern w:val="0"/>
                      <w:sz w:val="21"/>
                      <w:szCs w:val="21"/>
                      <w:lang w:val="en-US" w:eastAsia="zh-CN" w:bidi="ar"/>
                    </w:rPr>
                    <w:t>75m</w:t>
                  </w:r>
                  <w:r>
                    <w:rPr>
                      <w:rFonts w:hint="eastAsia" w:ascii="Times New Roman" w:hAnsi="Times New Roman" w:eastAsia="宋体" w:cs="Times New Roman"/>
                      <w:color w:val="auto"/>
                      <w:kern w:val="0"/>
                      <w:sz w:val="21"/>
                      <w:szCs w:val="21"/>
                      <w:lang w:val="en-US" w:eastAsia="zh-CN" w:bidi="ar"/>
                    </w:rPr>
                    <w:t>；距民宅不小于</w:t>
                  </w:r>
                  <w:r>
                    <w:rPr>
                      <w:rFonts w:hint="default" w:ascii="Times New Roman" w:hAnsi="Times New Roman" w:eastAsia="宋体" w:cs="Times New Roman"/>
                      <w:color w:val="auto"/>
                      <w:kern w:val="0"/>
                      <w:sz w:val="21"/>
                      <w:szCs w:val="21"/>
                      <w:lang w:val="en-US" w:eastAsia="zh-CN" w:bidi="ar"/>
                    </w:rPr>
                    <w:t>100m</w:t>
                  </w:r>
                  <w:r>
                    <w:rPr>
                      <w:rFonts w:hint="eastAsia" w:ascii="Times New Roman" w:hAnsi="Times New Roman" w:eastAsia="宋体" w:cs="Times New Roman"/>
                      <w:color w:val="auto"/>
                      <w:kern w:val="0"/>
                      <w:sz w:val="21"/>
                      <w:szCs w:val="21"/>
                      <w:lang w:val="en-US" w:eastAsia="zh-CN" w:bidi="ar"/>
                    </w:rPr>
                    <w:t>；距铁路及高速公路不小于</w:t>
                  </w:r>
                  <w:r>
                    <w:rPr>
                      <w:rFonts w:hint="default" w:ascii="Times New Roman" w:hAnsi="Times New Roman" w:eastAsia="宋体" w:cs="Times New Roman"/>
                      <w:color w:val="auto"/>
                      <w:kern w:val="0"/>
                      <w:sz w:val="21"/>
                      <w:szCs w:val="21"/>
                      <w:lang w:val="en-US" w:eastAsia="zh-CN" w:bidi="ar"/>
                    </w:rPr>
                    <w:t>200m</w:t>
                  </w:r>
                  <w:r>
                    <w:rPr>
                      <w:rFonts w:hint="eastAsia" w:ascii="Times New Roman" w:hAnsi="Times New Roman" w:eastAsia="宋体" w:cs="Times New Roman"/>
                      <w:color w:val="auto"/>
                      <w:kern w:val="0"/>
                      <w:sz w:val="21"/>
                      <w:szCs w:val="21"/>
                      <w:lang w:val="en-US" w:eastAsia="zh-CN" w:bidi="ar"/>
                    </w:rPr>
                    <w:t>；距学校、医院、油库、人口密集及高危场所等不小于</w:t>
                  </w:r>
                  <w:r>
                    <w:rPr>
                      <w:rFonts w:hint="default" w:ascii="Times New Roman" w:hAnsi="Times New Roman" w:eastAsia="宋体" w:cs="Times New Roman"/>
                      <w:color w:val="auto"/>
                      <w:kern w:val="0"/>
                      <w:sz w:val="21"/>
                      <w:szCs w:val="21"/>
                      <w:lang w:val="en-US" w:eastAsia="zh-CN" w:bidi="ar"/>
                    </w:rPr>
                    <w:t>500m</w:t>
                  </w:r>
                </w:p>
              </w:tc>
              <w:tc>
                <w:tcPr>
                  <w:tcW w:w="1207" w:type="pct"/>
                  <w:vAlign w:val="center"/>
                </w:tcPr>
                <w:p w14:paraId="1CA6DA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本项目勘探井拟建地附近75m内无高压线及其他永久性设施、100m内无民宅、200m内无铁路及高速公路、500m内无学校、医院、油库、人口密集及高危场所等。</w:t>
                  </w:r>
                </w:p>
              </w:tc>
              <w:tc>
                <w:tcPr>
                  <w:tcW w:w="540" w:type="pct"/>
                  <w:vAlign w:val="center"/>
                </w:tcPr>
                <w:p w14:paraId="25BAB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8AE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1FEABD5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7A10B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0E9CF88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油气井之间的井口间距不小于2m；高压油气井，高含硫油气井井口距其他井口之间的距离大于钻进本井所用钻机的钻台长度，且不小于8m</w:t>
                  </w:r>
                </w:p>
              </w:tc>
              <w:tc>
                <w:tcPr>
                  <w:tcW w:w="1207" w:type="pct"/>
                  <w:vAlign w:val="center"/>
                </w:tcPr>
                <w:p w14:paraId="40B8E80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项目新建1口天然气评价井</w:t>
                  </w:r>
                </w:p>
              </w:tc>
              <w:tc>
                <w:tcPr>
                  <w:tcW w:w="540" w:type="pct"/>
                  <w:vAlign w:val="center"/>
                </w:tcPr>
                <w:p w14:paraId="02124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7D7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023F965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798B0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5BEBA37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井筒与地下矿产采掘坑道、矿井通道之间的距离不小于100m</w:t>
                  </w:r>
                </w:p>
              </w:tc>
              <w:tc>
                <w:tcPr>
                  <w:tcW w:w="1207" w:type="pct"/>
                  <w:vAlign w:val="center"/>
                </w:tcPr>
                <w:p w14:paraId="452EA5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本项目附近无地下矿产采掘坑道。</w:t>
                  </w:r>
                </w:p>
              </w:tc>
              <w:tc>
                <w:tcPr>
                  <w:tcW w:w="540" w:type="pct"/>
                  <w:vAlign w:val="center"/>
                </w:tcPr>
                <w:p w14:paraId="2D53B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854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4C9A8D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3</w:t>
                  </w:r>
                </w:p>
              </w:tc>
              <w:tc>
                <w:tcPr>
                  <w:tcW w:w="1370" w:type="pct"/>
                  <w:vMerge w:val="restart"/>
                  <w:vAlign w:val="center"/>
                </w:tcPr>
                <w:p w14:paraId="14619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《石油天然气工程项目用地控制指标》（国土资规【2016】14号）</w:t>
                  </w:r>
                </w:p>
              </w:tc>
              <w:tc>
                <w:tcPr>
                  <w:tcW w:w="1619" w:type="pct"/>
                  <w:vAlign w:val="center"/>
                </w:tcPr>
                <w:p w14:paraId="489F40AF">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进井场道路用地指保证建井及生产期内通往井场的各型车辆安全通行，并能满足抢险车辆通行的新建或扩建道路所占用的土地。</w:t>
                  </w:r>
                </w:p>
                <w:p w14:paraId="57B57867">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进井场道路用地按道路宽度乘以道路长度进行计算。进井场道路路基用地宽度指标不应大于</w:t>
                  </w:r>
                  <w:r>
                    <w:rPr>
                      <w:rFonts w:hint="default" w:ascii="Times New Roman" w:hAnsi="Times New Roman" w:eastAsia="宋体" w:cs="Times New Roman"/>
                      <w:color w:val="auto"/>
                      <w:kern w:val="0"/>
                      <w:sz w:val="21"/>
                      <w:szCs w:val="21"/>
                      <w:lang w:val="en-US" w:eastAsia="zh-CN" w:bidi="ar"/>
                    </w:rPr>
                    <w:t>4.5m</w:t>
                  </w:r>
                  <w:r>
                    <w:rPr>
                      <w:rFonts w:hint="eastAsia" w:ascii="Times New Roman" w:hAnsi="Times New Roman" w:eastAsia="宋体" w:cs="Times New Roman"/>
                      <w:color w:val="auto"/>
                      <w:kern w:val="0"/>
                      <w:sz w:val="21"/>
                      <w:szCs w:val="21"/>
                      <w:lang w:val="en-US" w:eastAsia="zh-CN" w:bidi="ar"/>
                    </w:rPr>
                    <w:t>，边沟、护坡、防洪坝、挡土墙、错车道等用地按实际情况计算</w:t>
                  </w:r>
                </w:p>
              </w:tc>
              <w:tc>
                <w:tcPr>
                  <w:tcW w:w="1207" w:type="pct"/>
                  <w:vAlign w:val="center"/>
                </w:tcPr>
                <w:p w14:paraId="6C6C2E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ar"/>
                    </w:rPr>
                    <w:t>本项目新建进场道路250m，采用砂石路面，宽度为4m。</w:t>
                  </w:r>
                </w:p>
              </w:tc>
              <w:tc>
                <w:tcPr>
                  <w:tcW w:w="540" w:type="pct"/>
                  <w:vAlign w:val="center"/>
                </w:tcPr>
                <w:p w14:paraId="44F280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17D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7E7285B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787C1E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2D4C9FD9">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采气井场用地指保证建井和生产期内钻井作业、井下作业和摆放各种采气设施所占用的土地</w:t>
                  </w:r>
                </w:p>
              </w:tc>
              <w:tc>
                <w:tcPr>
                  <w:tcW w:w="1207" w:type="pct"/>
                  <w:vAlign w:val="center"/>
                </w:tcPr>
                <w:p w14:paraId="137B755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本项目井场临时占地可保证施工期内钻井作业和摆放各种采气设施。</w:t>
                  </w:r>
                </w:p>
              </w:tc>
              <w:tc>
                <w:tcPr>
                  <w:tcW w:w="540" w:type="pct"/>
                  <w:vAlign w:val="center"/>
                </w:tcPr>
                <w:p w14:paraId="5BF5A7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7E6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4E8209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4</w:t>
                  </w:r>
                </w:p>
              </w:tc>
              <w:tc>
                <w:tcPr>
                  <w:tcW w:w="1370" w:type="pct"/>
                  <w:vMerge w:val="restart"/>
                  <w:vAlign w:val="center"/>
                </w:tcPr>
                <w:p w14:paraId="4C6ED4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榆林市生态环境局关于印发《榆林市油气开发压裂返排液处置管理规定》的通知（榆政环发【2023】71号）</w:t>
                  </w:r>
                </w:p>
              </w:tc>
              <w:tc>
                <w:tcPr>
                  <w:tcW w:w="1619" w:type="pct"/>
                  <w:vAlign w:val="center"/>
                </w:tcPr>
                <w:p w14:paraId="6E998C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油气开发企业是油气开发压裂返排液污染防治的责任主体，要将压裂返排液处置纳入油气开发项目生态环境保护总体规划及突发环境事件应急预案，制定油气开发压裂返排液治理方案</w:t>
                  </w:r>
                </w:p>
              </w:tc>
              <w:tc>
                <w:tcPr>
                  <w:tcW w:w="1207" w:type="pct"/>
                  <w:shd w:val="clear" w:color="auto" w:fill="auto"/>
                  <w:vAlign w:val="center"/>
                </w:tcPr>
                <w:p w14:paraId="3ABE9F9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本项目施工过程中将压裂返排液处置纳入油气开发项目生态环境保护总体规划及突发环境事件应急预案中，并且制定压裂返排液治理方案，能够确保压裂返排液得到合理处置</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43D6D2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DB6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B6C1D5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7028D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409B383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无法自行处置压裂返排液的油气开发企业或井下作业总包单位，可与第三方单位签订压裂返排液处置协议，处置协议应明确双方污染防治责任</w:t>
                  </w:r>
                </w:p>
              </w:tc>
              <w:tc>
                <w:tcPr>
                  <w:tcW w:w="1207" w:type="pct"/>
                  <w:vAlign w:val="center"/>
                </w:tcPr>
                <w:p w14:paraId="574ADD8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已签订压裂返排液处置合同，合同中已明确双方污染防治责任。</w:t>
                  </w:r>
                </w:p>
              </w:tc>
              <w:tc>
                <w:tcPr>
                  <w:tcW w:w="540" w:type="pct"/>
                  <w:vAlign w:val="center"/>
                </w:tcPr>
                <w:p w14:paraId="7681EE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A4C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7E29C29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62ACD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60926D6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开发压裂返排液处置项目的中水用于油田同层回注的，油田回注单位应制定中水回注计划，计划要与回注区域油气开发总体规划及生产回注方案相符，明确回注水质、水量、压强及回注时限等相关指标，其中回注水水质需符合国家相关行业或者企业标准</w:t>
                  </w:r>
                </w:p>
              </w:tc>
              <w:tc>
                <w:tcPr>
                  <w:tcW w:w="1207" w:type="pct"/>
                  <w:vAlign w:val="center"/>
                </w:tcPr>
                <w:p w14:paraId="34480B0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本项目不涉及中水回注</w:t>
                  </w:r>
                  <w:r>
                    <w:rPr>
                      <w:rFonts w:hint="eastAsia" w:ascii="Times New Roman" w:hAnsi="Times New Roman" w:eastAsia="宋体" w:cs="Times New Roman"/>
                      <w:color w:val="auto"/>
                      <w:sz w:val="21"/>
                      <w:szCs w:val="21"/>
                      <w:vertAlign w:val="baseline"/>
                      <w:lang w:val="en-US" w:eastAsia="zh-CN"/>
                    </w:rPr>
                    <w:t>。</w:t>
                  </w:r>
                </w:p>
              </w:tc>
              <w:tc>
                <w:tcPr>
                  <w:tcW w:w="540" w:type="pct"/>
                  <w:vAlign w:val="center"/>
                </w:tcPr>
                <w:p w14:paraId="0BB5F0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ED0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6EB973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5</w:t>
                  </w:r>
                </w:p>
              </w:tc>
              <w:tc>
                <w:tcPr>
                  <w:tcW w:w="1370" w:type="pct"/>
                  <w:vMerge w:val="restart"/>
                  <w:vAlign w:val="center"/>
                </w:tcPr>
                <w:p w14:paraId="56550E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《榆林市2025年生态环境保护铁腕治污攻坚行动方案》(榆办字(2025)4号)</w:t>
                  </w:r>
                </w:p>
              </w:tc>
              <w:tc>
                <w:tcPr>
                  <w:tcW w:w="1619" w:type="pct"/>
                  <w:vAlign w:val="center"/>
                </w:tcPr>
                <w:p w14:paraId="7AE41093">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一）扬尘整治精细化管控行动。严格落实企业主体业任和建筑工地扬尘管控“六个百分之百”措施，将防治扬尘污染费用纳入工程造价;成立联合检查专班，按月开展联合执法。并建立问题台账，对产生扬尘污染的工地按职责权属依法查处、对拒不改正的工地贵令停工整治。</w:t>
                  </w:r>
                </w:p>
              </w:tc>
              <w:tc>
                <w:tcPr>
                  <w:tcW w:w="1207" w:type="pct"/>
                  <w:vAlign w:val="center"/>
                </w:tcPr>
                <w:p w14:paraId="2AE48659">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施工期间，项目施工场地严格落实周边围挡、物料裸土覆盖、土方开挖(拆迁)湿法作业、路面硬化、出入车辆清洗、渣土车辆密闭运输“六个百分之百”。</w:t>
                  </w:r>
                </w:p>
              </w:tc>
              <w:tc>
                <w:tcPr>
                  <w:tcW w:w="540" w:type="pct"/>
                  <w:vMerge w:val="restart"/>
                  <w:vAlign w:val="center"/>
                </w:tcPr>
                <w:p w14:paraId="6A19F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w:t>
                  </w:r>
                </w:p>
                <w:p w14:paraId="73FCE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w:t>
                  </w:r>
                </w:p>
              </w:tc>
            </w:tr>
            <w:tr w14:paraId="7359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08B815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370" w:type="pct"/>
                  <w:vMerge w:val="continue"/>
                  <w:vAlign w:val="center"/>
                </w:tcPr>
                <w:p w14:paraId="172F58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6BABDA1C">
                  <w:pPr>
                    <w:pStyle w:val="27"/>
                    <w:bidi w:val="0"/>
                    <w:ind w:firstLine="0" w:firstLineChars="0"/>
                    <w:jc w:val="both"/>
                    <w:rPr>
                      <w:rFonts w:hint="eastAsia"/>
                      <w:color w:val="auto"/>
                      <w:sz w:val="21"/>
                      <w:szCs w:val="21"/>
                      <w:lang w:val="en-US" w:eastAsia="zh-CN"/>
                    </w:rPr>
                  </w:pPr>
                </w:p>
              </w:tc>
              <w:tc>
                <w:tcPr>
                  <w:tcW w:w="1207" w:type="pct"/>
                  <w:vAlign w:val="center"/>
                </w:tcPr>
                <w:p w14:paraId="633C1F34">
                  <w:pPr>
                    <w:pStyle w:val="27"/>
                    <w:bidi w:val="0"/>
                    <w:ind w:firstLine="0" w:firstLineChars="0"/>
                    <w:jc w:val="both"/>
                    <w:rPr>
                      <w:rFonts w:hint="eastAsia"/>
                      <w:color w:val="auto"/>
                      <w:sz w:val="21"/>
                      <w:szCs w:val="21"/>
                      <w:lang w:val="en-US" w:eastAsia="zh-CN"/>
                    </w:rPr>
                  </w:pPr>
                </w:p>
              </w:tc>
              <w:tc>
                <w:tcPr>
                  <w:tcW w:w="540" w:type="pct"/>
                  <w:vMerge w:val="continue"/>
                  <w:vAlign w:val="center"/>
                </w:tcPr>
                <w:p w14:paraId="2A676D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r>
            <w:tr w14:paraId="3EBE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598EF131">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2C113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1B992D92">
                  <w:pPr>
                    <w:pStyle w:val="27"/>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四）机动车尾气管控行动。加强机动车污染源头控制，全面落实《关于预下达国Ⅲ及以下排放标准柴油货车淘汰计划(2023-2025年)的通知》(榆政交发【2023】195号)要求。逐步淘汰国Ш及以下排放标准柴油货车。根据省交通厅、省公安厅、省生态环境厅、省商务厅《关于补充明确国三及以下排放标准柴油货车淘汰年度任务的透知》(陕交函〔2024)1614号)要求，12月底前、完成2025年度淘汰任务量5283辆。完善“生态环境部门监测取证、公安交管部门拦车处罚、交通运输部门监督维修”的联合监管模式，各县市区、园区在货车主要通行路口、物流通道、集中停放地等。每月至少组织开展一次货车污染管控联合执法行动，重点检查柴油货车污染控制装置、OBD、污染物排放达标肯况，严厉查处超标排污行为。涉及大宗物科运输的重点业位。落实《陕西省重点用车企业环保门禁及视频监控系统建设技术指南》。全部建立门禁系统，实施移动源管控，鼓励加快非道路移动机械清洁能源替代。</w:t>
                  </w:r>
                </w:p>
              </w:tc>
              <w:tc>
                <w:tcPr>
                  <w:tcW w:w="1207" w:type="pct"/>
                  <w:vAlign w:val="center"/>
                </w:tcPr>
                <w:p w14:paraId="5B40980A">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项目施工期间，不使用Ⅲ及以下排放标准的柴油货车，使用检测合格且已编码挂牌的非道路移动机械</w:t>
                  </w:r>
                </w:p>
              </w:tc>
              <w:tc>
                <w:tcPr>
                  <w:tcW w:w="540" w:type="pct"/>
                  <w:vAlign w:val="center"/>
                </w:tcPr>
                <w:p w14:paraId="51FC27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A11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61" w:type="pct"/>
                  <w:vMerge w:val="restart"/>
                  <w:vAlign w:val="center"/>
                </w:tcPr>
                <w:p w14:paraId="706851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color w:val="auto"/>
                      <w:sz w:val="21"/>
                      <w:szCs w:val="21"/>
                      <w:vertAlign w:val="baseline"/>
                      <w:lang w:val="en-US" w:eastAsia="zh-CN"/>
                    </w:rPr>
                  </w:pPr>
                </w:p>
                <w:p w14:paraId="045983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color w:val="auto"/>
                      <w:sz w:val="21"/>
                      <w:szCs w:val="21"/>
                      <w:vertAlign w:val="baseline"/>
                      <w:lang w:val="en-US" w:eastAsia="zh-CN"/>
                    </w:rPr>
                  </w:pPr>
                </w:p>
                <w:p w14:paraId="3F8A36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color w:val="auto"/>
                      <w:sz w:val="21"/>
                      <w:szCs w:val="21"/>
                      <w:vertAlign w:val="baseline"/>
                      <w:lang w:val="en-US" w:eastAsia="zh-CN"/>
                    </w:rPr>
                  </w:pPr>
                </w:p>
                <w:p w14:paraId="613DA0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color w:val="auto"/>
                      <w:sz w:val="21"/>
                      <w:szCs w:val="21"/>
                      <w:vertAlign w:val="baseline"/>
                      <w:lang w:val="en-US" w:eastAsia="zh-CN"/>
                    </w:rPr>
                  </w:pPr>
                </w:p>
                <w:p w14:paraId="15F84F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1370" w:type="pct"/>
                  <w:vMerge w:val="restart"/>
                  <w:vAlign w:val="center"/>
                </w:tcPr>
                <w:p w14:paraId="156618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3D45EF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5C46AB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135E322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《佳县2025年生态环境保护铁腕治污攻坚行动方案</w:t>
                  </w:r>
                  <w:r>
                    <w:rPr>
                      <w:rFonts w:hint="default" w:ascii="Times New Roman" w:hAnsi="Times New Roman" w:eastAsia="宋体" w:cs="Times New Roman"/>
                      <w:color w:val="auto"/>
                      <w:sz w:val="21"/>
                      <w:szCs w:val="21"/>
                      <w:vertAlign w:val="baseline"/>
                      <w:lang w:val="en-US" w:eastAsia="zh-CN"/>
                    </w:rPr>
                    <w:t>》佳办</w:t>
                  </w:r>
                  <w:r>
                    <w:rPr>
                      <w:rFonts w:hint="eastAsia" w:ascii="Times New Roman" w:hAnsi="Times New Roman" w:eastAsia="宋体" w:cs="Times New Roman"/>
                      <w:color w:val="auto"/>
                      <w:sz w:val="21"/>
                      <w:szCs w:val="21"/>
                      <w:vertAlign w:val="baseline"/>
                      <w:lang w:val="en-US" w:eastAsia="zh-CN"/>
                    </w:rPr>
                    <w:t>字</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号）</w:t>
                  </w:r>
                </w:p>
                <w:p w14:paraId="1C06436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4248EB0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7BB86B5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4CB756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4A9E4AF7">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一）扬尘整治精细化管控行动。严格落实企业主体业任和建筑工地扬尘管控“六个百分之百”措施，将防治扬尘污染费用纳入工程造价;成立联合检查专班，按月开展联合执法。并建立问题台账，对产生扬尘污染的工地按职责权属依法查处、对拒不改正的工地贵令停工整治。</w:t>
                  </w:r>
                </w:p>
              </w:tc>
              <w:tc>
                <w:tcPr>
                  <w:tcW w:w="1207" w:type="pct"/>
                  <w:vAlign w:val="center"/>
                </w:tcPr>
                <w:p w14:paraId="1F13D2DC">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本项目在勘探过程中将严格按照方案中各项扬尘控制措施进行施工，减缓施工期扬尘污染。</w:t>
                  </w:r>
                </w:p>
              </w:tc>
              <w:tc>
                <w:tcPr>
                  <w:tcW w:w="540" w:type="pct"/>
                  <w:vAlign w:val="center"/>
                </w:tcPr>
                <w:p w14:paraId="2CA1B5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A20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261" w:type="pct"/>
                  <w:vMerge w:val="continue"/>
                  <w:vAlign w:val="center"/>
                </w:tcPr>
                <w:p w14:paraId="5E33E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46EE7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6C455E6E">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(三)机动车尾气管控行动。加强机动车污染源头控制，全面落实《关于预下达国Ⅲ及以下排放标准柴油货车淘汰计划(2023-2025年)的通知》(榆政交发</w:t>
                  </w:r>
                  <w:r>
                    <w:rPr>
                      <w:rFonts w:hint="eastAsia" w:ascii="Times New Roman" w:hAnsi="Times New Roman" w:cs="Times New Roman"/>
                      <w:color w:val="auto"/>
                      <w:kern w:val="0"/>
                      <w:sz w:val="21"/>
                      <w:szCs w:val="21"/>
                      <w:lang w:val="en-US" w:eastAsia="zh-CN" w:bidi="ar-SA"/>
                    </w:rPr>
                    <w:t>【2023】</w:t>
                  </w:r>
                  <w:r>
                    <w:rPr>
                      <w:rFonts w:hint="default" w:ascii="Times New Roman" w:hAnsi="Times New Roman" w:eastAsia="宋体" w:cs="Times New Roman"/>
                      <w:color w:val="auto"/>
                      <w:kern w:val="0"/>
                      <w:sz w:val="21"/>
                      <w:szCs w:val="21"/>
                      <w:lang w:val="en-US" w:eastAsia="zh-CN" w:bidi="ar-SA"/>
                    </w:rPr>
                    <w:t>195号)要求逐步淘汰国Ⅲ及以下排放标准柴油货车。根据省交通厅、省公安厅、省生态环境厅、省商务厅《关于补充明确国三及以下排放标准柴油货车淘汰年度任务的通知》(陕交函【2024】1614号)要求及市政府下达任务，12月底前，完成2025年度淘汰任务。完善“生态环境部门监测取证、公安交管部门拦车处罚、交通运输部门监督维修”的联合监管模式，在货车主要通行路口、集中停放地等，每月至少组织开展一次货车污染管控联合执法行动，重点检查柴油货车污染控制装置、0BD、污染物排放达标情况，严厉查处超标排污行为。涉及大宗物料运输的重点单位，落实《陕西省重点用车企业环保门禁及视频监控系统建设技术指南》，全部建立门禁系统，实施移动源管控，鼓励加快非道路移动机械清洁能源替代。</w:t>
                  </w:r>
                </w:p>
              </w:tc>
              <w:tc>
                <w:tcPr>
                  <w:tcW w:w="1207" w:type="pct"/>
                  <w:vAlign w:val="center"/>
                </w:tcPr>
                <w:p w14:paraId="493BD7A2">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本项目在勘探过程中选用符合国家标准的非道路移动机械，定期对其进行维修、保养等，确保施工机械废气符合相关排放标准。</w:t>
                  </w:r>
                </w:p>
              </w:tc>
              <w:tc>
                <w:tcPr>
                  <w:tcW w:w="540" w:type="pct"/>
                  <w:vAlign w:val="center"/>
                </w:tcPr>
                <w:p w14:paraId="13139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C78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261" w:type="pct"/>
                  <w:vMerge w:val="continue"/>
                  <w:vAlign w:val="center"/>
                </w:tcPr>
                <w:p w14:paraId="01AA98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2E78879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67FD2DDD">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一）扬尘整治精细化管控行动。严格落实企业主体业任和建筑工地扬尘管控“六个百分之百”措施，将防治扬尘污染费用纳入工程造价;成立联合检查专班，按月开展联合执法。并建立问题台账，对产生扬尘污染的工地按职责权属依法查处、对拒不改正的工地贵令停工整治。</w:t>
                  </w:r>
                </w:p>
              </w:tc>
              <w:tc>
                <w:tcPr>
                  <w:tcW w:w="1207" w:type="pct"/>
                  <w:vAlign w:val="center"/>
                </w:tcPr>
                <w:p w14:paraId="36CA0474">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本项目在勘探过程中将严格按照方案中各项扬尘控制措施进行施工，减缓施工期扬尘污染。</w:t>
                  </w:r>
                </w:p>
              </w:tc>
              <w:tc>
                <w:tcPr>
                  <w:tcW w:w="540" w:type="pct"/>
                  <w:vAlign w:val="center"/>
                </w:tcPr>
                <w:p w14:paraId="61465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476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5BB3D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1370" w:type="pct"/>
                  <w:vMerge w:val="restart"/>
                  <w:vAlign w:val="center"/>
                </w:tcPr>
                <w:p w14:paraId="2AD5F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《陕西省矿产资源总体规划》（2021-2025年）</w:t>
                  </w:r>
                </w:p>
              </w:tc>
              <w:tc>
                <w:tcPr>
                  <w:tcW w:w="1619" w:type="pct"/>
                  <w:vAlign w:val="center"/>
                </w:tcPr>
                <w:p w14:paraId="585C4867">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在鄂尔多斯盆地煤油气盐赋存区，加强石油、天然气、页岩气、煤层气等能源矿产的调查评价，加大石油、天然气勘探力度，稳步提高油气产能。</w:t>
                  </w:r>
                </w:p>
              </w:tc>
              <w:tc>
                <w:tcPr>
                  <w:tcW w:w="1207" w:type="pct"/>
                  <w:vMerge w:val="restart"/>
                  <w:vAlign w:val="center"/>
                </w:tcPr>
                <w:p w14:paraId="266FF6DD">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本项目属于天然气勘探工程，选址位于陕西鄂尔多斯盆地</w:t>
                  </w:r>
                  <w:r>
                    <w:rPr>
                      <w:rFonts w:hint="eastAsia" w:cs="Times New Roman"/>
                      <w:color w:val="auto"/>
                      <w:sz w:val="21"/>
                      <w:szCs w:val="21"/>
                      <w:highlight w:val="none"/>
                      <w:lang w:val="en-US" w:eastAsia="zh-CN"/>
                    </w:rPr>
                    <w:t>神木</w:t>
                  </w:r>
                  <w:r>
                    <w:rPr>
                      <w:rFonts w:hint="default" w:ascii="Times New Roman" w:hAnsi="Times New Roman" w:eastAsia="宋体" w:cs="Times New Roman"/>
                      <w:color w:val="auto"/>
                      <w:sz w:val="21"/>
                      <w:szCs w:val="21"/>
                      <w:highlight w:val="none"/>
                      <w:lang w:val="en-US" w:eastAsia="zh-CN"/>
                    </w:rPr>
                    <w:t>气田</w:t>
                  </w:r>
                  <w:r>
                    <w:rPr>
                      <w:rFonts w:hint="eastAsia" w:cs="Times New Roman"/>
                      <w:color w:val="auto"/>
                      <w:sz w:val="21"/>
                      <w:szCs w:val="21"/>
                      <w:highlight w:val="none"/>
                      <w:lang w:val="en-US" w:eastAsia="zh-CN"/>
                    </w:rPr>
                    <w:t>米38区</w:t>
                  </w:r>
                  <w:r>
                    <w:rPr>
                      <w:rFonts w:hint="default" w:ascii="Times New Roman" w:hAnsi="Times New Roman" w:eastAsia="宋体" w:cs="Times New Roman"/>
                      <w:color w:val="auto"/>
                      <w:sz w:val="21"/>
                      <w:szCs w:val="21"/>
                      <w:highlight w:val="none"/>
                      <w:lang w:val="en-US" w:eastAsia="zh-CN"/>
                    </w:rPr>
                    <w:t>天然气开采范围内，该区域已开采多年，宁榆天然气评价组为判断该区块后期是否具备继续大规模开采的价值，并评估如何开采，在目前开采层位（</w:t>
                  </w:r>
                  <w:r>
                    <w:rPr>
                      <w:rFonts w:hint="eastAsia" w:cs="Times New Roman"/>
                      <w:color w:val="auto"/>
                      <w:sz w:val="21"/>
                      <w:szCs w:val="21"/>
                      <w:highlight w:val="none"/>
                      <w:lang w:val="en-US" w:eastAsia="zh-CN"/>
                    </w:rPr>
                    <w:t>二叠系下统太原组</w:t>
                  </w:r>
                  <w:r>
                    <w:rPr>
                      <w:rFonts w:hint="default" w:ascii="Times New Roman" w:hAnsi="Times New Roman" w:eastAsia="宋体" w:cs="Times New Roman"/>
                      <w:color w:val="auto"/>
                      <w:sz w:val="21"/>
                      <w:szCs w:val="21"/>
                      <w:highlight w:val="none"/>
                      <w:lang w:val="en-US" w:eastAsia="zh-CN"/>
                    </w:rPr>
                    <w:t>）加密勘探，为远期气田产能建设提供依据。</w:t>
                  </w:r>
                </w:p>
              </w:tc>
              <w:tc>
                <w:tcPr>
                  <w:tcW w:w="540" w:type="pct"/>
                  <w:vAlign w:val="center"/>
                </w:tcPr>
                <w:p w14:paraId="501BC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0D1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FD750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767E2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6DE97966">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按照“稳油增气、常非并举”的部署，推进石油增储稳产天然气增储扩产、煤层气增储上产。加强鄂尔多斯盆地油气勘查，加大页岩气、煤层气等非常规油气勘查力度，形成新的资源接续区。</w:t>
                  </w:r>
                </w:p>
              </w:tc>
              <w:tc>
                <w:tcPr>
                  <w:tcW w:w="1207" w:type="pct"/>
                  <w:vMerge w:val="continue"/>
                  <w:vAlign w:val="center"/>
                </w:tcPr>
                <w:p w14:paraId="016FEB66">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p>
              </w:tc>
              <w:tc>
                <w:tcPr>
                  <w:tcW w:w="540" w:type="pct"/>
                  <w:vAlign w:val="center"/>
                </w:tcPr>
                <w:p w14:paraId="712EF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C14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0C124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70" w:type="pct"/>
                  <w:vMerge w:val="continue"/>
                  <w:vAlign w:val="center"/>
                </w:tcPr>
                <w:p w14:paraId="79661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19" w:type="pct"/>
                  <w:vAlign w:val="center"/>
                </w:tcPr>
                <w:p w14:paraId="68D843EB">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严格勘查空间布局管控，生态保护红线范围内原则上禁止不符合管控要求的矿产资源勘查。</w:t>
                  </w:r>
                </w:p>
              </w:tc>
              <w:tc>
                <w:tcPr>
                  <w:tcW w:w="1207" w:type="pct"/>
                  <w:vMerge w:val="continue"/>
                  <w:vAlign w:val="center"/>
                </w:tcPr>
                <w:p w14:paraId="2A0D99C5">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p>
              </w:tc>
              <w:tc>
                <w:tcPr>
                  <w:tcW w:w="540" w:type="pct"/>
                  <w:vAlign w:val="center"/>
                </w:tcPr>
                <w:p w14:paraId="60B23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B50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059BCF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1370" w:type="pct"/>
                  <w:vMerge w:val="restart"/>
                  <w:vAlign w:val="center"/>
                </w:tcPr>
                <w:p w14:paraId="458D7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《榆林市关于开展油气开采废弃物集中处置的通知》</w:t>
                  </w:r>
                </w:p>
              </w:tc>
              <w:tc>
                <w:tcPr>
                  <w:tcW w:w="1619" w:type="pct"/>
                  <w:vAlign w:val="center"/>
                </w:tcPr>
                <w:p w14:paraId="1A3146E5">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申报登记：根据《中华人民共和国固体废物污染环境防治法》及《中华人民共和国水污染防治法》相关规定，油气开发业主单位在井场钻井作业15日前，须向所在县区环保局报送《榆林市油气开采废弃物申报表》（见附件1），就单井油气开采废弃物产生情况及“三统一”实施计划进行申报，同时报市局备案； </w:t>
                  </w:r>
                </w:p>
              </w:tc>
              <w:tc>
                <w:tcPr>
                  <w:tcW w:w="1207" w:type="pct"/>
                  <w:vAlign w:val="center"/>
                </w:tcPr>
                <w:p w14:paraId="34F45D33">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本项目拟</w:t>
                  </w:r>
                  <w:r>
                    <w:rPr>
                      <w:rFonts w:hint="default" w:ascii="Times New Roman" w:hAnsi="Times New Roman" w:eastAsia="宋体" w:cs="Times New Roman"/>
                      <w:color w:val="auto"/>
                      <w:sz w:val="21"/>
                      <w:szCs w:val="21"/>
                      <w:lang w:val="en-US" w:eastAsia="zh-CN"/>
                    </w:rPr>
                    <w:t>在井场钻井作业15日前，</w:t>
                  </w:r>
                  <w:r>
                    <w:rPr>
                      <w:rFonts w:hint="eastAsia" w:cs="Times New Roman"/>
                      <w:color w:val="auto"/>
                      <w:sz w:val="21"/>
                      <w:szCs w:val="21"/>
                      <w:lang w:val="en-US" w:eastAsia="zh-CN"/>
                    </w:rPr>
                    <w:t>拟</w:t>
                  </w:r>
                  <w:r>
                    <w:rPr>
                      <w:rFonts w:hint="default" w:ascii="Times New Roman" w:hAnsi="Times New Roman" w:eastAsia="宋体" w:cs="Times New Roman"/>
                      <w:color w:val="auto"/>
                      <w:sz w:val="21"/>
                      <w:szCs w:val="21"/>
                      <w:lang w:val="en-US" w:eastAsia="zh-CN"/>
                    </w:rPr>
                    <w:t>向</w:t>
                  </w:r>
                  <w:r>
                    <w:rPr>
                      <w:rFonts w:hint="eastAsia" w:cs="Times New Roman"/>
                      <w:color w:val="auto"/>
                      <w:sz w:val="21"/>
                      <w:szCs w:val="21"/>
                      <w:lang w:val="en-US" w:eastAsia="zh-CN"/>
                    </w:rPr>
                    <w:t>榆林市佳县生态环境局</w:t>
                  </w:r>
                  <w:r>
                    <w:rPr>
                      <w:rFonts w:hint="default" w:ascii="Times New Roman" w:hAnsi="Times New Roman" w:eastAsia="宋体" w:cs="Times New Roman"/>
                      <w:color w:val="auto"/>
                      <w:sz w:val="21"/>
                      <w:szCs w:val="21"/>
                      <w:lang w:val="en-US" w:eastAsia="zh-CN"/>
                    </w:rPr>
                    <w:t>报送《榆林市油气开采废弃物申报表》就单井油气开采废弃物产生情况及“三统一”实施计划进行申报，同时报市局备案</w:t>
                  </w:r>
                  <w:r>
                    <w:rPr>
                      <w:rFonts w:hint="eastAsia" w:cs="Times New Roman"/>
                      <w:color w:val="auto"/>
                      <w:sz w:val="21"/>
                      <w:szCs w:val="21"/>
                      <w:lang w:val="en-US" w:eastAsia="zh-CN"/>
                    </w:rPr>
                    <w:t>。</w:t>
                  </w:r>
                </w:p>
              </w:tc>
              <w:tc>
                <w:tcPr>
                  <w:tcW w:w="540" w:type="pct"/>
                  <w:vAlign w:val="center"/>
                </w:tcPr>
                <w:p w14:paraId="4A0AF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90F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BDB2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370" w:type="pct"/>
                  <w:vMerge w:val="continue"/>
                  <w:vAlign w:val="center"/>
                </w:tcPr>
                <w:p w14:paraId="2DD31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19" w:type="pct"/>
                  <w:vAlign w:val="center"/>
                </w:tcPr>
                <w:p w14:paraId="15C3112B">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理台帐：根据《陕西省煤炭石油天然气开发环境保护条例》及《陕西省固体废物污染环境防治条例》相关规定，油气开发业主单位要建立健全污染环境防治责任制度，采取油气开采废弃物防扬散、防流失、防渗漏或者其他防止污染环境的收集措施，分类贮存。</w:t>
                  </w:r>
                </w:p>
              </w:tc>
              <w:tc>
                <w:tcPr>
                  <w:tcW w:w="1207" w:type="pct"/>
                  <w:vAlign w:val="center"/>
                </w:tcPr>
                <w:p w14:paraId="777536E9">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中国石油天然气股份有限公司长庆油田分公司设质量安全环保科，设专职人员进行安全环保管理。在施工期制定安全环境管理制度，贯彻执行国家和地方各项环保方针，政策和法规，并采取天然气开采废弃物防扬散、防流失、防渗漏或者其他防止污染环境的收集措施，分类贮存。</w:t>
                  </w:r>
                </w:p>
              </w:tc>
              <w:tc>
                <w:tcPr>
                  <w:tcW w:w="540" w:type="pct"/>
                  <w:vAlign w:val="center"/>
                </w:tcPr>
                <w:p w14:paraId="490D9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21E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2719D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370" w:type="pct"/>
                  <w:vMerge w:val="continue"/>
                  <w:vAlign w:val="center"/>
                </w:tcPr>
                <w:p w14:paraId="1479B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19" w:type="pct"/>
                  <w:vAlign w:val="center"/>
                </w:tcPr>
                <w:p w14:paraId="57AA3D1E">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处置：根据《中华人民共和国固体废物污染环境防治法》、《中华人民共和国水污染防治法》及《陕西省固体废物污染环境防治条例》相关规定，油气开发业主单位应对油气开采废弃物加以利用，对不能利用的，委托有资质单位进行规范化处置，严禁就地固化掩埋。</w:t>
                  </w:r>
                </w:p>
              </w:tc>
              <w:tc>
                <w:tcPr>
                  <w:tcW w:w="1207" w:type="pct"/>
                  <w:vAlign w:val="center"/>
                </w:tcPr>
                <w:p w14:paraId="31635C2B">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项目泥浆上清液排入地上移动式污水罐，用于配制泥浆，循环使用，对钻井完不能利用的送至</w:t>
                  </w:r>
                  <w:r>
                    <w:rPr>
                      <w:rFonts w:hint="eastAsia"/>
                      <w:color w:val="auto"/>
                      <w:sz w:val="21"/>
                      <w:szCs w:val="21"/>
                      <w:lang w:val="en-US" w:eastAsia="zh-CN"/>
                    </w:rPr>
                    <w:t>陕西德禾鑫盛环保科技有限公司</w:t>
                  </w:r>
                  <w:r>
                    <w:rPr>
                      <w:rFonts w:hint="eastAsia" w:cs="Times New Roman"/>
                      <w:color w:val="auto"/>
                      <w:sz w:val="21"/>
                      <w:szCs w:val="21"/>
                      <w:lang w:val="en-US" w:eastAsia="zh-CN"/>
                    </w:rPr>
                    <w:t>处理</w:t>
                  </w:r>
                </w:p>
              </w:tc>
              <w:tc>
                <w:tcPr>
                  <w:tcW w:w="540" w:type="pct"/>
                  <w:vAlign w:val="center"/>
                </w:tcPr>
                <w:p w14:paraId="0F32A9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674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restart"/>
                  <w:vAlign w:val="center"/>
                </w:tcPr>
                <w:p w14:paraId="66950C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2234" w:type="dxa"/>
                  <w:vMerge w:val="restart"/>
                  <w:vAlign w:val="center"/>
                </w:tcPr>
                <w:p w14:paraId="3E28A6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《榆林市矿产资源总体规划》（2021-2025年）</w:t>
                  </w:r>
                </w:p>
              </w:tc>
              <w:tc>
                <w:tcPr>
                  <w:tcW w:w="2640" w:type="dxa"/>
                  <w:vAlign w:val="center"/>
                </w:tcPr>
                <w:p w14:paraId="419C333B">
                  <w:pPr>
                    <w:pStyle w:val="27"/>
                    <w:keepNext w:val="0"/>
                    <w:keepLines w:val="0"/>
                    <w:pageBreakBefore w:val="0"/>
                    <w:numPr>
                      <w:ilvl w:val="0"/>
                      <w:numId w:val="3"/>
                    </w:numPr>
                    <w:kinsoku/>
                    <w:wordWrap/>
                    <w:overflowPunct/>
                    <w:topLinePunct w:val="0"/>
                    <w:autoSpaceDE/>
                    <w:autoSpaceDN/>
                    <w:bidi w:val="0"/>
                    <w:ind w:firstLine="0" w:firstLineChars="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统筹勘察开发保护区域布局</w:t>
                  </w:r>
                </w:p>
                <w:p w14:paraId="2F00D9CB">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加快神木、榆阳、米脂、佳县岩盐的勘察开发程度，大力推进煤、油、气、盐一体化格局发展。</w:t>
                  </w:r>
                </w:p>
              </w:tc>
              <w:tc>
                <w:tcPr>
                  <w:tcW w:w="1969" w:type="dxa"/>
                  <w:vAlign w:val="center"/>
                </w:tcPr>
                <w:p w14:paraId="54C6EC04">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本项目位于佳县朱通镇，为天然气勘探项目，符合“</w:t>
                  </w:r>
                  <w:r>
                    <w:rPr>
                      <w:rFonts w:hint="eastAsia" w:cs="Times New Roman"/>
                      <w:b w:val="0"/>
                      <w:bCs w:val="0"/>
                      <w:color w:val="auto"/>
                      <w:sz w:val="21"/>
                      <w:szCs w:val="21"/>
                      <w:lang w:val="en-US" w:eastAsia="zh-CN"/>
                    </w:rPr>
                    <w:t>大力推进煤、油、气、盐一体化格局发展</w:t>
                  </w:r>
                  <w:r>
                    <w:rPr>
                      <w:rFonts w:hint="eastAsia" w:cs="Times New Roman"/>
                      <w:color w:val="auto"/>
                      <w:sz w:val="21"/>
                      <w:szCs w:val="21"/>
                      <w:lang w:val="en-US" w:eastAsia="zh-CN"/>
                    </w:rPr>
                    <w:t>”要求</w:t>
                  </w:r>
                </w:p>
              </w:tc>
              <w:tc>
                <w:tcPr>
                  <w:tcW w:w="881" w:type="dxa"/>
                  <w:vAlign w:val="center"/>
                </w:tcPr>
                <w:p w14:paraId="115B91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2A9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3E3C4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2234" w:type="dxa"/>
                  <w:vMerge w:val="continue"/>
                  <w:vAlign w:val="center"/>
                </w:tcPr>
                <w:p w14:paraId="54D625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2640" w:type="dxa"/>
                  <w:vAlign w:val="center"/>
                </w:tcPr>
                <w:p w14:paraId="0403605B">
                  <w:pPr>
                    <w:pStyle w:val="27"/>
                    <w:keepNext w:val="0"/>
                    <w:keepLines w:val="0"/>
                    <w:pageBreakBefore w:val="0"/>
                    <w:numPr>
                      <w:ilvl w:val="0"/>
                      <w:numId w:val="4"/>
                    </w:numPr>
                    <w:kinsoku/>
                    <w:wordWrap/>
                    <w:overflowPunct/>
                    <w:topLinePunct w:val="0"/>
                    <w:autoSpaceDE/>
                    <w:autoSpaceDN/>
                    <w:bidi w:val="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明确矿产资源勘查开采调控方向</w:t>
                  </w:r>
                </w:p>
                <w:p w14:paraId="498753FD">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限制勘察高硫煤，勘察区块投放前应做好论证。结合国家战略性矿产、省市优势紧缺矿产的找矿目标及榆林煤、油、气、盐一体化发展格局，重点勘察石油、天然气、煤炭、煤层气、地热等矿产。</w:t>
                  </w:r>
                </w:p>
              </w:tc>
              <w:tc>
                <w:tcPr>
                  <w:tcW w:w="1969" w:type="dxa"/>
                  <w:vAlign w:val="center"/>
                </w:tcPr>
                <w:p w14:paraId="64B8E314">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本项目位于佳县通镇，为天然气勘探项目，符合“</w:t>
                  </w:r>
                  <w:r>
                    <w:rPr>
                      <w:rFonts w:hint="eastAsia" w:cs="Times New Roman"/>
                      <w:b w:val="0"/>
                      <w:bCs w:val="0"/>
                      <w:color w:val="auto"/>
                      <w:sz w:val="21"/>
                      <w:szCs w:val="21"/>
                      <w:lang w:val="en-US" w:eastAsia="zh-CN"/>
                    </w:rPr>
                    <w:t>重点勘察石油、天然气、煤炭、煤层气、地热等矿产</w:t>
                  </w:r>
                  <w:r>
                    <w:rPr>
                      <w:rFonts w:hint="eastAsia" w:cs="Times New Roman"/>
                      <w:color w:val="auto"/>
                      <w:sz w:val="21"/>
                      <w:szCs w:val="21"/>
                      <w:lang w:val="en-US" w:eastAsia="zh-CN"/>
                    </w:rPr>
                    <w:t>”要求</w:t>
                  </w:r>
                </w:p>
              </w:tc>
              <w:tc>
                <w:tcPr>
                  <w:tcW w:w="881" w:type="dxa"/>
                  <w:vAlign w:val="center"/>
                </w:tcPr>
                <w:p w14:paraId="5292D1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9B5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 w:type="pct"/>
                  <w:vMerge w:val="continue"/>
                  <w:vAlign w:val="center"/>
                </w:tcPr>
                <w:p w14:paraId="209F9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2234" w:type="dxa"/>
                  <w:vMerge w:val="continue"/>
                  <w:vAlign w:val="center"/>
                </w:tcPr>
                <w:p w14:paraId="4A7A73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2640" w:type="dxa"/>
                  <w:vAlign w:val="center"/>
                </w:tcPr>
                <w:p w14:paraId="5E89B1E0">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全面推进地质勘查全过程绿色勘查。勘查工作开展前应不断优化勘查设计，明确绿色勘查工作的具体内容、技术标准要求和保障措施，做好设计审查工作；勘查施工中应采用先进技术、方法、工艺、设备和新材料，积极开展勘查技术与管理的创新；勘查工作结束后，应鼓励提炼出可复制、能推广的绿色勘查经验。通过谋划在前、过程监管、事后总结将绿色勘查贯穿于勘查活动的全过程。</w:t>
                  </w:r>
                </w:p>
              </w:tc>
              <w:tc>
                <w:tcPr>
                  <w:tcW w:w="1969" w:type="dxa"/>
                  <w:vAlign w:val="center"/>
                </w:tcPr>
                <w:p w14:paraId="007891D9">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本项目勘察过程中使用电驱动，属于清洁能源，钻进过程采用水基钻井液，勘探工程结束后对场地进行绿化恢复，符合绿色勘察要求。</w:t>
                  </w:r>
                </w:p>
              </w:tc>
              <w:tc>
                <w:tcPr>
                  <w:tcW w:w="881" w:type="dxa"/>
                  <w:vAlign w:val="center"/>
                </w:tcPr>
                <w:p w14:paraId="02FAA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46A0972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5、与《钻前工程及井场布置技术要求》符合性分析</w:t>
            </w:r>
          </w:p>
          <w:p w14:paraId="55951F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4"/>
                <w:szCs w:val="24"/>
                <w:vertAlign w:val="baseline"/>
                <w:lang w:val="en-US" w:eastAsia="zh-CN"/>
              </w:rPr>
              <w:t>根据《钻前工程及井场布置技术要求》（SY/T5466-2013）中3.2.2节规定，井口位置应满足“距高压线及其它永久性设施不小于75m，距民宅不小于100m，距铁路、高速公路不小于200m，距学校、医院和大型油库等密集型、高危性场所不小于500m”的规定。根据现场踏勘，项目井口75m范围内无高压线及其它永久性设施，100m范围内无居民住宅，200m范围内无高速公路、铁路，500m范围内无学校、医院和大型油库等人口密集性、高危性场所。项目气探井井口选址符合《钻前工程及井场布置技术要求》（SY/T5466-2013）中3.2.2节规定，具体分析见表1-</w:t>
            </w:r>
            <w:r>
              <w:rPr>
                <w:rFonts w:hint="eastAsia" w:ascii="Times New Roman" w:hAnsi="Times New Roman" w:eastAsia="宋体" w:cs="Times New Roman"/>
                <w:color w:val="auto"/>
                <w:sz w:val="24"/>
                <w:szCs w:val="24"/>
                <w:vertAlign w:val="baseline"/>
                <w:lang w:val="en-US" w:eastAsia="zh-CN"/>
              </w:rPr>
              <w:t>8</w:t>
            </w:r>
            <w:r>
              <w:rPr>
                <w:rFonts w:hint="default" w:ascii="Times New Roman" w:hAnsi="Times New Roman" w:eastAsia="宋体" w:cs="Times New Roman"/>
                <w:color w:val="auto"/>
                <w:sz w:val="24"/>
                <w:szCs w:val="24"/>
                <w:vertAlign w:val="baseline"/>
                <w:lang w:val="en-US" w:eastAsia="zh-CN"/>
              </w:rPr>
              <w:t>。</w:t>
            </w:r>
          </w:p>
          <w:p w14:paraId="349DD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钻前工程及井场布置技术要求</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616"/>
              <w:gridCol w:w="3273"/>
              <w:gridCol w:w="905"/>
            </w:tblGrid>
            <w:tr w14:paraId="2A7E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pct"/>
                  <w:gridSpan w:val="2"/>
                  <w:vAlign w:val="center"/>
                </w:tcPr>
                <w:p w14:paraId="1DDFD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《钻前工程及井场布置技术要求》（SY/T5466-2013）</w:t>
                  </w:r>
                </w:p>
              </w:tc>
              <w:tc>
                <w:tcPr>
                  <w:tcW w:w="2117" w:type="pct"/>
                  <w:vAlign w:val="center"/>
                </w:tcPr>
                <w:p w14:paraId="5B92D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585" w:type="pct"/>
                  <w:vAlign w:val="center"/>
                </w:tcPr>
                <w:p w14:paraId="42CFCF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符合性分析</w:t>
                  </w:r>
                </w:p>
              </w:tc>
            </w:tr>
            <w:tr w14:paraId="5FF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2FEB2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3.1井场选择原则</w:t>
                  </w:r>
                </w:p>
              </w:tc>
              <w:tc>
                <w:tcPr>
                  <w:tcW w:w="1691" w:type="pct"/>
                  <w:vAlign w:val="center"/>
                </w:tcPr>
                <w:p w14:paraId="68A61E0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井场应避开滑坡、泥石流等不良地质地段，在河滩、海滩地区应避开讯、潮期进行钻前施工</w:t>
                  </w:r>
                </w:p>
              </w:tc>
              <w:tc>
                <w:tcPr>
                  <w:tcW w:w="2117" w:type="pct"/>
                  <w:vAlign w:val="center"/>
                </w:tcPr>
                <w:p w14:paraId="264B1FE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本项目井场选址不属于滑坡、泥石流等不良地段，也不属于河滩地区</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26AD5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FA3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1F6C9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0DF7F8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满足防洪、防喷、防爆、防毒、防冻等安全要求</w:t>
                  </w:r>
                </w:p>
              </w:tc>
              <w:tc>
                <w:tcPr>
                  <w:tcW w:w="2117" w:type="pct"/>
                  <w:vAlign w:val="center"/>
                </w:tcPr>
                <w:p w14:paraId="415A14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本项目选址满足防洪、防喷、防爆、防毒、防冻等安全要求</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24E82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94A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3CB77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3.2井位的确定</w:t>
                  </w:r>
                </w:p>
              </w:tc>
              <w:tc>
                <w:tcPr>
                  <w:tcW w:w="1691" w:type="pct"/>
                  <w:vAlign w:val="center"/>
                </w:tcPr>
                <w:p w14:paraId="4B440F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油、气井井口距高压线及其他永久性设施不小于75m，距民宅不小于100m，距铁路、高速公路不小于200m，距学校、医院和大型油库等人口密集型、高危性场所不小于500m。</w:t>
                  </w:r>
                </w:p>
              </w:tc>
              <w:tc>
                <w:tcPr>
                  <w:tcW w:w="2117" w:type="pct"/>
                  <w:vAlign w:val="center"/>
                </w:tcPr>
                <w:p w14:paraId="708E906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米107-3MH</w:t>
                  </w:r>
                  <w:r>
                    <w:rPr>
                      <w:rFonts w:hint="default" w:ascii="Times New Roman" w:hAnsi="Times New Roman" w:eastAsia="宋体" w:cs="Times New Roman"/>
                      <w:color w:val="auto"/>
                      <w:sz w:val="21"/>
                      <w:szCs w:val="21"/>
                      <w:vertAlign w:val="baseline"/>
                      <w:lang w:val="en-US" w:eastAsia="zh-CN"/>
                    </w:rPr>
                    <w:t>井场周围75m无高压线及其他永久性设施，100m范围内无民宅，200m范围内无铁路、高速公路，500米范围内无学校、医院和大型油库等人口密集性、高危性场所</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4618A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68A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47504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721A823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在地下矿产采掘区钻井，井筒与采掘坑道、矿井坑道之间的距离不小于100m</w:t>
                  </w:r>
                </w:p>
              </w:tc>
              <w:tc>
                <w:tcPr>
                  <w:tcW w:w="2117" w:type="pct"/>
                  <w:vAlign w:val="center"/>
                </w:tcPr>
                <w:p w14:paraId="51A076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本项目钻井区不是地下矿产采掘区</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53366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779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479E71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1" w:type="pct"/>
                  <w:vAlign w:val="center"/>
                </w:tcPr>
                <w:p w14:paraId="5FFAB2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井口距堤坝、水库的位置应根据国家水利部门的有关规定执行</w:t>
                  </w:r>
                </w:p>
              </w:tc>
              <w:tc>
                <w:tcPr>
                  <w:tcW w:w="2117" w:type="pct"/>
                  <w:vAlign w:val="center"/>
                </w:tcPr>
                <w:p w14:paraId="017E854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本项目井口周边不涉及堤坝、水库</w:t>
                  </w:r>
                  <w:r>
                    <w:rPr>
                      <w:rFonts w:hint="eastAsia" w:ascii="Times New Roman" w:hAnsi="Times New Roman" w:eastAsia="宋体" w:cs="Times New Roman"/>
                      <w:color w:val="auto"/>
                      <w:sz w:val="21"/>
                      <w:szCs w:val="21"/>
                      <w:vertAlign w:val="baseline"/>
                      <w:lang w:val="en-US" w:eastAsia="zh-CN"/>
                    </w:rPr>
                    <w:t>。</w:t>
                  </w:r>
                </w:p>
              </w:tc>
              <w:tc>
                <w:tcPr>
                  <w:tcW w:w="585" w:type="pct"/>
                  <w:vAlign w:val="center"/>
                </w:tcPr>
                <w:p w14:paraId="5C53C1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33182E5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6、与《陕北油气田开采清洁文明井场验收标准》符合性分析</w:t>
            </w:r>
          </w:p>
          <w:p w14:paraId="6CDEA3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本项目与《陕北油气田开采清洁文明井场验收标准》（陕环办发【2016】31号）符合性分析见下表：</w:t>
            </w:r>
          </w:p>
          <w:p w14:paraId="12835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9</w:t>
            </w:r>
            <w:r>
              <w:rPr>
                <w:rFonts w:hint="default" w:ascii="Times New Roman" w:hAnsi="Times New Roman" w:eastAsia="宋体" w:cs="Times New Roman"/>
                <w:b/>
                <w:bCs/>
                <w:color w:val="auto"/>
                <w:sz w:val="21"/>
                <w:szCs w:val="21"/>
                <w:vertAlign w:val="baseline"/>
                <w:lang w:val="en-US" w:eastAsia="zh-CN"/>
              </w:rPr>
              <w:t xml:space="preserve"> 与《陕北油气田开采清洁文明井场验收标准》符合性分析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616"/>
              <w:gridCol w:w="2699"/>
              <w:gridCol w:w="699"/>
            </w:tblGrid>
            <w:tr w14:paraId="0850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pct"/>
                  <w:gridSpan w:val="2"/>
                  <w:vAlign w:val="center"/>
                </w:tcPr>
                <w:p w14:paraId="56B82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陕环办发【2016】31号</w:t>
                  </w:r>
                </w:p>
              </w:tc>
              <w:tc>
                <w:tcPr>
                  <w:tcW w:w="1746" w:type="pct"/>
                  <w:vAlign w:val="center"/>
                </w:tcPr>
                <w:p w14:paraId="1059C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452" w:type="pct"/>
                  <w:vAlign w:val="center"/>
                </w:tcPr>
                <w:p w14:paraId="1123E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05AB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vAlign w:val="center"/>
                </w:tcPr>
                <w:p w14:paraId="657610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一、钻探井场</w:t>
                  </w:r>
                </w:p>
              </w:tc>
              <w:tc>
                <w:tcPr>
                  <w:tcW w:w="2339" w:type="pct"/>
                  <w:vAlign w:val="center"/>
                </w:tcPr>
                <w:p w14:paraId="4FA512B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w:t>
                  </w:r>
                  <w:r>
                    <w:rPr>
                      <w:rFonts w:hint="default" w:ascii="Times New Roman" w:hAnsi="Times New Roman" w:eastAsia="宋体" w:cs="Times New Roman"/>
                      <w:color w:val="auto"/>
                      <w:kern w:val="0"/>
                      <w:sz w:val="21"/>
                      <w:szCs w:val="21"/>
                      <w:lang w:val="en-US" w:eastAsia="zh-CN" w:bidi="ar"/>
                    </w:rPr>
                    <w:t>钻井作业的泥浆池和泥浆槽必须采取防渗漏、防外溢措施。泥浆上清液应循环使用或处理达标后回注油层。钻井泥浆应当交由有资质单位处置，岩屑及其他废弃物要进行无害化处理</w:t>
                  </w:r>
                </w:p>
              </w:tc>
              <w:tc>
                <w:tcPr>
                  <w:tcW w:w="1746" w:type="pct"/>
                </w:tcPr>
                <w:p w14:paraId="3206A4F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本项目钻井作业的泥浆罐区、岩屑暂存池等区域进行重点防渗，四周用土堆成简易围堰，围堰内地面连同四周的土围堰整体铺设防渗材料（</w:t>
                  </w:r>
                  <w:r>
                    <w:rPr>
                      <w:rFonts w:hint="eastAsia" w:ascii="Times New Roman" w:hAnsi="Times New Roman" w:eastAsia="宋体" w:cs="Times New Roman"/>
                      <w:color w:val="auto"/>
                      <w:kern w:val="0"/>
                      <w:sz w:val="21"/>
                      <w:szCs w:val="21"/>
                      <w:lang w:val="en-US" w:eastAsia="zh-CN" w:bidi="ar"/>
                    </w:rPr>
                    <w:t>企业拟采取2mm膜防渗措施</w:t>
                  </w:r>
                  <w:r>
                    <w:rPr>
                      <w:rFonts w:hint="default" w:ascii="Times New Roman" w:hAnsi="Times New Roman" w:eastAsia="宋体" w:cs="Times New Roman"/>
                      <w:color w:val="auto"/>
                      <w:kern w:val="0"/>
                      <w:sz w:val="21"/>
                      <w:szCs w:val="21"/>
                      <w:lang w:val="en-US" w:eastAsia="zh-CN" w:bidi="ar"/>
                    </w:rPr>
                    <w:t>），HDPE膜敷设面积应适当扩大，覆盖围堰区外延1.0m；泥浆上清液回用于钻井液配液；废弃泥浆、钻井岩屑委托具有相应处置能力的单位处置；废</w:t>
                  </w:r>
                  <w:r>
                    <w:rPr>
                      <w:rFonts w:hint="eastAsia" w:ascii="Times New Roman" w:hAnsi="Times New Roman" w:eastAsia="宋体" w:cs="Times New Roman"/>
                      <w:color w:val="auto"/>
                      <w:kern w:val="0"/>
                      <w:sz w:val="21"/>
                      <w:szCs w:val="21"/>
                      <w:lang w:val="en-US" w:eastAsia="zh-CN" w:bidi="ar"/>
                    </w:rPr>
                    <w:t>机</w:t>
                  </w:r>
                  <w:r>
                    <w:rPr>
                      <w:rFonts w:hint="default" w:ascii="Times New Roman" w:hAnsi="Times New Roman" w:eastAsia="宋体" w:cs="Times New Roman"/>
                      <w:color w:val="auto"/>
                      <w:kern w:val="0"/>
                      <w:sz w:val="21"/>
                      <w:szCs w:val="21"/>
                      <w:lang w:val="en-US" w:eastAsia="zh-CN" w:bidi="ar"/>
                    </w:rPr>
                    <w:t>油等其它危险废物委托资质单位处置。</w:t>
                  </w:r>
                </w:p>
              </w:tc>
              <w:tc>
                <w:tcPr>
                  <w:tcW w:w="452" w:type="pct"/>
                  <w:vAlign w:val="center"/>
                </w:tcPr>
                <w:p w14:paraId="7992A0BD">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8CA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628EB63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tcPr>
                <w:p w14:paraId="00D1878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w:t>
                  </w:r>
                  <w:r>
                    <w:rPr>
                      <w:rFonts w:hint="default" w:ascii="Times New Roman" w:hAnsi="Times New Roman" w:eastAsia="宋体" w:cs="Times New Roman"/>
                      <w:color w:val="auto"/>
                      <w:kern w:val="0"/>
                      <w:sz w:val="21"/>
                      <w:szCs w:val="21"/>
                      <w:lang w:val="en-US" w:eastAsia="zh-CN" w:bidi="ar"/>
                    </w:rPr>
                    <w:t>钻井作业必须采取防止污油外泄和渗漏等有效措施，污油要及时回收，废弃污油泥应当交由有资质单位处置</w:t>
                  </w:r>
                </w:p>
              </w:tc>
              <w:tc>
                <w:tcPr>
                  <w:tcW w:w="1746" w:type="pct"/>
                  <w:vAlign w:val="center"/>
                </w:tcPr>
                <w:p w14:paraId="6C7BB4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本项目采用水基钻井液，无废弃污油泥产生。</w:t>
                  </w:r>
                </w:p>
              </w:tc>
              <w:tc>
                <w:tcPr>
                  <w:tcW w:w="452" w:type="pct"/>
                  <w:vAlign w:val="center"/>
                </w:tcPr>
                <w:p w14:paraId="2E880F6E">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2BD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01B24DD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tcPr>
                <w:p w14:paraId="2FDA60D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r>
                    <w:rPr>
                      <w:rFonts w:hint="eastAsia" w:ascii="Times New Roman" w:hAnsi="Times New Roman" w:eastAsia="宋体" w:cs="Times New Roman"/>
                      <w:color w:val="auto"/>
                      <w:kern w:val="0"/>
                      <w:sz w:val="21"/>
                      <w:szCs w:val="21"/>
                      <w:lang w:val="en-US" w:eastAsia="zh-CN" w:bidi="ar"/>
                    </w:rPr>
                    <w:t>试气</w:t>
                  </w:r>
                  <w:r>
                    <w:rPr>
                      <w:rFonts w:hint="default" w:ascii="Times New Roman" w:hAnsi="Times New Roman" w:eastAsia="宋体" w:cs="Times New Roman"/>
                      <w:color w:val="auto"/>
                      <w:kern w:val="0"/>
                      <w:sz w:val="21"/>
                      <w:szCs w:val="21"/>
                      <w:lang w:val="en-US" w:eastAsia="zh-CN" w:bidi="ar"/>
                    </w:rPr>
                    <w:t>（气）作业必须采取防喷、导流等有效措施。</w:t>
                  </w:r>
                  <w:r>
                    <w:rPr>
                      <w:rFonts w:hint="eastAsia" w:ascii="Times New Roman" w:hAnsi="Times New Roman" w:eastAsia="宋体" w:cs="Times New Roman"/>
                      <w:color w:val="auto"/>
                      <w:kern w:val="0"/>
                      <w:sz w:val="21"/>
                      <w:szCs w:val="21"/>
                      <w:lang w:val="en-US" w:eastAsia="zh-CN" w:bidi="ar"/>
                    </w:rPr>
                    <w:t>试气</w:t>
                  </w:r>
                  <w:r>
                    <w:rPr>
                      <w:rFonts w:hint="default" w:ascii="Times New Roman" w:hAnsi="Times New Roman" w:eastAsia="宋体" w:cs="Times New Roman"/>
                      <w:color w:val="auto"/>
                      <w:kern w:val="0"/>
                      <w:sz w:val="21"/>
                      <w:szCs w:val="21"/>
                      <w:lang w:val="en-US" w:eastAsia="zh-CN" w:bidi="ar"/>
                    </w:rPr>
                    <w:t>(气)完成后，应在60日内完成泥浆处置、岩屑固化及善后处理</w:t>
                  </w:r>
                  <w:r>
                    <w:rPr>
                      <w:rFonts w:hint="eastAsia" w:ascii="Times New Roman" w:hAnsi="Times New Roman" w:eastAsia="宋体" w:cs="Times New Roman"/>
                      <w:color w:val="auto"/>
                      <w:kern w:val="0"/>
                      <w:sz w:val="21"/>
                      <w:szCs w:val="21"/>
                      <w:lang w:val="en-US" w:eastAsia="zh-CN" w:bidi="ar"/>
                    </w:rPr>
                    <w:t>。</w:t>
                  </w:r>
                </w:p>
              </w:tc>
              <w:tc>
                <w:tcPr>
                  <w:tcW w:w="1746" w:type="pct"/>
                </w:tcPr>
                <w:p w14:paraId="1D6E1AE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本项目试气作业采取有效的防喷措施。要求企业试气完成后，及时完成泥浆、岩屑等善后处理。</w:t>
                  </w:r>
                </w:p>
              </w:tc>
              <w:tc>
                <w:tcPr>
                  <w:tcW w:w="452" w:type="pct"/>
                  <w:vAlign w:val="center"/>
                </w:tcPr>
                <w:p w14:paraId="4ED1DEEB">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4D29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vAlign w:val="center"/>
                </w:tcPr>
                <w:p w14:paraId="40E64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三、生态环境修复</w:t>
                  </w:r>
                </w:p>
              </w:tc>
              <w:tc>
                <w:tcPr>
                  <w:tcW w:w="2339" w:type="pct"/>
                  <w:vAlign w:val="center"/>
                </w:tcPr>
                <w:p w14:paraId="0A9E8A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井场的道路两侧和围墙内外宜绿化区域应实现林草覆盖，有效覆盖面积不低于98％</w:t>
                  </w:r>
                  <w:r>
                    <w:rPr>
                      <w:rFonts w:hint="eastAsia" w:ascii="Times New Roman" w:hAnsi="Times New Roman" w:eastAsia="宋体" w:cs="Times New Roman"/>
                      <w:color w:val="auto"/>
                      <w:kern w:val="0"/>
                      <w:sz w:val="21"/>
                      <w:szCs w:val="21"/>
                      <w:lang w:val="en-US" w:eastAsia="zh-CN" w:bidi="ar"/>
                    </w:rPr>
                    <w:t>。</w:t>
                  </w:r>
                </w:p>
              </w:tc>
              <w:tc>
                <w:tcPr>
                  <w:tcW w:w="1746" w:type="pct"/>
                  <w:vMerge w:val="restart"/>
                </w:tcPr>
                <w:p w14:paraId="2B1E944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本项目属于</w:t>
                  </w:r>
                  <w:r>
                    <w:rPr>
                      <w:rFonts w:hint="eastAsia" w:ascii="Times New Roman" w:hAnsi="Times New Roman" w:eastAsia="宋体" w:cs="Times New Roman"/>
                      <w:color w:val="auto"/>
                      <w:kern w:val="0"/>
                      <w:sz w:val="21"/>
                      <w:szCs w:val="21"/>
                      <w:lang w:val="en-US" w:eastAsia="zh-CN" w:bidi="ar"/>
                    </w:rPr>
                    <w:t>评价井钻</w:t>
                  </w:r>
                  <w:r>
                    <w:rPr>
                      <w:rFonts w:hint="default" w:ascii="Times New Roman" w:hAnsi="Times New Roman" w:eastAsia="宋体" w:cs="Times New Roman"/>
                      <w:color w:val="auto"/>
                      <w:kern w:val="0"/>
                      <w:sz w:val="21"/>
                      <w:szCs w:val="21"/>
                      <w:lang w:val="en-US" w:eastAsia="zh-CN" w:bidi="ar"/>
                    </w:rPr>
                    <w:t>井工程，施工期结束后</w:t>
                  </w:r>
                  <w:r>
                    <w:rPr>
                      <w:rFonts w:hint="eastAsia" w:ascii="Times New Roman" w:hAnsi="Times New Roman" w:eastAsia="宋体" w:cs="Times New Roman"/>
                      <w:color w:val="auto"/>
                      <w:kern w:val="0"/>
                      <w:sz w:val="21"/>
                      <w:szCs w:val="21"/>
                      <w:lang w:val="en-US" w:eastAsia="zh-CN" w:bidi="ar"/>
                    </w:rPr>
                    <w:t>。当勘探井不具有开发价值时，采取永久封井，对临时占地恢复原状；当勘探并具有开发价值时，采取临时封井，除预留转成生产井所需的面积外，其他区域恢复原有植被和生态景观，使区域生态景观和谐致。</w:t>
                  </w:r>
                </w:p>
              </w:tc>
              <w:tc>
                <w:tcPr>
                  <w:tcW w:w="452" w:type="pct"/>
                  <w:vAlign w:val="center"/>
                </w:tcPr>
                <w:p w14:paraId="23F5B9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690B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14:paraId="187A7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339" w:type="pct"/>
                  <w:vAlign w:val="center"/>
                </w:tcPr>
                <w:p w14:paraId="32F8D9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关闭油（气）井应封堵油（气）层、封闭井口，并同步实施井场复垦还田或植树种草工程措施。</w:t>
                  </w:r>
                </w:p>
              </w:tc>
              <w:tc>
                <w:tcPr>
                  <w:tcW w:w="1746" w:type="pct"/>
                  <w:vMerge w:val="continue"/>
                </w:tcPr>
                <w:p w14:paraId="5424A48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452" w:type="pct"/>
                  <w:vAlign w:val="center"/>
                </w:tcPr>
                <w:p w14:paraId="3F680E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677C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tcPr>
                <w:p w14:paraId="09B3FA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四、清洁文明井场管理</w:t>
                  </w:r>
                </w:p>
              </w:tc>
              <w:tc>
                <w:tcPr>
                  <w:tcW w:w="2339" w:type="pct"/>
                  <w:vAlign w:val="center"/>
                </w:tcPr>
                <w:p w14:paraId="33A2590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井场应做到清洁卫生，无跑、冒、滴、漏现象，场外无油污、无垃圾，杜绝污染物乱堆乱放。</w:t>
                  </w:r>
                </w:p>
              </w:tc>
              <w:tc>
                <w:tcPr>
                  <w:tcW w:w="1746" w:type="pct"/>
                </w:tcPr>
                <w:p w14:paraId="41031D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要求企业在勘探期井场做到清洁卫生，无跑、冒、滴、漏现象，场外无油污、无垃圾，杜绝污染物乱堆乱放。</w:t>
                  </w:r>
                </w:p>
              </w:tc>
              <w:tc>
                <w:tcPr>
                  <w:tcW w:w="452" w:type="pct"/>
                  <w:vAlign w:val="center"/>
                </w:tcPr>
                <w:p w14:paraId="38C2DE7A">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01B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702C51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vAlign w:val="center"/>
                </w:tcPr>
                <w:p w14:paraId="0D07F3B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按照环境事故应急预案，要对井场操作人员进行应急培训，并储备相应抢险应急物资。</w:t>
                  </w:r>
                </w:p>
              </w:tc>
              <w:tc>
                <w:tcPr>
                  <w:tcW w:w="1746" w:type="pct"/>
                </w:tcPr>
                <w:p w14:paraId="0A1916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企业已设立安全环保科，并针对单井由专人负责，对井场操作人员进行应急培训，并储备相应抢险应急物资。</w:t>
                  </w:r>
                </w:p>
              </w:tc>
              <w:tc>
                <w:tcPr>
                  <w:tcW w:w="452" w:type="pct"/>
                  <w:vAlign w:val="center"/>
                </w:tcPr>
                <w:p w14:paraId="74CF1C04">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bl>
          <w:p w14:paraId="710FAEF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7、与《绿色勘察指南》（T/CMAS0001-2018）符合性分析</w:t>
            </w:r>
          </w:p>
          <w:p w14:paraId="54637F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本项目与《绿色勘察指南》（T/CMAS0001-2018）符合性分析见表1-10。</w:t>
            </w:r>
          </w:p>
          <w:p w14:paraId="10D7B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表1-10 本项目与《绿色勘察指南》（T/CMAS0001-2018）符合性分析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3628"/>
              <w:gridCol w:w="3075"/>
              <w:gridCol w:w="463"/>
            </w:tblGrid>
            <w:tr w14:paraId="2D33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61F45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347" w:type="pct"/>
                  <w:vAlign w:val="center"/>
                </w:tcPr>
                <w:p w14:paraId="00357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相关条款</w:t>
                  </w:r>
                </w:p>
              </w:tc>
              <w:tc>
                <w:tcPr>
                  <w:tcW w:w="1989" w:type="pct"/>
                  <w:vAlign w:val="center"/>
                </w:tcPr>
                <w:p w14:paraId="41033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299" w:type="pct"/>
                  <w:vAlign w:val="center"/>
                </w:tcPr>
                <w:p w14:paraId="35B27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14:paraId="3D2A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38A47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347" w:type="pct"/>
                  <w:vAlign w:val="center"/>
                </w:tcPr>
                <w:p w14:paraId="23C9ECA9">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施工剥离的适合复垦的表土，应当收集存放管理，作为施工结束后的复垦、复绿用土。宜将开挖的土石用于工程回填、路基建设及边坡填筑。需外运土石应指定位置并规范管理</w:t>
                  </w:r>
                </w:p>
              </w:tc>
              <w:tc>
                <w:tcPr>
                  <w:tcW w:w="1989" w:type="pct"/>
                  <w:vAlign w:val="center"/>
                </w:tcPr>
                <w:p w14:paraId="4FFDF89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项目施工剥离的适合复垦的表土，收集存放于临时堆土场，作为施工结束后的复垦、复绿用土。开挖的土石用于工程回填。本项目不需要外运土方。</w:t>
                  </w:r>
                </w:p>
              </w:tc>
              <w:tc>
                <w:tcPr>
                  <w:tcW w:w="299" w:type="pct"/>
                  <w:vAlign w:val="center"/>
                </w:tcPr>
                <w:p w14:paraId="6C849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CD8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EAFC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347" w:type="pct"/>
                  <w:vAlign w:val="center"/>
                </w:tcPr>
                <w:p w14:paraId="3DFC1F0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施工中挖填形成的边坡及土石堆场边坡应做好支护或拦挡，预防崩塌、滑坡、泥石流等地质灾害，尽量减少土石压占土地面积。</w:t>
                  </w:r>
                </w:p>
              </w:tc>
              <w:tc>
                <w:tcPr>
                  <w:tcW w:w="1989" w:type="pct"/>
                  <w:vAlign w:val="center"/>
                </w:tcPr>
                <w:p w14:paraId="622F6FC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施工过程中尽量减少土石压占土地面积。挖填形成的边坡及土石堆场边坡做好拦挡，预防各类地质灾害。</w:t>
                  </w:r>
                </w:p>
              </w:tc>
              <w:tc>
                <w:tcPr>
                  <w:tcW w:w="299" w:type="pct"/>
                  <w:vAlign w:val="center"/>
                </w:tcPr>
                <w:p w14:paraId="5B56B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B9C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F5E2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2347" w:type="pct"/>
                  <w:vAlign w:val="center"/>
                </w:tcPr>
                <w:p w14:paraId="0AAD2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统筹规划勘察场地进入通道，充分利用已有可利用的公路、村道等</w:t>
                  </w:r>
                </w:p>
              </w:tc>
              <w:tc>
                <w:tcPr>
                  <w:tcW w:w="1989" w:type="pct"/>
                  <w:vMerge w:val="restart"/>
                  <w:vAlign w:val="center"/>
                </w:tcPr>
                <w:p w14:paraId="0D68B7E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项目充分利用已有公路、村道、油区道路等现有道路，不新增临时道路，减少植被破坏。</w:t>
                  </w:r>
                </w:p>
              </w:tc>
              <w:tc>
                <w:tcPr>
                  <w:tcW w:w="299" w:type="pct"/>
                  <w:vAlign w:val="center"/>
                </w:tcPr>
                <w:p w14:paraId="4B77F7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C29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B9F13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347" w:type="pct"/>
                  <w:vAlign w:val="center"/>
                </w:tcPr>
                <w:p w14:paraId="2DE3D64F">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在确保安全情况下，道路修筑尽可能减少占用土地、植物移植，以及对水环境和野生动物保护的影响。</w:t>
                  </w:r>
                </w:p>
              </w:tc>
              <w:tc>
                <w:tcPr>
                  <w:tcW w:w="1989" w:type="pct"/>
                  <w:vMerge w:val="continue"/>
                  <w:vAlign w:val="center"/>
                </w:tcPr>
                <w:p w14:paraId="59A40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99" w:type="pct"/>
                  <w:vAlign w:val="center"/>
                </w:tcPr>
                <w:p w14:paraId="70699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8DD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FA14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2347" w:type="pct"/>
                  <w:vAlign w:val="center"/>
                </w:tcPr>
                <w:p w14:paraId="4ED89965">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一般应按照现场施工设备、附属设施安装、施工操作、钻进液循环系统、材料物资存放、临建房屋等施工需要，依据现场地形条件进行分区布置，以满足减小环境影响和安全文明施工为原则，严格控制场地平整使用土地面积</w:t>
                  </w:r>
                </w:p>
              </w:tc>
              <w:tc>
                <w:tcPr>
                  <w:tcW w:w="1989" w:type="pct"/>
                  <w:vAlign w:val="center"/>
                </w:tcPr>
                <w:p w14:paraId="1F5416E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项目钻探施工场地按要求分区布设，满足安全距离要求同时严格控制占地面积，进行文明施工。</w:t>
                  </w:r>
                </w:p>
              </w:tc>
              <w:tc>
                <w:tcPr>
                  <w:tcW w:w="299" w:type="pct"/>
                  <w:vAlign w:val="center"/>
                </w:tcPr>
                <w:p w14:paraId="72183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41B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4398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2347" w:type="pct"/>
                  <w:vAlign w:val="center"/>
                </w:tcPr>
                <w:p w14:paraId="4F0C9EA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钻探设备安装及其施工操作场地，鼓励优先采用模块化的便携式探矿设备</w:t>
                  </w:r>
                </w:p>
              </w:tc>
              <w:tc>
                <w:tcPr>
                  <w:tcW w:w="1989" w:type="pct"/>
                  <w:vAlign w:val="center"/>
                </w:tcPr>
                <w:p w14:paraId="78B17AF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项目钻探设备模块化的便携式探矿设备。</w:t>
                  </w:r>
                </w:p>
              </w:tc>
              <w:tc>
                <w:tcPr>
                  <w:tcW w:w="299" w:type="pct"/>
                  <w:vAlign w:val="center"/>
                </w:tcPr>
                <w:p w14:paraId="1C854F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13A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0B23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2347" w:type="pct"/>
                  <w:vAlign w:val="center"/>
                </w:tcPr>
                <w:p w14:paraId="15C9BC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钻进液循环系统场地，清水池或浆液池及废浆液池可不与钻进施工机场同一场地布置，其开挖容积应按钻孔深度进行计算，不宜小于钻孔容积的2倍</w:t>
                  </w:r>
                </w:p>
              </w:tc>
              <w:tc>
                <w:tcPr>
                  <w:tcW w:w="1989" w:type="pct"/>
                  <w:vAlign w:val="center"/>
                </w:tcPr>
                <w:p w14:paraId="28ACFDD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项目采用最新要求的泥浆不落地成套设备，钻井泥浆采用泥浆罐收集并循环使用。</w:t>
                  </w:r>
                </w:p>
              </w:tc>
              <w:tc>
                <w:tcPr>
                  <w:tcW w:w="299" w:type="pct"/>
                  <w:vAlign w:val="center"/>
                </w:tcPr>
                <w:p w14:paraId="76B49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7DE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4DE8E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2347" w:type="pct"/>
                  <w:vAlign w:val="center"/>
                </w:tcPr>
                <w:p w14:paraId="271FFAEA">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岩心棚及材料库、备用管材物资堆场、值班休息房、油料堆场、废弃物资及垃圾场、工地厕所场地等附属设备设施场地，按照附属设备、设施安装及操作使用需求，在最大限度减少环境扰动前提下，依地形分区平整场地</w:t>
                  </w:r>
                </w:p>
              </w:tc>
              <w:tc>
                <w:tcPr>
                  <w:tcW w:w="1989" w:type="pct"/>
                  <w:vAlign w:val="center"/>
                </w:tcPr>
                <w:p w14:paraId="4F360D0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岩心棚及材料库、备用管材物资堆场、值班休息房、油料堆场、废弃物资及垃圾场、工地厕所场地等附属设备设施场地按相关要求分区布设。</w:t>
                  </w:r>
                </w:p>
              </w:tc>
              <w:tc>
                <w:tcPr>
                  <w:tcW w:w="299" w:type="pct"/>
                  <w:vAlign w:val="center"/>
                </w:tcPr>
                <w:p w14:paraId="1C74D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985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94BB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2347" w:type="pct"/>
                  <w:vAlign w:val="center"/>
                </w:tcPr>
                <w:p w14:paraId="2E473EC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钻探（钻井）施工场地应设置排水沟，确保现场无低洼积水。若施工机场边坡上方汇水面大或位于冲沟附近，应设置截水沟</w:t>
                  </w:r>
                </w:p>
              </w:tc>
              <w:tc>
                <w:tcPr>
                  <w:tcW w:w="1989" w:type="pct"/>
                  <w:vAlign w:val="center"/>
                </w:tcPr>
                <w:p w14:paraId="7C51AA7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钻探（钻井）施工场地四周设置截排水沟对雨水进行引流，防止站场水土流失。</w:t>
                  </w:r>
                </w:p>
              </w:tc>
              <w:tc>
                <w:tcPr>
                  <w:tcW w:w="299" w:type="pct"/>
                  <w:vAlign w:val="center"/>
                </w:tcPr>
                <w:p w14:paraId="654AC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E88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41CCD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2347" w:type="pct"/>
                  <w:vAlign w:val="center"/>
                </w:tcPr>
                <w:p w14:paraId="20B45239">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主要设备及配套技术应处于国内先进水平。施工设备应具备安、拆快捷、便于搬运，机械化、智能化程度高，施工操作安全简便、劳动强度低、生产效率高，工程质量好、节能、环保等特点。优先采用模块化、轻便化、小型化、集成度高的钻探施工及其配套设备</w:t>
                  </w:r>
                </w:p>
              </w:tc>
              <w:tc>
                <w:tcPr>
                  <w:tcW w:w="1989" w:type="pct"/>
                  <w:vAlign w:val="center"/>
                </w:tcPr>
                <w:p w14:paraId="061FCEA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项目采用目前先进的</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及配套钻井设备，属于模块化、轻便化、小型化、集成度高的设备。且采用先进的泥浆收集循环利用成套设备。均具有机械化、智能化程度高，施工操作安全简便、劳动强度低、生产效率高，工程质量好、节能、环保等特点。</w:t>
                  </w:r>
                </w:p>
              </w:tc>
              <w:tc>
                <w:tcPr>
                  <w:tcW w:w="299" w:type="pct"/>
                  <w:vAlign w:val="center"/>
                </w:tcPr>
                <w:p w14:paraId="5376D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5F8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962A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w:t>
                  </w:r>
                </w:p>
              </w:tc>
              <w:tc>
                <w:tcPr>
                  <w:tcW w:w="2347" w:type="pct"/>
                  <w:vAlign w:val="center"/>
                </w:tcPr>
                <w:p w14:paraId="7ABE2F7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技术工艺应先进合理，切合勘查施工要求，钻进效率高，质量优，节能减排，安全环保。积极采用定向钻探、绳索取心金刚石钻进、冲击回转钻进、空气潜孔钻进、不提钻换钻头等先进的钻探施工方法及技术工艺。除浅表层开孔外，尽量采用金刚石绳索取心、双层管或三层管钻进技术工艺</w:t>
                  </w:r>
                </w:p>
              </w:tc>
              <w:tc>
                <w:tcPr>
                  <w:tcW w:w="1989" w:type="pct"/>
                  <w:vAlign w:val="center"/>
                </w:tcPr>
                <w:p w14:paraId="6C725BA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项目采用目前先进的</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钻机及配套钻井设备，钻进效率高，质量优，节能减排，安全环保。</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钻机主要用于岩心勘探的钻机。项目采用金刚石绳索取心钻进工艺，在钻探施工过程的回次钻进中，不用提出全套钻柱(包括外管)、而借助绳索打捞器打捞内管取心，可实现长孔段连续钻进，工艺较为先进。</w:t>
                  </w:r>
                </w:p>
              </w:tc>
              <w:tc>
                <w:tcPr>
                  <w:tcW w:w="299" w:type="pct"/>
                  <w:vAlign w:val="center"/>
                </w:tcPr>
                <w:p w14:paraId="055BC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06E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11B1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w:t>
                  </w:r>
                </w:p>
              </w:tc>
              <w:tc>
                <w:tcPr>
                  <w:tcW w:w="2347" w:type="pct"/>
                  <w:vAlign w:val="center"/>
                </w:tcPr>
                <w:p w14:paraId="2AFCF78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循环液使用泥浆时，应采用无固相或低固相的优质环保浆液。泥浆材料及处理剂具备无毒无害、可自然降解性能，符合环保标准要求。加强循环液的现场使用管理，做好施工中防渗、护壁及净化处理，预防浆液使用中造成地面及地下污染</w:t>
                  </w:r>
                </w:p>
              </w:tc>
              <w:tc>
                <w:tcPr>
                  <w:tcW w:w="1989" w:type="pct"/>
                  <w:vAlign w:val="center"/>
                </w:tcPr>
                <w:p w14:paraId="196C6C8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项目采用水基型钻井液，具有无毒无害、可自然降解的特点，钻井泥浆采用泥浆罐收集并循环利用，要求泥浆不落地。</w:t>
                  </w:r>
                </w:p>
              </w:tc>
              <w:tc>
                <w:tcPr>
                  <w:tcW w:w="299" w:type="pct"/>
                  <w:vAlign w:val="center"/>
                </w:tcPr>
                <w:p w14:paraId="49226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B24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F13FB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w:t>
                  </w:r>
                </w:p>
              </w:tc>
              <w:tc>
                <w:tcPr>
                  <w:tcW w:w="2347" w:type="pct"/>
                  <w:vAlign w:val="center"/>
                </w:tcPr>
                <w:p w14:paraId="63D8BBA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勘查产生的废水可循环利用的应循环利用；对外排放应经沉淀和按规定进行技术处理，按照</w:t>
                  </w:r>
                  <w:r>
                    <w:rPr>
                      <w:rFonts w:hint="default" w:ascii="Times New Roman" w:hAnsi="Times New Roman" w:eastAsia="宋体" w:cs="Times New Roman"/>
                      <w:color w:val="auto"/>
                      <w:kern w:val="0"/>
                      <w:sz w:val="21"/>
                      <w:szCs w:val="21"/>
                      <w:lang w:val="en-US" w:eastAsia="zh-CN" w:bidi="ar"/>
                    </w:rPr>
                    <w:t>GB8978</w:t>
                  </w:r>
                  <w:r>
                    <w:rPr>
                      <w:rFonts w:hint="eastAsia" w:ascii="宋体" w:hAnsi="宋体" w:eastAsia="宋体" w:cs="宋体"/>
                      <w:color w:val="auto"/>
                      <w:kern w:val="0"/>
                      <w:sz w:val="21"/>
                      <w:szCs w:val="21"/>
                      <w:lang w:val="en-US" w:eastAsia="zh-CN" w:bidi="ar"/>
                    </w:rPr>
                    <w:t>标准执行</w:t>
                  </w:r>
                </w:p>
              </w:tc>
              <w:tc>
                <w:tcPr>
                  <w:tcW w:w="1989" w:type="pct"/>
                  <w:vAlign w:val="center"/>
                </w:tcPr>
                <w:p w14:paraId="4D9E4D6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泥浆上清液排入地上移动式污水罐，用于配制泥浆，循环使用，洗井废水、压裂返排液排入井场设置的地上废水收集罐，送至陕西榆佳环保科技有限公司处理；生活污水排入移动式环保厕所内后清掏用作农肥。</w:t>
                  </w:r>
                </w:p>
              </w:tc>
              <w:tc>
                <w:tcPr>
                  <w:tcW w:w="299" w:type="pct"/>
                  <w:vAlign w:val="center"/>
                </w:tcPr>
                <w:p w14:paraId="44BC58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BAB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869B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14</w:t>
                  </w:r>
                </w:p>
              </w:tc>
              <w:tc>
                <w:tcPr>
                  <w:tcW w:w="2347" w:type="pct"/>
                  <w:vAlign w:val="center"/>
                </w:tcPr>
                <w:p w14:paraId="2BE3371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油气表层钻井应使用空气钻或清水钻进方式，钻进过程中遇到水层，固井时应避开水层，防止地表水受到污染。油气钻进施工中，如出现孔内泥浆严重漏失及涌水现象，应快速穿越漏失及涌水地层后，及时对漏失及涌水地层孔段采用快干水泥基堵漏材料进行封堵，孔深较浅时，亦可采用套管隔离，预防泥浆对地下水造成污染破坏</w:t>
                  </w:r>
                </w:p>
              </w:tc>
              <w:tc>
                <w:tcPr>
                  <w:tcW w:w="1989" w:type="pct"/>
                  <w:vAlign w:val="center"/>
                </w:tcPr>
                <w:p w14:paraId="035D352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表层钻井使用清水钻，钻进过程中遇到水层，固井时避开水层，防止地表水受到污染。钻进施工中，如出现孔内泥浆严重漏失及涌水现象，应快速穿越漏失及涌水地层后，及时对漏失及涌水地层孔段采用快干水泥基堵漏材料进行封堵，孔深较浅时，亦可采用套管隔离，预防泥浆对地下水造成污染和破坏。</w:t>
                  </w:r>
                </w:p>
              </w:tc>
              <w:tc>
                <w:tcPr>
                  <w:tcW w:w="299" w:type="pct"/>
                  <w:vAlign w:val="center"/>
                </w:tcPr>
                <w:p w14:paraId="22628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F07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75205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2347" w:type="pct"/>
                  <w:vAlign w:val="center"/>
                </w:tcPr>
                <w:p w14:paraId="210F2A7E">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勘查施工道路、场地平整、现场作业应充分考虑到野生动植物保护。勘查机械设备应安装消声装置或场地修隔音设施，降低施工噪音；在有人居住区和野生动物栖息附近，夜间应停止有噪声影响的作业活动</w:t>
                  </w:r>
                </w:p>
              </w:tc>
              <w:tc>
                <w:tcPr>
                  <w:tcW w:w="1989" w:type="pct"/>
                  <w:vAlign w:val="center"/>
                </w:tcPr>
                <w:p w14:paraId="01410FF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场地平整、现场作业选用低噪声设备，文明施工，减少占地，做好野生动植物保护的施工宣传。项目钻井和泥浆收集处理成套设备均配备减震基座和减震垫，空气动力设备安装消声装置</w:t>
                  </w:r>
                  <w:r>
                    <w:rPr>
                      <w:rFonts w:hint="eastAsia" w:ascii="Times New Roman" w:hAnsi="Times New Roman" w:eastAsia="宋体" w:cs="Times New Roman"/>
                      <w:color w:val="auto"/>
                      <w:sz w:val="21"/>
                      <w:szCs w:val="21"/>
                      <w:lang w:eastAsia="zh-CN"/>
                    </w:rPr>
                    <w:t>。</w:t>
                  </w:r>
                </w:p>
              </w:tc>
              <w:tc>
                <w:tcPr>
                  <w:tcW w:w="299" w:type="pct"/>
                  <w:vAlign w:val="center"/>
                </w:tcPr>
                <w:p w14:paraId="4C6E43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1B0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1147E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2347" w:type="pct"/>
                  <w:vAlign w:val="center"/>
                </w:tcPr>
                <w:p w14:paraId="6E613B74">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对容易产生粉尘的作业，采取喷雾、洒水等措施最大限度地降低勘查施工作业中产生的粉尘</w:t>
                  </w:r>
                </w:p>
              </w:tc>
              <w:tc>
                <w:tcPr>
                  <w:tcW w:w="1989" w:type="pct"/>
                  <w:vAlign w:val="center"/>
                </w:tcPr>
                <w:p w14:paraId="0FDF289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项目土方施工过程中配套洒水车进行洒水抑尘</w:t>
                  </w:r>
                  <w:r>
                    <w:rPr>
                      <w:rFonts w:hint="eastAsia" w:ascii="Times New Roman" w:hAnsi="Times New Roman" w:eastAsia="宋体" w:cs="Times New Roman"/>
                      <w:color w:val="auto"/>
                      <w:sz w:val="21"/>
                      <w:szCs w:val="21"/>
                      <w:lang w:eastAsia="zh-CN"/>
                    </w:rPr>
                    <w:t>。</w:t>
                  </w:r>
                </w:p>
              </w:tc>
              <w:tc>
                <w:tcPr>
                  <w:tcW w:w="299" w:type="pct"/>
                  <w:vAlign w:val="center"/>
                </w:tcPr>
                <w:p w14:paraId="43A36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AD2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C36E1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2347" w:type="pct"/>
                  <w:vAlign w:val="center"/>
                </w:tcPr>
                <w:p w14:paraId="5DA2B124">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采用喷雾、洒水、加设除尘装置等措施处置运输过程中产生的粉尘及其扩散</w:t>
                  </w:r>
                </w:p>
              </w:tc>
              <w:tc>
                <w:tcPr>
                  <w:tcW w:w="1989" w:type="pct"/>
                  <w:vAlign w:val="center"/>
                </w:tcPr>
                <w:p w14:paraId="73592AE8">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项目运输过程中加盖篷布防止扬尘，对运输道路配套洒水车进行洒水抑尘</w:t>
                  </w:r>
                  <w:r>
                    <w:rPr>
                      <w:rFonts w:hint="eastAsia" w:ascii="Times New Roman" w:hAnsi="Times New Roman" w:eastAsia="宋体" w:cs="Times New Roman"/>
                      <w:color w:val="auto"/>
                      <w:sz w:val="21"/>
                      <w:szCs w:val="21"/>
                      <w:lang w:eastAsia="zh-CN"/>
                    </w:rPr>
                    <w:t>。</w:t>
                  </w:r>
                </w:p>
              </w:tc>
              <w:tc>
                <w:tcPr>
                  <w:tcW w:w="299" w:type="pct"/>
                  <w:vAlign w:val="center"/>
                </w:tcPr>
                <w:p w14:paraId="40F9D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BA9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B3556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2347" w:type="pct"/>
                  <w:vAlign w:val="center"/>
                </w:tcPr>
                <w:p w14:paraId="472FCEF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施工现场不应燃烧秸秆、衣物及其他产生烟尘、废气污染的物品</w:t>
                  </w:r>
                </w:p>
              </w:tc>
              <w:tc>
                <w:tcPr>
                  <w:tcW w:w="1989" w:type="pct"/>
                  <w:vAlign w:val="center"/>
                </w:tcPr>
                <w:p w14:paraId="2CE4216F">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施工现场按要求不允许燃烧秸秆、衣物及其他产生烟尘、废气污染的物品</w:t>
                  </w:r>
                  <w:r>
                    <w:rPr>
                      <w:rFonts w:hint="eastAsia" w:ascii="Times New Roman" w:hAnsi="Times New Roman" w:eastAsia="宋体" w:cs="Times New Roman"/>
                      <w:color w:val="auto"/>
                      <w:sz w:val="21"/>
                      <w:szCs w:val="21"/>
                      <w:lang w:eastAsia="zh-CN"/>
                    </w:rPr>
                    <w:t>。</w:t>
                  </w:r>
                </w:p>
              </w:tc>
              <w:tc>
                <w:tcPr>
                  <w:tcW w:w="299" w:type="pct"/>
                  <w:vAlign w:val="center"/>
                </w:tcPr>
                <w:p w14:paraId="7E6A70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872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787B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2347" w:type="pct"/>
                  <w:vAlign w:val="center"/>
                </w:tcPr>
                <w:p w14:paraId="2C8597A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废弃物管理按照GB18599执行</w:t>
                  </w:r>
                </w:p>
              </w:tc>
              <w:tc>
                <w:tcPr>
                  <w:tcW w:w="1989" w:type="pct"/>
                  <w:vAlign w:val="center"/>
                </w:tcPr>
                <w:p w14:paraId="5271802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0"/>
                      <w:sz w:val="21"/>
                      <w:szCs w:val="21"/>
                    </w:rPr>
                    <w:t>项目钻井过程中采取不落地收集措施，废弃泥浆实施固液分离处理，钻井泥浆</w:t>
                  </w:r>
                  <w:r>
                    <w:rPr>
                      <w:rFonts w:hint="eastAsia" w:ascii="Times New Roman" w:hAnsi="Times New Roman" w:cs="Times New Roman"/>
                      <w:snapToGrid w:val="0"/>
                      <w:color w:val="auto"/>
                      <w:kern w:val="0"/>
                      <w:sz w:val="21"/>
                      <w:szCs w:val="21"/>
                      <w:lang w:val="en-US" w:eastAsia="zh-CN"/>
                    </w:rPr>
                    <w:t>和岩屑</w:t>
                  </w:r>
                  <w:r>
                    <w:rPr>
                      <w:rFonts w:hint="default" w:ascii="Times New Roman" w:hAnsi="Times New Roman" w:cs="Times New Roman"/>
                      <w:bCs/>
                      <w:color w:val="auto"/>
                      <w:sz w:val="21"/>
                      <w:szCs w:val="21"/>
                    </w:rPr>
                    <w:t>外运处置</w:t>
                  </w:r>
                  <w:r>
                    <w:rPr>
                      <w:rFonts w:hint="eastAsia" w:ascii="Times New Roman" w:hAnsi="Times New Roman" w:eastAsia="宋体" w:cs="Times New Roman"/>
                      <w:bCs/>
                      <w:color w:val="auto"/>
                      <w:sz w:val="21"/>
                      <w:szCs w:val="21"/>
                      <w:lang w:eastAsia="zh-CN"/>
                    </w:rPr>
                    <w:t>。</w:t>
                  </w:r>
                </w:p>
              </w:tc>
              <w:tc>
                <w:tcPr>
                  <w:tcW w:w="299" w:type="pct"/>
                  <w:vAlign w:val="center"/>
                </w:tcPr>
                <w:p w14:paraId="637C4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E21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D631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c>
                <w:tcPr>
                  <w:tcW w:w="2347" w:type="pct"/>
                  <w:vAlign w:val="center"/>
                </w:tcPr>
                <w:p w14:paraId="544C6D22">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生活固体废弃物应分类处置，按照GB18485、CJJ17执行</w:t>
                  </w:r>
                </w:p>
              </w:tc>
              <w:tc>
                <w:tcPr>
                  <w:tcW w:w="1989" w:type="pct"/>
                  <w:vAlign w:val="center"/>
                </w:tcPr>
                <w:p w14:paraId="5F168A2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生活垃圾集中收集后送环卫部门指定地点堆放</w:t>
                  </w:r>
                  <w:r>
                    <w:rPr>
                      <w:rFonts w:hint="eastAsia" w:ascii="Times New Roman" w:hAnsi="Times New Roman" w:eastAsia="宋体" w:cs="Times New Roman"/>
                      <w:color w:val="auto"/>
                      <w:sz w:val="21"/>
                      <w:szCs w:val="21"/>
                      <w:lang w:eastAsia="zh-CN"/>
                    </w:rPr>
                    <w:t>。</w:t>
                  </w:r>
                </w:p>
              </w:tc>
              <w:tc>
                <w:tcPr>
                  <w:tcW w:w="299" w:type="pct"/>
                  <w:vAlign w:val="center"/>
                </w:tcPr>
                <w:p w14:paraId="4CB1A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9F5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02CD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w:t>
                  </w:r>
                </w:p>
              </w:tc>
              <w:tc>
                <w:tcPr>
                  <w:tcW w:w="2347" w:type="pct"/>
                  <w:vAlign w:val="center"/>
                </w:tcPr>
                <w:p w14:paraId="5427428B">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勘查施工区（点）工作结束后，应及时拆除现场施工设备、物资和临时设施，清除现场各类杂物、垃圾及污染物</w:t>
                  </w:r>
                </w:p>
              </w:tc>
              <w:tc>
                <w:tcPr>
                  <w:tcW w:w="1989" w:type="pct"/>
                  <w:vAlign w:val="center"/>
                </w:tcPr>
                <w:p w14:paraId="22E8E01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项目施工结束后，立即拆除现场施工设备、物资和临时设施，清除现场各类杂物、垃圾及污染物</w:t>
                  </w:r>
                  <w:r>
                    <w:rPr>
                      <w:rFonts w:hint="eastAsia" w:ascii="Times New Roman" w:hAnsi="Times New Roman" w:eastAsia="宋体" w:cs="Times New Roman"/>
                      <w:color w:val="auto"/>
                      <w:sz w:val="21"/>
                      <w:szCs w:val="21"/>
                      <w:lang w:eastAsia="zh-CN"/>
                    </w:rPr>
                    <w:t>。</w:t>
                  </w:r>
                </w:p>
              </w:tc>
              <w:tc>
                <w:tcPr>
                  <w:tcW w:w="299" w:type="pct"/>
                  <w:vAlign w:val="center"/>
                </w:tcPr>
                <w:p w14:paraId="25FCD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4AC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2DD23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w:t>
                  </w:r>
                </w:p>
              </w:tc>
              <w:tc>
                <w:tcPr>
                  <w:tcW w:w="2347" w:type="pct"/>
                  <w:vAlign w:val="center"/>
                </w:tcPr>
                <w:p w14:paraId="1C90990D">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现场的垃圾、油污、废液、沉渣及其它固体废物应进行分类清理、收集，按照GB18599等相关规定进行焚烧、消毒、沉淀、固化等处理</w:t>
                  </w:r>
                </w:p>
              </w:tc>
              <w:tc>
                <w:tcPr>
                  <w:tcW w:w="1989" w:type="pct"/>
                  <w:vAlign w:val="center"/>
                </w:tcPr>
                <w:p w14:paraId="18A0F47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项目产生的落地油及时回收，保证落地油回收率能够达到100%；废机油等危险废物严格执行国家和本省的有关规定，进行收集、贮存、利用和处置，施工结束后，交给有</w:t>
                  </w:r>
                  <w:r>
                    <w:rPr>
                      <w:rFonts w:hint="eastAsia" w:ascii="Times New Roman" w:hAnsi="Times New Roman" w:eastAsia="宋体" w:cs="Times New Roman"/>
                      <w:color w:val="auto"/>
                      <w:sz w:val="21"/>
                      <w:szCs w:val="21"/>
                      <w:lang w:val="en-US" w:eastAsia="zh-CN"/>
                    </w:rPr>
                    <w:t>资质</w:t>
                  </w:r>
                  <w:r>
                    <w:rPr>
                      <w:rFonts w:hint="default" w:ascii="Times New Roman" w:hAnsi="Times New Roman" w:cs="Times New Roman"/>
                      <w:color w:val="auto"/>
                      <w:sz w:val="21"/>
                      <w:szCs w:val="21"/>
                    </w:rPr>
                    <w:t>的单位进行处置</w:t>
                  </w:r>
                  <w:r>
                    <w:rPr>
                      <w:rFonts w:hint="eastAsia" w:ascii="Times New Roman" w:hAnsi="Times New Roman" w:eastAsia="宋体" w:cs="Times New Roman"/>
                      <w:color w:val="auto"/>
                      <w:sz w:val="21"/>
                      <w:szCs w:val="21"/>
                      <w:lang w:eastAsia="zh-CN"/>
                    </w:rPr>
                    <w:t>。</w:t>
                  </w:r>
                </w:p>
              </w:tc>
              <w:tc>
                <w:tcPr>
                  <w:tcW w:w="299" w:type="pct"/>
                  <w:vAlign w:val="center"/>
                </w:tcPr>
                <w:p w14:paraId="67959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F84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63DB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w:t>
                  </w:r>
                </w:p>
              </w:tc>
              <w:tc>
                <w:tcPr>
                  <w:tcW w:w="2347" w:type="pct"/>
                  <w:vAlign w:val="center"/>
                </w:tcPr>
                <w:p w14:paraId="15009D7A">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对于现场不能处置的污染物，应外运到专业处理场处理</w:t>
                  </w:r>
                </w:p>
              </w:tc>
              <w:tc>
                <w:tcPr>
                  <w:tcW w:w="1989" w:type="pct"/>
                  <w:vAlign w:val="center"/>
                </w:tcPr>
                <w:p w14:paraId="0DF14B4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项目危险废物委托</w:t>
                  </w:r>
                  <w:r>
                    <w:rPr>
                      <w:rFonts w:hint="default" w:ascii="Times New Roman" w:hAnsi="Times New Roman" w:cs="Times New Roman"/>
                      <w:color w:val="auto"/>
                      <w:sz w:val="21"/>
                      <w:szCs w:val="21"/>
                      <w:lang w:val="en-US" w:eastAsia="zh-CN"/>
                    </w:rPr>
                    <w:t>有</w:t>
                  </w:r>
                  <w:r>
                    <w:rPr>
                      <w:rFonts w:hint="default" w:ascii="Times New Roman" w:hAnsi="Times New Roman" w:cs="Times New Roman"/>
                      <w:color w:val="auto"/>
                      <w:sz w:val="21"/>
                      <w:szCs w:val="21"/>
                    </w:rPr>
                    <w:t>资质单位外运处置；废钻井泥浆、岩屑进行不落地收集，井场配备地上移动收集设施，</w:t>
                  </w:r>
                  <w:r>
                    <w:rPr>
                      <w:rFonts w:hint="default" w:ascii="Times New Roman" w:hAnsi="Times New Roman" w:cs="Times New Roman"/>
                      <w:color w:val="auto"/>
                      <w:sz w:val="21"/>
                      <w:szCs w:val="21"/>
                      <w:lang w:val="en-US" w:eastAsia="zh-CN"/>
                    </w:rPr>
                    <w:t>并委托陕西德禾鑫盛环保科技有限公司</w:t>
                  </w:r>
                  <w:r>
                    <w:rPr>
                      <w:rFonts w:hint="default" w:ascii="Times New Roman" w:hAnsi="Times New Roman" w:cs="Times New Roman"/>
                      <w:color w:val="auto"/>
                      <w:sz w:val="21"/>
                      <w:szCs w:val="21"/>
                    </w:rPr>
                    <w:t>进行处置；生活垃圾收集后送环卫部门指定地点堆放</w:t>
                  </w:r>
                  <w:r>
                    <w:rPr>
                      <w:rFonts w:hint="default" w:ascii="Times New Roman" w:hAnsi="Times New Roman" w:eastAsia="宋体" w:cs="Times New Roman"/>
                      <w:color w:val="auto"/>
                      <w:sz w:val="21"/>
                      <w:szCs w:val="21"/>
                      <w:lang w:eastAsia="zh-CN"/>
                    </w:rPr>
                    <w:t>。</w:t>
                  </w:r>
                </w:p>
              </w:tc>
              <w:tc>
                <w:tcPr>
                  <w:tcW w:w="299" w:type="pct"/>
                  <w:vAlign w:val="center"/>
                </w:tcPr>
                <w:p w14:paraId="1A385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781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2F11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c>
                <w:tcPr>
                  <w:tcW w:w="2347" w:type="pct"/>
                  <w:vAlign w:val="center"/>
                </w:tcPr>
                <w:p w14:paraId="7129CF3F">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场地恢复平整应根据恢复治理设计要求，结合现场情况，尽可能按原始地形地貌平整。难以复原的地段，应按恢复治理设计场地平整标高进行平整，尽可能与自然环境相协调</w:t>
                  </w:r>
                </w:p>
              </w:tc>
              <w:tc>
                <w:tcPr>
                  <w:tcW w:w="1989" w:type="pct"/>
                  <w:vAlign w:val="center"/>
                </w:tcPr>
                <w:p w14:paraId="69C23AD9">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评价要求项目施工结束后，对不具有利用价值的勘探井进行永久封井，</w:t>
                  </w:r>
                  <w:r>
                    <w:rPr>
                      <w:rFonts w:hint="eastAsia" w:ascii="Times New Roman" w:hAnsi="Times New Roman" w:cs="Times New Roman"/>
                      <w:color w:val="auto"/>
                      <w:sz w:val="21"/>
                      <w:szCs w:val="21"/>
                      <w:lang w:val="en-US" w:eastAsia="zh-CN"/>
                    </w:rPr>
                    <w:t>临时占地</w:t>
                  </w:r>
                  <w:r>
                    <w:rPr>
                      <w:rFonts w:hint="default" w:ascii="Times New Roman" w:hAnsi="Times New Roman" w:cs="Times New Roman"/>
                      <w:color w:val="auto"/>
                      <w:sz w:val="21"/>
                      <w:szCs w:val="21"/>
                    </w:rPr>
                    <w:t>恢复原土地类型</w:t>
                  </w:r>
                  <w:r>
                    <w:rPr>
                      <w:rFonts w:hint="eastAsia" w:ascii="Times New Roman" w:hAnsi="Times New Roman" w:eastAsia="宋体" w:cs="Times New Roman"/>
                      <w:color w:val="auto"/>
                      <w:sz w:val="21"/>
                      <w:szCs w:val="21"/>
                      <w:lang w:eastAsia="zh-CN"/>
                    </w:rPr>
                    <w:t>。</w:t>
                  </w:r>
                </w:p>
              </w:tc>
              <w:tc>
                <w:tcPr>
                  <w:tcW w:w="299" w:type="pct"/>
                  <w:vAlign w:val="center"/>
                </w:tcPr>
                <w:p w14:paraId="0C26C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B76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841B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2347" w:type="pct"/>
                  <w:vAlign w:val="center"/>
                </w:tcPr>
                <w:p w14:paraId="2524C9F6">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钻探及其他施工现场场地平整中，应彻底清除场地上污染物。废浆，废液应进行固化处理，深埋于开挖的坑、池底部，上部回填无污染的土壤</w:t>
                  </w:r>
                </w:p>
              </w:tc>
              <w:tc>
                <w:tcPr>
                  <w:tcW w:w="1989" w:type="pct"/>
                  <w:vAlign w:val="center"/>
                </w:tcPr>
                <w:p w14:paraId="1A4A86B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项目采用泥浆不落地工艺，废弃钻井泥浆和岩屑进行收集后，委托外运处置</w:t>
                  </w:r>
                  <w:r>
                    <w:rPr>
                      <w:rFonts w:hint="eastAsia" w:ascii="Times New Roman" w:hAnsi="Times New Roman" w:eastAsia="宋体" w:cs="Times New Roman"/>
                      <w:color w:val="auto"/>
                      <w:sz w:val="21"/>
                      <w:szCs w:val="21"/>
                      <w:lang w:eastAsia="zh-CN"/>
                    </w:rPr>
                    <w:t>。</w:t>
                  </w:r>
                </w:p>
              </w:tc>
              <w:tc>
                <w:tcPr>
                  <w:tcW w:w="299" w:type="pct"/>
                  <w:vAlign w:val="center"/>
                </w:tcPr>
                <w:p w14:paraId="1CF233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83C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C6EA6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26</w:t>
                  </w:r>
                </w:p>
              </w:tc>
              <w:tc>
                <w:tcPr>
                  <w:tcW w:w="2347" w:type="pct"/>
                  <w:vAlign w:val="center"/>
                </w:tcPr>
                <w:p w14:paraId="32BEE9DF">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钻探现场应严格按照地质设计要求认真做好封孔工作，保证封孔质量，孔口用水泥砂浆树立规范的标志桩</w:t>
                  </w:r>
                </w:p>
              </w:tc>
              <w:tc>
                <w:tcPr>
                  <w:tcW w:w="1989" w:type="pct"/>
                  <w:vAlign w:val="center"/>
                </w:tcPr>
                <w:p w14:paraId="344F26D6">
                  <w:pPr>
                    <w:pStyle w:val="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项目已提出封井要求，建设单位应根据相关要求认真做好封孔工作，保证封孔质量，孔口用水泥砂浆树立规范的标志桩</w:t>
                  </w:r>
                  <w:r>
                    <w:rPr>
                      <w:rFonts w:hint="eastAsia" w:ascii="Times New Roman" w:hAnsi="Times New Roman" w:eastAsia="宋体" w:cs="Times New Roman"/>
                      <w:color w:val="auto"/>
                      <w:sz w:val="21"/>
                      <w:szCs w:val="21"/>
                      <w:lang w:eastAsia="zh-CN"/>
                    </w:rPr>
                    <w:t>。</w:t>
                  </w:r>
                </w:p>
              </w:tc>
              <w:tc>
                <w:tcPr>
                  <w:tcW w:w="299" w:type="pct"/>
                  <w:vAlign w:val="center"/>
                </w:tcPr>
                <w:p w14:paraId="1A180E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6EA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326F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27</w:t>
                  </w:r>
                </w:p>
              </w:tc>
              <w:tc>
                <w:tcPr>
                  <w:tcW w:w="2347" w:type="pct"/>
                  <w:vAlign w:val="center"/>
                </w:tcPr>
                <w:p w14:paraId="491E443C">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施工道路及临建场地根据设计恢复地类及保留需求进行平整</w:t>
                  </w:r>
                </w:p>
              </w:tc>
              <w:tc>
                <w:tcPr>
                  <w:tcW w:w="1989" w:type="pct"/>
                  <w:vAlign w:val="center"/>
                </w:tcPr>
                <w:p w14:paraId="3B8B225E">
                  <w:pPr>
                    <w:pStyle w:val="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项目施工便道依托井场周边已有道路</w:t>
                  </w:r>
                  <w:r>
                    <w:rPr>
                      <w:rFonts w:hint="default" w:ascii="Times New Roman" w:hAnsi="Times New Roman" w:cs="Times New Roman"/>
                      <w:color w:val="auto"/>
                      <w:sz w:val="21"/>
                      <w:szCs w:val="21"/>
                    </w:rPr>
                    <w:t>，若永久封井，占用的临时用地进行恢复原土地类型</w:t>
                  </w:r>
                  <w:r>
                    <w:rPr>
                      <w:rFonts w:hint="eastAsia" w:ascii="Times New Roman" w:hAnsi="Times New Roman" w:eastAsia="宋体" w:cs="Times New Roman"/>
                      <w:color w:val="auto"/>
                      <w:sz w:val="21"/>
                      <w:szCs w:val="21"/>
                      <w:lang w:eastAsia="zh-CN"/>
                    </w:rPr>
                    <w:t>。</w:t>
                  </w:r>
                </w:p>
              </w:tc>
              <w:tc>
                <w:tcPr>
                  <w:tcW w:w="299" w:type="pct"/>
                  <w:vAlign w:val="center"/>
                </w:tcPr>
                <w:p w14:paraId="5B250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6C9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778C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w:t>
                  </w:r>
                </w:p>
              </w:tc>
              <w:tc>
                <w:tcPr>
                  <w:tcW w:w="2347" w:type="pct"/>
                  <w:vAlign w:val="center"/>
                </w:tcPr>
                <w:p w14:paraId="624D64C1">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场地的覆土厚度及土质应符合恢复地类的复绿设计及相关行业的规范标准要求</w:t>
                  </w:r>
                </w:p>
              </w:tc>
              <w:tc>
                <w:tcPr>
                  <w:tcW w:w="1989" w:type="pct"/>
                  <w:vAlign w:val="center"/>
                </w:tcPr>
                <w:p w14:paraId="14B50896">
                  <w:pPr>
                    <w:pStyle w:val="2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项目要求场地的覆土厚度及土质必须复核相关规范标准要求</w:t>
                  </w:r>
                  <w:r>
                    <w:rPr>
                      <w:rFonts w:hint="eastAsia" w:ascii="Times New Roman" w:hAnsi="Times New Roman" w:eastAsia="宋体" w:cs="Times New Roman"/>
                      <w:color w:val="auto"/>
                      <w:sz w:val="21"/>
                      <w:szCs w:val="21"/>
                      <w:lang w:eastAsia="zh-CN"/>
                    </w:rPr>
                    <w:t>。</w:t>
                  </w:r>
                </w:p>
              </w:tc>
              <w:tc>
                <w:tcPr>
                  <w:tcW w:w="299" w:type="pct"/>
                  <w:vAlign w:val="center"/>
                </w:tcPr>
                <w:p w14:paraId="77119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CA3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2797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w:t>
                  </w:r>
                </w:p>
              </w:tc>
              <w:tc>
                <w:tcPr>
                  <w:tcW w:w="2347" w:type="pct"/>
                  <w:vAlign w:val="center"/>
                </w:tcPr>
                <w:p w14:paraId="10092A31">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仅压占未挖损及污染的场地，可采取深翻，松土、培土等方式，满足相关规定和设计恢复治理要求</w:t>
                  </w:r>
                </w:p>
              </w:tc>
              <w:tc>
                <w:tcPr>
                  <w:tcW w:w="1989" w:type="pct"/>
                  <w:vAlign w:val="center"/>
                </w:tcPr>
                <w:p w14:paraId="72000B8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lang w:bidi="ar"/>
                    </w:rPr>
                    <w:t>项目仅压占未挖损及污染的场地，要求采取深翻，松土、培土等方式</w:t>
                  </w:r>
                  <w:r>
                    <w:rPr>
                      <w:rFonts w:hint="eastAsia" w:eastAsia="宋体" w:cs="宋体"/>
                      <w:color w:val="auto"/>
                      <w:sz w:val="21"/>
                      <w:szCs w:val="21"/>
                      <w:lang w:eastAsia="zh-CN" w:bidi="ar"/>
                    </w:rPr>
                    <w:t>。</w:t>
                  </w:r>
                </w:p>
              </w:tc>
              <w:tc>
                <w:tcPr>
                  <w:tcW w:w="299" w:type="pct"/>
                  <w:vAlign w:val="center"/>
                </w:tcPr>
                <w:p w14:paraId="69069A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33F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007C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w:t>
                  </w:r>
                </w:p>
              </w:tc>
              <w:tc>
                <w:tcPr>
                  <w:tcW w:w="2347" w:type="pct"/>
                  <w:vAlign w:val="center"/>
                </w:tcPr>
                <w:p w14:paraId="1F4C5BA7">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草地复绿，一般采用播撒方式培植，草种应适应当地生长并与原草地环境协调。</w:t>
                  </w:r>
                  <w:r>
                    <w:rPr>
                      <w:rFonts w:hint="eastAsia" w:ascii="Times New Roman" w:hAnsi="Times New Roman" w:cs="Times New Roman"/>
                      <w:color w:val="auto"/>
                      <w:sz w:val="21"/>
                      <w:szCs w:val="21"/>
                      <w:lang w:eastAsia="zh-CN"/>
                    </w:rPr>
                    <w:t>草地</w:t>
                  </w:r>
                  <w:r>
                    <w:rPr>
                      <w:rFonts w:hint="default" w:ascii="Times New Roman" w:hAnsi="Times New Roman" w:cs="Times New Roman"/>
                      <w:color w:val="auto"/>
                      <w:sz w:val="21"/>
                      <w:szCs w:val="21"/>
                    </w:rPr>
                    <w:t>复绿，林木品种适合当地生长，应结合当地居民及社会经济发展及环境的协调要求，林木的种植施工应符合相关行业规程及规范标准。耕地复垦，经现场深翻、松土及覆土后，应满足当地农作物耕种条件</w:t>
                  </w:r>
                </w:p>
              </w:tc>
              <w:tc>
                <w:tcPr>
                  <w:tcW w:w="1989" w:type="pct"/>
                  <w:vAlign w:val="center"/>
                </w:tcPr>
                <w:p w14:paraId="6252F2D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highlight w:val="none"/>
                      <w:lang w:val="en-US" w:eastAsia="zh-CN" w:bidi="ar"/>
                    </w:rPr>
                    <w:t>项目临时占地类型主要为林地和草地、园地，施工结束后，永久封井时，生态恢复根据原有占地类型和</w:t>
                  </w:r>
                  <w:r>
                    <w:rPr>
                      <w:rFonts w:hint="eastAsia" w:cs="宋体"/>
                      <w:color w:val="auto"/>
                      <w:sz w:val="21"/>
                      <w:szCs w:val="21"/>
                      <w:highlight w:val="none"/>
                      <w:lang w:bidi="ar"/>
                    </w:rPr>
                    <w:t>环境条件，</w:t>
                  </w:r>
                  <w:r>
                    <w:rPr>
                      <w:rFonts w:hint="eastAsia" w:cs="宋体"/>
                      <w:color w:val="auto"/>
                      <w:sz w:val="21"/>
                      <w:szCs w:val="21"/>
                      <w:highlight w:val="none"/>
                      <w:lang w:val="en-US" w:eastAsia="zh-CN" w:bidi="ar"/>
                    </w:rPr>
                    <w:t>林地和草地</w:t>
                  </w:r>
                  <w:r>
                    <w:rPr>
                      <w:rFonts w:hint="eastAsia" w:cs="宋体"/>
                      <w:color w:val="auto"/>
                      <w:sz w:val="21"/>
                      <w:szCs w:val="21"/>
                      <w:highlight w:val="none"/>
                      <w:lang w:bidi="ar"/>
                    </w:rPr>
                    <w:t>选择当地土著种和优势种进行</w:t>
                  </w:r>
                  <w:r>
                    <w:rPr>
                      <w:rFonts w:hint="eastAsia" w:cs="宋体"/>
                      <w:color w:val="auto"/>
                      <w:sz w:val="21"/>
                      <w:szCs w:val="21"/>
                      <w:highlight w:val="none"/>
                      <w:lang w:val="en-US" w:eastAsia="zh-CN" w:bidi="ar"/>
                    </w:rPr>
                    <w:t>植被</w:t>
                  </w:r>
                  <w:r>
                    <w:rPr>
                      <w:rFonts w:hint="eastAsia" w:cs="宋体"/>
                      <w:color w:val="auto"/>
                      <w:sz w:val="21"/>
                      <w:szCs w:val="21"/>
                      <w:highlight w:val="none"/>
                      <w:lang w:bidi="ar"/>
                    </w:rPr>
                    <w:t>恢复，并需符合相关行业规程及规范标准</w:t>
                  </w:r>
                  <w:r>
                    <w:rPr>
                      <w:rFonts w:hint="eastAsia" w:eastAsia="宋体" w:cs="宋体"/>
                      <w:color w:val="auto"/>
                      <w:sz w:val="21"/>
                      <w:szCs w:val="21"/>
                      <w:highlight w:val="none"/>
                      <w:lang w:eastAsia="zh-CN" w:bidi="ar"/>
                    </w:rPr>
                    <w:t>。</w:t>
                  </w:r>
                </w:p>
              </w:tc>
              <w:tc>
                <w:tcPr>
                  <w:tcW w:w="299" w:type="pct"/>
                  <w:vAlign w:val="center"/>
                </w:tcPr>
                <w:p w14:paraId="4EC88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F35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62F4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w:t>
                  </w:r>
                </w:p>
              </w:tc>
              <w:tc>
                <w:tcPr>
                  <w:tcW w:w="2347" w:type="pct"/>
                  <w:vAlign w:val="center"/>
                </w:tcPr>
                <w:p w14:paraId="50166A6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复垦复绿施工中，应做好环境恢复治理工程的维护管理。在工程质保期及植被恢复养护期间，应对损坏或检查不合格的工程进行修补和返工处理</w:t>
                  </w:r>
                </w:p>
              </w:tc>
              <w:tc>
                <w:tcPr>
                  <w:tcW w:w="1989" w:type="pct"/>
                  <w:vAlign w:val="center"/>
                </w:tcPr>
                <w:p w14:paraId="4F49E97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lang w:bidi="ar"/>
                    </w:rPr>
                    <w:t>项目在进行生态恢复过程中应严格按照生态恢复治理方案进行维护管理，定期对恢复达不到要求的工程进行返工处理</w:t>
                  </w:r>
                  <w:r>
                    <w:rPr>
                      <w:rFonts w:hint="eastAsia" w:eastAsia="宋体" w:cs="宋体"/>
                      <w:color w:val="auto"/>
                      <w:sz w:val="21"/>
                      <w:szCs w:val="21"/>
                      <w:lang w:eastAsia="zh-CN" w:bidi="ar"/>
                    </w:rPr>
                    <w:t>。</w:t>
                  </w:r>
                </w:p>
              </w:tc>
              <w:tc>
                <w:tcPr>
                  <w:tcW w:w="299" w:type="pct"/>
                  <w:vAlign w:val="center"/>
                </w:tcPr>
                <w:p w14:paraId="342D7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8E9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29F6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w:t>
                  </w:r>
                </w:p>
              </w:tc>
              <w:tc>
                <w:tcPr>
                  <w:tcW w:w="2347" w:type="pct"/>
                  <w:vAlign w:val="center"/>
                </w:tcPr>
                <w:p w14:paraId="19EFEDBC">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恢复治理工作应达到现场无污染破坏痕迹，生态恢复良好，环境协调</w:t>
                  </w:r>
                </w:p>
              </w:tc>
              <w:tc>
                <w:tcPr>
                  <w:tcW w:w="1989" w:type="pct"/>
                  <w:vAlign w:val="center"/>
                </w:tcPr>
                <w:p w14:paraId="5D283C65">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评价要求永久封井场地恢复达到现场无污染破坏痕迹</w:t>
                  </w:r>
                  <w:r>
                    <w:rPr>
                      <w:rFonts w:hint="eastAsia" w:ascii="Times New Roman" w:hAnsi="Times New Roman" w:eastAsia="宋体" w:cs="Times New Roman"/>
                      <w:color w:val="auto"/>
                      <w:sz w:val="21"/>
                      <w:szCs w:val="21"/>
                      <w:lang w:eastAsia="zh-CN"/>
                    </w:rPr>
                    <w:t>。</w:t>
                  </w:r>
                </w:p>
              </w:tc>
              <w:tc>
                <w:tcPr>
                  <w:tcW w:w="299" w:type="pct"/>
                  <w:vAlign w:val="center"/>
                </w:tcPr>
                <w:p w14:paraId="1C07AA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9E4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5205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w:t>
                  </w:r>
                </w:p>
              </w:tc>
              <w:tc>
                <w:tcPr>
                  <w:tcW w:w="2347" w:type="pct"/>
                  <w:vAlign w:val="center"/>
                </w:tcPr>
                <w:p w14:paraId="40D75F8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推进智能化建设，采用信息技术、网络技术、控制技术、智能技术，实现勘查投资决策、工作部署和现场管信息化、智能化</w:t>
                  </w:r>
                </w:p>
              </w:tc>
              <w:tc>
                <w:tcPr>
                  <w:tcW w:w="1989" w:type="pct"/>
                  <w:vAlign w:val="center"/>
                </w:tcPr>
                <w:p w14:paraId="1023B4DE">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项目勘探采用信息技术、网络技术、控制技术、智能技术进行钻探，实现现场管信息化、智能化</w:t>
                  </w:r>
                  <w:r>
                    <w:rPr>
                      <w:rFonts w:hint="eastAsia" w:ascii="Times New Roman" w:hAnsi="Times New Roman" w:eastAsia="宋体" w:cs="Times New Roman"/>
                      <w:color w:val="auto"/>
                      <w:sz w:val="21"/>
                      <w:szCs w:val="21"/>
                      <w:lang w:eastAsia="zh-CN"/>
                    </w:rPr>
                    <w:t>。</w:t>
                  </w:r>
                </w:p>
              </w:tc>
              <w:tc>
                <w:tcPr>
                  <w:tcW w:w="299" w:type="pct"/>
                  <w:vAlign w:val="center"/>
                </w:tcPr>
                <w:p w14:paraId="33CD6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02E9E0C2">
            <w:pPr>
              <w:jc w:val="both"/>
              <w:rPr>
                <w:rFonts w:hint="default" w:ascii="Times New Roman" w:hAnsi="Times New Roman" w:eastAsia="宋体" w:cs="Times New Roman"/>
                <w:color w:val="auto"/>
                <w:sz w:val="21"/>
                <w:szCs w:val="21"/>
                <w:vertAlign w:val="baseline"/>
                <w:lang w:val="en-US" w:eastAsia="zh-CN"/>
              </w:rPr>
            </w:pPr>
          </w:p>
        </w:tc>
      </w:tr>
    </w:tbl>
    <w:p w14:paraId="6B898A34">
      <w:pP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br w:type="page"/>
      </w:r>
    </w:p>
    <w:p w14:paraId="50F77721">
      <w:pPr>
        <w:numPr>
          <w:ilvl w:val="0"/>
          <w:numId w:val="5"/>
        </w:numPr>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建设内容</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8616"/>
      </w:tblGrid>
      <w:tr w14:paraId="7903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91" w:type="dxa"/>
            <w:vAlign w:val="center"/>
          </w:tcPr>
          <w:p w14:paraId="3050664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地理位置</w:t>
            </w:r>
          </w:p>
        </w:tc>
        <w:tc>
          <w:tcPr>
            <w:tcW w:w="8597" w:type="dxa"/>
            <w:vAlign w:val="center"/>
          </w:tcPr>
          <w:p w14:paraId="70402F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项目选址位于榆林市佳县</w:t>
            </w:r>
            <w:r>
              <w:rPr>
                <w:rFonts w:hint="eastAsia" w:ascii="Times New Roman" w:hAnsi="Times New Roman" w:eastAsia="宋体" w:cs="Times New Roman"/>
                <w:b w:val="0"/>
                <w:bCs w:val="0"/>
                <w:color w:val="auto"/>
                <w:sz w:val="24"/>
                <w:szCs w:val="24"/>
                <w:vertAlign w:val="baseline"/>
                <w:lang w:val="en-US" w:eastAsia="zh-CN"/>
              </w:rPr>
              <w:t>通镇西梁峁</w:t>
            </w:r>
            <w:r>
              <w:rPr>
                <w:rFonts w:hint="default" w:ascii="Times New Roman" w:hAnsi="Times New Roman" w:eastAsia="宋体" w:cs="Times New Roman"/>
                <w:b w:val="0"/>
                <w:bCs w:val="0"/>
                <w:color w:val="auto"/>
                <w:sz w:val="24"/>
                <w:szCs w:val="24"/>
                <w:vertAlign w:val="baseline"/>
                <w:lang w:val="en-US" w:eastAsia="zh-CN"/>
              </w:rPr>
              <w:t>村</w:t>
            </w:r>
            <w:r>
              <w:rPr>
                <w:rFonts w:hint="default" w:ascii="Times New Roman" w:hAnsi="Times New Roman" w:eastAsia="宋体" w:cs="Times New Roman"/>
                <w:color w:val="auto"/>
                <w:sz w:val="24"/>
                <w:szCs w:val="24"/>
                <w:vertAlign w:val="baseline"/>
                <w:lang w:val="en-US" w:eastAsia="zh-CN"/>
              </w:rPr>
              <w:t>。项目所在区域场地开阔，井场坐标见表2-1。项目地理位置见附图。</w:t>
            </w:r>
          </w:p>
          <w:p w14:paraId="0F160FF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表2-1 井场拐点坐标一览表（2000国家大地坐标系）</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1852"/>
              <w:gridCol w:w="2450"/>
              <w:gridCol w:w="2451"/>
            </w:tblGrid>
            <w:tr w14:paraId="09DD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restart"/>
                  <w:vAlign w:val="center"/>
                </w:tcPr>
                <w:p w14:paraId="5C7478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气探井</w:t>
                  </w:r>
                </w:p>
              </w:tc>
              <w:tc>
                <w:tcPr>
                  <w:tcW w:w="1104" w:type="pct"/>
                  <w:vMerge w:val="restart"/>
                  <w:vAlign w:val="center"/>
                </w:tcPr>
                <w:p w14:paraId="66CAF7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界址点号</w:t>
                  </w:r>
                </w:p>
              </w:tc>
              <w:tc>
                <w:tcPr>
                  <w:tcW w:w="2921" w:type="pct"/>
                  <w:gridSpan w:val="2"/>
                  <w:vAlign w:val="center"/>
                </w:tcPr>
                <w:p w14:paraId="11AFF8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界址点坐标</w:t>
                  </w:r>
                </w:p>
              </w:tc>
            </w:tr>
            <w:tr w14:paraId="6533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7C99C5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104" w:type="pct"/>
                  <w:vMerge w:val="continue"/>
                  <w:vAlign w:val="center"/>
                </w:tcPr>
                <w:p w14:paraId="545228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460" w:type="pct"/>
                  <w:vAlign w:val="center"/>
                </w:tcPr>
                <w:p w14:paraId="66BCE8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X</w:t>
                  </w:r>
                </w:p>
              </w:tc>
              <w:tc>
                <w:tcPr>
                  <w:tcW w:w="1461" w:type="pct"/>
                  <w:vAlign w:val="center"/>
                </w:tcPr>
                <w:p w14:paraId="302495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Y</w:t>
                  </w:r>
                </w:p>
              </w:tc>
            </w:tr>
            <w:tr w14:paraId="5E69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974" w:type="pct"/>
                  <w:vMerge w:val="restart"/>
                  <w:vAlign w:val="center"/>
                </w:tcPr>
                <w:p w14:paraId="7166A2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米107-3MH</w:t>
                  </w:r>
                  <w:r>
                    <w:rPr>
                      <w:rFonts w:hint="default" w:ascii="Times New Roman" w:hAnsi="Times New Roman" w:eastAsia="宋体" w:cs="Times New Roman"/>
                      <w:color w:val="auto"/>
                      <w:sz w:val="21"/>
                      <w:szCs w:val="21"/>
                      <w:vertAlign w:val="baseline"/>
                      <w:lang w:val="en-US" w:eastAsia="zh-CN"/>
                    </w:rPr>
                    <w:t>井场</w:t>
                  </w:r>
                </w:p>
              </w:tc>
              <w:tc>
                <w:tcPr>
                  <w:tcW w:w="1104" w:type="pct"/>
                  <w:vAlign w:val="center"/>
                </w:tcPr>
                <w:p w14:paraId="2BE109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w:t>
                  </w:r>
                </w:p>
              </w:tc>
              <w:tc>
                <w:tcPr>
                  <w:tcW w:w="1460" w:type="pct"/>
                  <w:vAlign w:val="center"/>
                </w:tcPr>
                <w:p w14:paraId="080B12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37441321.526</w:t>
                  </w:r>
                </w:p>
              </w:tc>
              <w:tc>
                <w:tcPr>
                  <w:tcW w:w="1461" w:type="pct"/>
                  <w:vAlign w:val="center"/>
                </w:tcPr>
                <w:p w14:paraId="412D6A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37441321.526</w:t>
                  </w:r>
                </w:p>
              </w:tc>
            </w:tr>
            <w:tr w14:paraId="09B8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1B0CE7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0B5AA0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J2</w:t>
                  </w:r>
                </w:p>
              </w:tc>
              <w:tc>
                <w:tcPr>
                  <w:tcW w:w="1460" w:type="pct"/>
                  <w:vAlign w:val="center"/>
                </w:tcPr>
                <w:p w14:paraId="3C6CDD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37441444.825</w:t>
                  </w:r>
                </w:p>
              </w:tc>
              <w:tc>
                <w:tcPr>
                  <w:tcW w:w="1461" w:type="pct"/>
                  <w:vAlign w:val="center"/>
                </w:tcPr>
                <w:p w14:paraId="1513AE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37441444.825</w:t>
                  </w:r>
                </w:p>
              </w:tc>
            </w:tr>
            <w:tr w14:paraId="0670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687350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25CC19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J3</w:t>
                  </w:r>
                </w:p>
              </w:tc>
              <w:tc>
                <w:tcPr>
                  <w:tcW w:w="1460" w:type="pct"/>
                  <w:vAlign w:val="center"/>
                </w:tcPr>
                <w:p w14:paraId="5E387E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37441456.333</w:t>
                  </w:r>
                </w:p>
              </w:tc>
              <w:tc>
                <w:tcPr>
                  <w:tcW w:w="1461" w:type="pct"/>
                  <w:vAlign w:val="center"/>
                </w:tcPr>
                <w:p w14:paraId="178B5A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4228874.005</w:t>
                  </w:r>
                </w:p>
              </w:tc>
            </w:tr>
            <w:tr w14:paraId="6325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4765EB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5E3FFD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J4</w:t>
                  </w:r>
                </w:p>
              </w:tc>
              <w:tc>
                <w:tcPr>
                  <w:tcW w:w="1460" w:type="pct"/>
                  <w:vAlign w:val="center"/>
                </w:tcPr>
                <w:p w14:paraId="6A7CAC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37441333.034</w:t>
                  </w:r>
                </w:p>
              </w:tc>
              <w:tc>
                <w:tcPr>
                  <w:tcW w:w="1461" w:type="pct"/>
                  <w:vAlign w:val="center"/>
                </w:tcPr>
                <w:p w14:paraId="23CEF1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4228853.455</w:t>
                  </w:r>
                </w:p>
              </w:tc>
            </w:tr>
            <w:tr w14:paraId="33AA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7AA036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3A2CA0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J5</w:t>
                  </w:r>
                </w:p>
              </w:tc>
              <w:tc>
                <w:tcPr>
                  <w:tcW w:w="1460" w:type="pct"/>
                  <w:vAlign w:val="center"/>
                </w:tcPr>
                <w:p w14:paraId="3615D8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37441321.526</w:t>
                  </w:r>
                </w:p>
              </w:tc>
              <w:tc>
                <w:tcPr>
                  <w:tcW w:w="1461" w:type="pct"/>
                  <w:vAlign w:val="center"/>
                </w:tcPr>
                <w:p w14:paraId="2D5EF9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4228922.503</w:t>
                  </w:r>
                </w:p>
              </w:tc>
            </w:tr>
            <w:tr w14:paraId="3FFE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restart"/>
                  <w:vAlign w:val="center"/>
                </w:tcPr>
                <w:p w14:paraId="1984D2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米107-3MH</w:t>
                  </w:r>
                  <w:r>
                    <w:rPr>
                      <w:rFonts w:hint="default" w:ascii="Times New Roman" w:hAnsi="Times New Roman" w:eastAsia="宋体" w:cs="Times New Roman"/>
                      <w:color w:val="auto"/>
                      <w:sz w:val="21"/>
                      <w:szCs w:val="21"/>
                      <w:vertAlign w:val="baseline"/>
                      <w:lang w:val="en-US" w:eastAsia="zh-CN"/>
                    </w:rPr>
                    <w:t>生活区</w:t>
                  </w:r>
                </w:p>
              </w:tc>
              <w:tc>
                <w:tcPr>
                  <w:tcW w:w="1104" w:type="pct"/>
                  <w:vAlign w:val="center"/>
                </w:tcPr>
                <w:p w14:paraId="2FB46C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J6</w:t>
                  </w:r>
                </w:p>
              </w:tc>
              <w:tc>
                <w:tcPr>
                  <w:tcW w:w="1460" w:type="pct"/>
                  <w:vAlign w:val="center"/>
                </w:tcPr>
                <w:p w14:paraId="303836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37441398.852</w:t>
                  </w:r>
                </w:p>
              </w:tc>
              <w:tc>
                <w:tcPr>
                  <w:tcW w:w="1461" w:type="pct"/>
                  <w:vAlign w:val="center"/>
                </w:tcPr>
                <w:p w14:paraId="7AB023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4228560.791</w:t>
                  </w:r>
                </w:p>
              </w:tc>
            </w:tr>
            <w:tr w14:paraId="2EB8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1EB1AC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189271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J7</w:t>
                  </w:r>
                </w:p>
              </w:tc>
              <w:tc>
                <w:tcPr>
                  <w:tcW w:w="1460" w:type="pct"/>
                  <w:vAlign w:val="center"/>
                </w:tcPr>
                <w:p w14:paraId="5D87CC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37441403.705</w:t>
                  </w:r>
                </w:p>
              </w:tc>
              <w:tc>
                <w:tcPr>
                  <w:tcW w:w="1461" w:type="pct"/>
                  <w:vAlign w:val="center"/>
                </w:tcPr>
                <w:p w14:paraId="39443E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4228561.521</w:t>
                  </w:r>
                </w:p>
              </w:tc>
            </w:tr>
            <w:tr w14:paraId="3F82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23B53B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152B9B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J8</w:t>
                  </w:r>
                </w:p>
              </w:tc>
              <w:tc>
                <w:tcPr>
                  <w:tcW w:w="1460" w:type="pct"/>
                  <w:vAlign w:val="center"/>
                </w:tcPr>
                <w:p w14:paraId="45F61D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37441408.030</w:t>
                  </w:r>
                </w:p>
              </w:tc>
              <w:tc>
                <w:tcPr>
                  <w:tcW w:w="1461" w:type="pct"/>
                  <w:vAlign w:val="center"/>
                </w:tcPr>
                <w:p w14:paraId="5F890A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4228562.024</w:t>
                  </w:r>
                </w:p>
              </w:tc>
            </w:tr>
            <w:tr w14:paraId="05EA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351011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32184E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J9</w:t>
                  </w:r>
                </w:p>
              </w:tc>
              <w:tc>
                <w:tcPr>
                  <w:tcW w:w="1460" w:type="pct"/>
                  <w:vAlign w:val="center"/>
                </w:tcPr>
                <w:p w14:paraId="61607C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37441412.566</w:t>
                  </w:r>
                </w:p>
              </w:tc>
              <w:tc>
                <w:tcPr>
                  <w:tcW w:w="1461" w:type="pct"/>
                  <w:vAlign w:val="center"/>
                </w:tcPr>
                <w:p w14:paraId="76C251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4228561.779</w:t>
                  </w:r>
                </w:p>
              </w:tc>
            </w:tr>
            <w:tr w14:paraId="60C4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6C330B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634E78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J10</w:t>
                  </w:r>
                </w:p>
              </w:tc>
              <w:tc>
                <w:tcPr>
                  <w:tcW w:w="1460" w:type="pct"/>
                  <w:vAlign w:val="center"/>
                </w:tcPr>
                <w:p w14:paraId="428F13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37441413.918</w:t>
                  </w:r>
                </w:p>
              </w:tc>
              <w:tc>
                <w:tcPr>
                  <w:tcW w:w="1461" w:type="pct"/>
                  <w:vAlign w:val="center"/>
                </w:tcPr>
                <w:p w14:paraId="66919BB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4228561.086</w:t>
                  </w:r>
                </w:p>
              </w:tc>
            </w:tr>
            <w:tr w14:paraId="0128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01ED29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48D2BC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J11</w:t>
                  </w:r>
                </w:p>
              </w:tc>
              <w:tc>
                <w:tcPr>
                  <w:tcW w:w="1460" w:type="pct"/>
                  <w:vAlign w:val="center"/>
                </w:tcPr>
                <w:p w14:paraId="7132F2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37441427.324</w:t>
                  </w:r>
                </w:p>
              </w:tc>
              <w:tc>
                <w:tcPr>
                  <w:tcW w:w="1461" w:type="pct"/>
                  <w:vAlign w:val="center"/>
                </w:tcPr>
                <w:p w14:paraId="2857E4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4228554.948</w:t>
                  </w:r>
                </w:p>
              </w:tc>
            </w:tr>
            <w:tr w14:paraId="135A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3525AA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539381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J12</w:t>
                  </w:r>
                </w:p>
              </w:tc>
              <w:tc>
                <w:tcPr>
                  <w:tcW w:w="1460" w:type="pct"/>
                  <w:vAlign w:val="center"/>
                </w:tcPr>
                <w:p w14:paraId="383E98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37441438.160</w:t>
                  </w:r>
                </w:p>
              </w:tc>
              <w:tc>
                <w:tcPr>
                  <w:tcW w:w="1461" w:type="pct"/>
                  <w:vAlign w:val="center"/>
                </w:tcPr>
                <w:p w14:paraId="07A69F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4228547.867</w:t>
                  </w:r>
                </w:p>
              </w:tc>
            </w:tr>
            <w:tr w14:paraId="05DF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5D3EAD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5759CA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J13</w:t>
                  </w:r>
                </w:p>
              </w:tc>
              <w:tc>
                <w:tcPr>
                  <w:tcW w:w="1460" w:type="pct"/>
                  <w:vAlign w:val="center"/>
                </w:tcPr>
                <w:p w14:paraId="3D17E9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37441440.343</w:t>
                  </w:r>
                </w:p>
              </w:tc>
              <w:tc>
                <w:tcPr>
                  <w:tcW w:w="1461" w:type="pct"/>
                  <w:vAlign w:val="center"/>
                </w:tcPr>
                <w:p w14:paraId="546563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4228545.754</w:t>
                  </w:r>
                </w:p>
              </w:tc>
            </w:tr>
            <w:tr w14:paraId="5257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751B0D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460A6C5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J14</w:t>
                  </w:r>
                </w:p>
              </w:tc>
              <w:tc>
                <w:tcPr>
                  <w:tcW w:w="1460" w:type="pct"/>
                  <w:vAlign w:val="center"/>
                </w:tcPr>
                <w:p w14:paraId="0A0215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37441425.853</w:t>
                  </w:r>
                </w:p>
              </w:tc>
              <w:tc>
                <w:tcPr>
                  <w:tcW w:w="1461" w:type="pct"/>
                  <w:vAlign w:val="center"/>
                </w:tcPr>
                <w:p w14:paraId="269EC7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4228499.874</w:t>
                  </w:r>
                </w:p>
              </w:tc>
            </w:tr>
            <w:tr w14:paraId="5128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474706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5B0D36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J15</w:t>
                  </w:r>
                </w:p>
              </w:tc>
              <w:tc>
                <w:tcPr>
                  <w:tcW w:w="1460" w:type="pct"/>
                  <w:vAlign w:val="center"/>
                </w:tcPr>
                <w:p w14:paraId="17EF44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37441378.123</w:t>
                  </w:r>
                </w:p>
              </w:tc>
              <w:tc>
                <w:tcPr>
                  <w:tcW w:w="1461" w:type="pct"/>
                  <w:vAlign w:val="center"/>
                </w:tcPr>
                <w:p w14:paraId="7FBB6E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4228514.769</w:t>
                  </w:r>
                </w:p>
              </w:tc>
            </w:tr>
            <w:tr w14:paraId="74E2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16953D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4B3ACD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J16</w:t>
                  </w:r>
                </w:p>
              </w:tc>
              <w:tc>
                <w:tcPr>
                  <w:tcW w:w="1460" w:type="pct"/>
                  <w:vAlign w:val="center"/>
                </w:tcPr>
                <w:p w14:paraId="3130A9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37441392.290</w:t>
                  </w:r>
                </w:p>
              </w:tc>
              <w:tc>
                <w:tcPr>
                  <w:tcW w:w="1461" w:type="pct"/>
                  <w:vAlign w:val="center"/>
                </w:tcPr>
                <w:p w14:paraId="2A3FD9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4228560.166</w:t>
                  </w:r>
                </w:p>
              </w:tc>
            </w:tr>
            <w:tr w14:paraId="7F67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0DAE3B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5CD61A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J17</w:t>
                  </w:r>
                </w:p>
              </w:tc>
              <w:tc>
                <w:tcPr>
                  <w:tcW w:w="1460" w:type="pct"/>
                  <w:vAlign w:val="center"/>
                </w:tcPr>
                <w:p w14:paraId="7B4F2F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37441393.986</w:t>
                  </w:r>
                </w:p>
              </w:tc>
              <w:tc>
                <w:tcPr>
                  <w:tcW w:w="1461" w:type="pct"/>
                  <w:vAlign w:val="center"/>
                </w:tcPr>
                <w:p w14:paraId="1A3917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4228560.227</w:t>
                  </w:r>
                </w:p>
              </w:tc>
            </w:tr>
            <w:tr w14:paraId="6E28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457E60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4" w:type="pct"/>
                  <w:vAlign w:val="center"/>
                </w:tcPr>
                <w:p w14:paraId="1F5A4F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J18</w:t>
                  </w:r>
                </w:p>
              </w:tc>
              <w:tc>
                <w:tcPr>
                  <w:tcW w:w="1460" w:type="pct"/>
                  <w:vAlign w:val="center"/>
                </w:tcPr>
                <w:p w14:paraId="32EBBD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37441398.852</w:t>
                  </w:r>
                </w:p>
              </w:tc>
              <w:tc>
                <w:tcPr>
                  <w:tcW w:w="1461" w:type="pct"/>
                  <w:vAlign w:val="center"/>
                </w:tcPr>
                <w:p w14:paraId="78F6F5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4228560.791</w:t>
                  </w:r>
                </w:p>
              </w:tc>
            </w:tr>
            <w:tr w14:paraId="62E8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74" w:type="pct"/>
                  <w:vMerge w:val="restart"/>
                  <w:vAlign w:val="center"/>
                </w:tcPr>
                <w:p w14:paraId="1848CF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米107-3MH</w:t>
                  </w:r>
                  <w:r>
                    <w:rPr>
                      <w:rFonts w:hint="default" w:ascii="Times New Roman" w:hAnsi="Times New Roman" w:eastAsia="宋体" w:cs="Times New Roman"/>
                      <w:color w:val="auto"/>
                      <w:sz w:val="21"/>
                      <w:szCs w:val="21"/>
                      <w:highlight w:val="none"/>
                      <w:vertAlign w:val="baseline"/>
                      <w:lang w:val="en-US" w:eastAsia="zh-CN"/>
                    </w:rPr>
                    <w:t>井场临时道路</w:t>
                  </w:r>
                </w:p>
              </w:tc>
              <w:tc>
                <w:tcPr>
                  <w:tcW w:w="1104" w:type="pct"/>
                  <w:vAlign w:val="center"/>
                </w:tcPr>
                <w:p w14:paraId="44201E8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w:t>
                  </w:r>
                  <w:r>
                    <w:rPr>
                      <w:rFonts w:hint="eastAsia" w:ascii="Times New Roman" w:hAnsi="Times New Roman" w:eastAsia="宋体" w:cs="Times New Roman"/>
                      <w:color w:val="auto"/>
                      <w:sz w:val="21"/>
                      <w:szCs w:val="21"/>
                      <w:vertAlign w:val="baseline"/>
                      <w:lang w:val="en-US" w:eastAsia="zh-CN"/>
                    </w:rPr>
                    <w:t>9</w:t>
                  </w:r>
                </w:p>
              </w:tc>
              <w:tc>
                <w:tcPr>
                  <w:tcW w:w="1460" w:type="pct"/>
                  <w:vAlign w:val="center"/>
                </w:tcPr>
                <w:p w14:paraId="068244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37441456.333</w:t>
                  </w:r>
                </w:p>
              </w:tc>
              <w:tc>
                <w:tcPr>
                  <w:tcW w:w="1461" w:type="pct"/>
                  <w:vAlign w:val="center"/>
                </w:tcPr>
                <w:p w14:paraId="38B441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4228874.005</w:t>
                  </w:r>
                </w:p>
              </w:tc>
            </w:tr>
            <w:tr w14:paraId="5A94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60A50B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7BEB75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J2</w:t>
                  </w:r>
                </w:p>
              </w:tc>
              <w:tc>
                <w:tcPr>
                  <w:tcW w:w="1460" w:type="pct"/>
                  <w:vAlign w:val="center"/>
                </w:tcPr>
                <w:p w14:paraId="7E0C6A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37441500.125</w:t>
                  </w:r>
                </w:p>
              </w:tc>
              <w:tc>
                <w:tcPr>
                  <w:tcW w:w="1461" w:type="pct"/>
                  <w:vAlign w:val="center"/>
                </w:tcPr>
                <w:p w14:paraId="47A68B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4228728.888</w:t>
                  </w:r>
                </w:p>
              </w:tc>
            </w:tr>
            <w:tr w14:paraId="74BE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7381C1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70B87CA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J3</w:t>
                  </w:r>
                </w:p>
              </w:tc>
              <w:tc>
                <w:tcPr>
                  <w:tcW w:w="1460" w:type="pct"/>
                  <w:vAlign w:val="center"/>
                </w:tcPr>
                <w:p w14:paraId="61A2D4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37441497.899</w:t>
                  </w:r>
                </w:p>
              </w:tc>
              <w:tc>
                <w:tcPr>
                  <w:tcW w:w="1461" w:type="pct"/>
                  <w:vAlign w:val="center"/>
                </w:tcPr>
                <w:p w14:paraId="1F34F3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4228725.906</w:t>
                  </w:r>
                </w:p>
              </w:tc>
            </w:tr>
            <w:tr w14:paraId="7702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79EF05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213B69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J4</w:t>
                  </w:r>
                </w:p>
              </w:tc>
              <w:tc>
                <w:tcPr>
                  <w:tcW w:w="1460" w:type="pct"/>
                  <w:vAlign w:val="center"/>
                </w:tcPr>
                <w:p w14:paraId="2CF4FB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37441473.535</w:t>
                  </w:r>
                </w:p>
              </w:tc>
              <w:tc>
                <w:tcPr>
                  <w:tcW w:w="1461" w:type="pct"/>
                  <w:vAlign w:val="center"/>
                </w:tcPr>
                <w:p w14:paraId="08E545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4228693.259</w:t>
                  </w:r>
                </w:p>
              </w:tc>
            </w:tr>
            <w:tr w14:paraId="4CED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0D60A5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4CADB3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J5</w:t>
                  </w:r>
                </w:p>
              </w:tc>
              <w:tc>
                <w:tcPr>
                  <w:tcW w:w="1460" w:type="pct"/>
                  <w:vAlign w:val="center"/>
                </w:tcPr>
                <w:p w14:paraId="26DB8E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37441467.729</w:t>
                  </w:r>
                </w:p>
              </w:tc>
              <w:tc>
                <w:tcPr>
                  <w:tcW w:w="1461" w:type="pct"/>
                  <w:vAlign w:val="center"/>
                </w:tcPr>
                <w:p w14:paraId="2F4A42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4228685.478</w:t>
                  </w:r>
                </w:p>
              </w:tc>
            </w:tr>
            <w:tr w14:paraId="1236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0B2B77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46466E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J6</w:t>
                  </w:r>
                </w:p>
              </w:tc>
              <w:tc>
                <w:tcPr>
                  <w:tcW w:w="1460" w:type="pct"/>
                  <w:vAlign w:val="center"/>
                </w:tcPr>
                <w:p w14:paraId="485B0D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37441461.071</w:t>
                  </w:r>
                </w:p>
              </w:tc>
              <w:tc>
                <w:tcPr>
                  <w:tcW w:w="1461" w:type="pct"/>
                  <w:vAlign w:val="center"/>
                </w:tcPr>
                <w:p w14:paraId="0F4449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4228681.016</w:t>
                  </w:r>
                </w:p>
              </w:tc>
            </w:tr>
            <w:tr w14:paraId="3039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798D53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66E5E5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J7</w:t>
                  </w:r>
                </w:p>
              </w:tc>
              <w:tc>
                <w:tcPr>
                  <w:tcW w:w="1460" w:type="pct"/>
                  <w:vAlign w:val="center"/>
                </w:tcPr>
                <w:p w14:paraId="5CE394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37441461.771</w:t>
                  </w:r>
                </w:p>
              </w:tc>
              <w:tc>
                <w:tcPr>
                  <w:tcW w:w="1461" w:type="pct"/>
                  <w:vAlign w:val="center"/>
                </w:tcPr>
                <w:p w14:paraId="6B1BE2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4228682.424</w:t>
                  </w:r>
                </w:p>
              </w:tc>
            </w:tr>
            <w:tr w14:paraId="64A4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74" w:type="pct"/>
                  <w:vMerge w:val="continue"/>
                  <w:vAlign w:val="center"/>
                </w:tcPr>
                <w:p w14:paraId="60A71C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39D4EE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J8</w:t>
                  </w:r>
                </w:p>
              </w:tc>
              <w:tc>
                <w:tcPr>
                  <w:tcW w:w="1460" w:type="pct"/>
                  <w:vAlign w:val="center"/>
                </w:tcPr>
                <w:p w14:paraId="396C14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37441462.035</w:t>
                  </w:r>
                </w:p>
              </w:tc>
              <w:tc>
                <w:tcPr>
                  <w:tcW w:w="1461" w:type="pct"/>
                  <w:vAlign w:val="center"/>
                </w:tcPr>
                <w:p w14:paraId="5BBB94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4228683.007</w:t>
                  </w:r>
                </w:p>
              </w:tc>
            </w:tr>
            <w:tr w14:paraId="4C52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60B691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3B76EF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J9</w:t>
                  </w:r>
                </w:p>
              </w:tc>
              <w:tc>
                <w:tcPr>
                  <w:tcW w:w="1460" w:type="pct"/>
                  <w:vAlign w:val="center"/>
                </w:tcPr>
                <w:p w14:paraId="570C6F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37441462.326</w:t>
                  </w:r>
                </w:p>
              </w:tc>
              <w:tc>
                <w:tcPr>
                  <w:tcW w:w="1461" w:type="pct"/>
                  <w:vAlign w:val="center"/>
                </w:tcPr>
                <w:p w14:paraId="68B444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4228684.197</w:t>
                  </w:r>
                </w:p>
              </w:tc>
            </w:tr>
            <w:tr w14:paraId="1FF3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55F6A01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3DB78E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J10</w:t>
                  </w:r>
                </w:p>
              </w:tc>
              <w:tc>
                <w:tcPr>
                  <w:tcW w:w="1460" w:type="pct"/>
                  <w:vAlign w:val="center"/>
                </w:tcPr>
                <w:p w14:paraId="7133F9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37441462.512</w:t>
                  </w:r>
                </w:p>
              </w:tc>
              <w:tc>
                <w:tcPr>
                  <w:tcW w:w="1461" w:type="pct"/>
                  <w:vAlign w:val="center"/>
                </w:tcPr>
                <w:p w14:paraId="13DEED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4228685.705</w:t>
                  </w:r>
                </w:p>
              </w:tc>
            </w:tr>
            <w:tr w14:paraId="215A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2FB6DF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419F3B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J11</w:t>
                  </w:r>
                </w:p>
              </w:tc>
              <w:tc>
                <w:tcPr>
                  <w:tcW w:w="1460" w:type="pct"/>
                  <w:vAlign w:val="center"/>
                </w:tcPr>
                <w:p w14:paraId="5EA16C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37441462.803</w:t>
                  </w:r>
                </w:p>
              </w:tc>
              <w:tc>
                <w:tcPr>
                  <w:tcW w:w="1461" w:type="pct"/>
                  <w:vAlign w:val="center"/>
                </w:tcPr>
                <w:p w14:paraId="5F2EBD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4228687.875</w:t>
                  </w:r>
                </w:p>
              </w:tc>
            </w:tr>
            <w:tr w14:paraId="07D3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165DE4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31F463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J12</w:t>
                  </w:r>
                </w:p>
              </w:tc>
              <w:tc>
                <w:tcPr>
                  <w:tcW w:w="1460" w:type="pct"/>
                  <w:vAlign w:val="center"/>
                </w:tcPr>
                <w:p w14:paraId="3A18B1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37441462.920</w:t>
                  </w:r>
                </w:p>
              </w:tc>
              <w:tc>
                <w:tcPr>
                  <w:tcW w:w="1461" w:type="pct"/>
                  <w:vAlign w:val="center"/>
                </w:tcPr>
                <w:p w14:paraId="3CE6485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4228689.067</w:t>
                  </w:r>
                </w:p>
              </w:tc>
            </w:tr>
            <w:tr w14:paraId="5DC0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24F2C5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390092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J13</w:t>
                  </w:r>
                </w:p>
              </w:tc>
              <w:tc>
                <w:tcPr>
                  <w:tcW w:w="1460" w:type="pct"/>
                  <w:vAlign w:val="center"/>
                </w:tcPr>
                <w:p w14:paraId="36937B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37441465.119</w:t>
                  </w:r>
                </w:p>
              </w:tc>
              <w:tc>
                <w:tcPr>
                  <w:tcW w:w="1461" w:type="pct"/>
                  <w:vAlign w:val="center"/>
                </w:tcPr>
                <w:p w14:paraId="68BCFD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4228692.013</w:t>
                  </w:r>
                </w:p>
              </w:tc>
            </w:tr>
            <w:tr w14:paraId="77B5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761D39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38792C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J14</w:t>
                  </w:r>
                </w:p>
              </w:tc>
              <w:tc>
                <w:tcPr>
                  <w:tcW w:w="1460" w:type="pct"/>
                  <w:vAlign w:val="center"/>
                </w:tcPr>
                <w:p w14:paraId="4343BE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37441494.529</w:t>
                  </w:r>
                </w:p>
              </w:tc>
              <w:tc>
                <w:tcPr>
                  <w:tcW w:w="1461" w:type="pct"/>
                  <w:vAlign w:val="center"/>
                </w:tcPr>
                <w:p w14:paraId="2E2F71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4228731.422</w:t>
                  </w:r>
                </w:p>
              </w:tc>
            </w:tr>
            <w:tr w14:paraId="5321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5D6C5F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44C1DE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J15</w:t>
                  </w:r>
                </w:p>
              </w:tc>
              <w:tc>
                <w:tcPr>
                  <w:tcW w:w="1460" w:type="pct"/>
                  <w:vAlign w:val="center"/>
                </w:tcPr>
                <w:p w14:paraId="2903FD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37441495.429</w:t>
                  </w:r>
                </w:p>
              </w:tc>
              <w:tc>
                <w:tcPr>
                  <w:tcW w:w="1461" w:type="pct"/>
                  <w:vAlign w:val="center"/>
                </w:tcPr>
                <w:p w14:paraId="4A3FB3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4228735.655</w:t>
                  </w:r>
                </w:p>
              </w:tc>
            </w:tr>
            <w:tr w14:paraId="21F1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44B5FA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0E1FE0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J16</w:t>
                  </w:r>
                </w:p>
              </w:tc>
              <w:tc>
                <w:tcPr>
                  <w:tcW w:w="1460" w:type="pct"/>
                  <w:vAlign w:val="center"/>
                </w:tcPr>
                <w:p w14:paraId="594F84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37441493.100</w:t>
                  </w:r>
                </w:p>
              </w:tc>
              <w:tc>
                <w:tcPr>
                  <w:tcW w:w="1461" w:type="pct"/>
                  <w:vAlign w:val="center"/>
                </w:tcPr>
                <w:p w14:paraId="7608DB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4228759.256</w:t>
                  </w:r>
                </w:p>
              </w:tc>
            </w:tr>
            <w:tr w14:paraId="6D9F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6A17F9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4F8BC6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J17</w:t>
                  </w:r>
                </w:p>
              </w:tc>
              <w:tc>
                <w:tcPr>
                  <w:tcW w:w="1460" w:type="pct"/>
                  <w:vAlign w:val="center"/>
                </w:tcPr>
                <w:p w14:paraId="7A6D11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37441495.005</w:t>
                  </w:r>
                </w:p>
              </w:tc>
              <w:tc>
                <w:tcPr>
                  <w:tcW w:w="1461" w:type="pct"/>
                  <w:vAlign w:val="center"/>
                </w:tcPr>
                <w:p w14:paraId="207027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4228770.898</w:t>
                  </w:r>
                </w:p>
              </w:tc>
            </w:tr>
            <w:tr w14:paraId="6919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04D26A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73569E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J18</w:t>
                  </w:r>
                </w:p>
              </w:tc>
              <w:tc>
                <w:tcPr>
                  <w:tcW w:w="1460" w:type="pct"/>
                  <w:vAlign w:val="center"/>
                </w:tcPr>
                <w:p w14:paraId="76E205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37441507.705</w:t>
                  </w:r>
                </w:p>
              </w:tc>
              <w:tc>
                <w:tcPr>
                  <w:tcW w:w="1461" w:type="pct"/>
                  <w:vAlign w:val="center"/>
                </w:tcPr>
                <w:p w14:paraId="5946A5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4228797.779</w:t>
                  </w:r>
                </w:p>
              </w:tc>
            </w:tr>
            <w:tr w14:paraId="2552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3433C58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512D9A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J19</w:t>
                  </w:r>
                </w:p>
              </w:tc>
              <w:tc>
                <w:tcPr>
                  <w:tcW w:w="1460" w:type="pct"/>
                  <w:vAlign w:val="center"/>
                </w:tcPr>
                <w:p w14:paraId="7DB24D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37441506.965</w:t>
                  </w:r>
                </w:p>
              </w:tc>
              <w:tc>
                <w:tcPr>
                  <w:tcW w:w="1461" w:type="pct"/>
                  <w:vAlign w:val="center"/>
                </w:tcPr>
                <w:p w14:paraId="4C4572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4228804.235</w:t>
                  </w:r>
                </w:p>
              </w:tc>
            </w:tr>
            <w:tr w14:paraId="0622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2972DF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0B8D1B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J20</w:t>
                  </w:r>
                </w:p>
              </w:tc>
              <w:tc>
                <w:tcPr>
                  <w:tcW w:w="1460" w:type="pct"/>
                  <w:vAlign w:val="center"/>
                </w:tcPr>
                <w:p w14:paraId="335E64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37441497.863</w:t>
                  </w:r>
                </w:p>
              </w:tc>
              <w:tc>
                <w:tcPr>
                  <w:tcW w:w="1461" w:type="pct"/>
                  <w:vAlign w:val="center"/>
                </w:tcPr>
                <w:p w14:paraId="22D0ED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4228833.128</w:t>
                  </w:r>
                </w:p>
              </w:tc>
            </w:tr>
            <w:tr w14:paraId="11C5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4808B7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6735CE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J21</w:t>
                  </w:r>
                </w:p>
              </w:tc>
              <w:tc>
                <w:tcPr>
                  <w:tcW w:w="1460" w:type="pct"/>
                  <w:vAlign w:val="center"/>
                </w:tcPr>
                <w:p w14:paraId="063303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37441495.687</w:t>
                  </w:r>
                </w:p>
              </w:tc>
              <w:tc>
                <w:tcPr>
                  <w:tcW w:w="1461" w:type="pct"/>
                  <w:vAlign w:val="center"/>
                </w:tcPr>
                <w:p w14:paraId="59A14C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4228844.025</w:t>
                  </w:r>
                </w:p>
              </w:tc>
            </w:tr>
            <w:tr w14:paraId="6C14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273CEC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0BACE6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J22</w:t>
                  </w:r>
                </w:p>
              </w:tc>
              <w:tc>
                <w:tcPr>
                  <w:tcW w:w="1460" w:type="pct"/>
                  <w:vAlign w:val="center"/>
                </w:tcPr>
                <w:p w14:paraId="7E878F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37441496.242</w:t>
                  </w:r>
                </w:p>
              </w:tc>
              <w:tc>
                <w:tcPr>
                  <w:tcW w:w="1461" w:type="pct"/>
                  <w:vAlign w:val="center"/>
                </w:tcPr>
                <w:p w14:paraId="2F049A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4228857.874</w:t>
                  </w:r>
                </w:p>
              </w:tc>
            </w:tr>
            <w:tr w14:paraId="6C42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30318F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52071B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J23</w:t>
                  </w:r>
                </w:p>
              </w:tc>
              <w:tc>
                <w:tcPr>
                  <w:tcW w:w="1460" w:type="pct"/>
                  <w:vAlign w:val="center"/>
                </w:tcPr>
                <w:p w14:paraId="274D1C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37441495.661</w:t>
                  </w:r>
                </w:p>
              </w:tc>
              <w:tc>
                <w:tcPr>
                  <w:tcW w:w="1461" w:type="pct"/>
                  <w:vAlign w:val="center"/>
                </w:tcPr>
                <w:p w14:paraId="3DAECD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4228859.387</w:t>
                  </w:r>
                </w:p>
              </w:tc>
            </w:tr>
            <w:tr w14:paraId="514C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445D83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08CFC8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J24</w:t>
                  </w:r>
                </w:p>
              </w:tc>
              <w:tc>
                <w:tcPr>
                  <w:tcW w:w="1460" w:type="pct"/>
                  <w:vAlign w:val="center"/>
                </w:tcPr>
                <w:p w14:paraId="1B3E0F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37441491.007</w:t>
                  </w:r>
                </w:p>
              </w:tc>
              <w:tc>
                <w:tcPr>
                  <w:tcW w:w="1461" w:type="pct"/>
                  <w:vAlign w:val="center"/>
                </w:tcPr>
                <w:p w14:paraId="701A1F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4228863.274</w:t>
                  </w:r>
                </w:p>
              </w:tc>
            </w:tr>
            <w:tr w14:paraId="7891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7B3F71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0EB638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J25</w:t>
                  </w:r>
                </w:p>
              </w:tc>
              <w:tc>
                <w:tcPr>
                  <w:tcW w:w="1460" w:type="pct"/>
                  <w:vAlign w:val="center"/>
                </w:tcPr>
                <w:p w14:paraId="451DB2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37441488.031</w:t>
                  </w:r>
                </w:p>
              </w:tc>
              <w:tc>
                <w:tcPr>
                  <w:tcW w:w="1461" w:type="pct"/>
                  <w:vAlign w:val="center"/>
                </w:tcPr>
                <w:p w14:paraId="5F99AD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4228864.948</w:t>
                  </w:r>
                </w:p>
              </w:tc>
            </w:tr>
            <w:tr w14:paraId="3015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4" w:type="pct"/>
                  <w:vMerge w:val="continue"/>
                  <w:vAlign w:val="center"/>
                </w:tcPr>
                <w:p w14:paraId="06FCD2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p>
              </w:tc>
              <w:tc>
                <w:tcPr>
                  <w:tcW w:w="1104" w:type="pct"/>
                  <w:vAlign w:val="center"/>
                </w:tcPr>
                <w:p w14:paraId="759B24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J26</w:t>
                  </w:r>
                </w:p>
              </w:tc>
              <w:tc>
                <w:tcPr>
                  <w:tcW w:w="1460" w:type="pct"/>
                  <w:vAlign w:val="center"/>
                </w:tcPr>
                <w:p w14:paraId="3C9BDC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37441456.333</w:t>
                  </w:r>
                </w:p>
              </w:tc>
              <w:tc>
                <w:tcPr>
                  <w:tcW w:w="1461" w:type="pct"/>
                  <w:vAlign w:val="center"/>
                </w:tcPr>
                <w:p w14:paraId="7367CE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4228874.005</w:t>
                  </w:r>
                </w:p>
              </w:tc>
            </w:tr>
          </w:tbl>
          <w:p w14:paraId="6CA011E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p>
        </w:tc>
      </w:tr>
      <w:tr w14:paraId="141C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6" w:hRule="atLeast"/>
        </w:trPr>
        <w:tc>
          <w:tcPr>
            <w:tcW w:w="691" w:type="dxa"/>
            <w:vAlign w:val="center"/>
          </w:tcPr>
          <w:p w14:paraId="658DE44D">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项目组成及规模</w:t>
            </w:r>
          </w:p>
        </w:tc>
        <w:tc>
          <w:tcPr>
            <w:tcW w:w="8597" w:type="dxa"/>
            <w:vAlign w:val="center"/>
          </w:tcPr>
          <w:p w14:paraId="30135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一、项目建设背景</w:t>
            </w:r>
          </w:p>
          <w:p w14:paraId="6D985C20">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天然气是优质高效的可再生能源，积极开发利用天然气，可以有效减少常规能源尤其是煤炭资源的消耗，对于优化城市能源结构，提高人民的生活质量，建设生态文明社会，促进可持续发展具有重要的意义。在天然气开发过程中，勘探工作旨在为后期的开发建设提供科技依据。按照勘探阶段、勘探程序以及勘探目的，可将探井划分为地质井、参数井、预探井、评价井等。</w:t>
            </w:r>
          </w:p>
          <w:p w14:paraId="75FD4B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本项目属于天然气勘探工程，选址位于陕西鄂尔多斯盆地</w:t>
            </w:r>
            <w:r>
              <w:rPr>
                <w:rFonts w:hint="eastAsia" w:ascii="Times New Roman" w:hAnsi="Times New Roman" w:eastAsia="宋体" w:cs="Times New Roman"/>
                <w:b w:val="0"/>
                <w:bCs w:val="0"/>
                <w:color w:val="auto"/>
                <w:sz w:val="24"/>
                <w:szCs w:val="24"/>
                <w:vertAlign w:val="baseline"/>
                <w:lang w:val="en-US" w:eastAsia="zh-CN"/>
              </w:rPr>
              <w:t>神木</w:t>
            </w:r>
            <w:r>
              <w:rPr>
                <w:rFonts w:hint="default" w:ascii="Times New Roman" w:hAnsi="Times New Roman" w:eastAsia="宋体" w:cs="Times New Roman"/>
                <w:b w:val="0"/>
                <w:bCs w:val="0"/>
                <w:color w:val="auto"/>
                <w:sz w:val="24"/>
                <w:szCs w:val="24"/>
                <w:vertAlign w:val="baseline"/>
                <w:lang w:val="en-US" w:eastAsia="zh-CN"/>
              </w:rPr>
              <w:t>气田天然气开采范围内，该区域已开采多年，宁榆天然气评价组为判断该区块后期是否具备继续大规模开采的价值，并评估如何开采</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宁榆天然气评价组</w:t>
            </w:r>
            <w:r>
              <w:rPr>
                <w:rFonts w:hint="eastAsia" w:ascii="Times New Roman" w:hAnsi="Times New Roman" w:eastAsia="宋体" w:cs="Times New Roman"/>
                <w:b w:val="0"/>
                <w:bCs w:val="0"/>
                <w:color w:val="auto"/>
                <w:sz w:val="24"/>
                <w:szCs w:val="24"/>
                <w:vertAlign w:val="baseline"/>
                <w:lang w:val="en-US" w:eastAsia="zh-CN"/>
              </w:rPr>
              <w:t>米107-10井（已探勘井场）与本项目米107-3MH井相距17km，米107-10井（已探勘井场）</w:t>
            </w:r>
            <w:r>
              <w:rPr>
                <w:rFonts w:hint="default" w:ascii="Times New Roman" w:hAnsi="Times New Roman" w:eastAsia="宋体" w:cs="Times New Roman"/>
                <w:b w:val="0"/>
                <w:bCs w:val="0"/>
                <w:color w:val="auto"/>
                <w:sz w:val="24"/>
                <w:szCs w:val="24"/>
                <w:vertAlign w:val="baseline"/>
                <w:lang w:val="en-US" w:eastAsia="zh-CN"/>
              </w:rPr>
              <w:t>开采层位</w:t>
            </w:r>
            <w:r>
              <w:rPr>
                <w:rFonts w:hint="eastAsia" w:ascii="Times New Roman" w:hAnsi="Times New Roman" w:eastAsia="宋体" w:cs="Times New Roman"/>
                <w:b w:val="0"/>
                <w:bCs w:val="0"/>
                <w:color w:val="auto"/>
                <w:sz w:val="24"/>
                <w:szCs w:val="24"/>
                <w:vertAlign w:val="baseline"/>
                <w:lang w:val="en-US" w:eastAsia="zh-CN"/>
              </w:rPr>
              <w:t>为</w:t>
            </w:r>
            <w:r>
              <w:rPr>
                <w:rFonts w:hint="default" w:ascii="Times New Roman" w:hAnsi="Times New Roman" w:eastAsia="宋体" w:cs="Times New Roman"/>
                <w:b w:val="0"/>
                <w:bCs w:val="0"/>
                <w:color w:val="auto"/>
                <w:sz w:val="24"/>
                <w:szCs w:val="24"/>
                <w:vertAlign w:val="baseline"/>
                <w:lang w:val="en-US" w:eastAsia="zh-CN"/>
              </w:rPr>
              <w:t>（上古层）</w:t>
            </w:r>
            <w:r>
              <w:rPr>
                <w:rFonts w:hint="eastAsia" w:ascii="Times New Roman" w:hAnsi="Times New Roman" w:eastAsia="宋体" w:cs="Times New Roman"/>
                <w:b w:val="0"/>
                <w:bCs w:val="0"/>
                <w:color w:val="auto"/>
                <w:sz w:val="24"/>
                <w:szCs w:val="24"/>
                <w:vertAlign w:val="baseline"/>
                <w:lang w:val="en-US" w:eastAsia="zh-CN"/>
              </w:rPr>
              <w:t>，本次在</w:t>
            </w:r>
            <w:r>
              <w:rPr>
                <w:rFonts w:hint="default" w:ascii="Times New Roman" w:hAnsi="Times New Roman" w:eastAsia="宋体" w:cs="Times New Roman"/>
                <w:b w:val="0"/>
                <w:bCs w:val="0"/>
                <w:color w:val="auto"/>
                <w:sz w:val="24"/>
                <w:szCs w:val="24"/>
                <w:vertAlign w:val="baseline"/>
                <w:lang w:val="en-US" w:eastAsia="zh-CN"/>
              </w:rPr>
              <w:t>开采层位（</w:t>
            </w:r>
            <w:r>
              <w:rPr>
                <w:rFonts w:hint="eastAsia" w:ascii="Times New Roman" w:hAnsi="Times New Roman" w:eastAsia="宋体" w:cs="Times New Roman"/>
                <w:b w:val="0"/>
                <w:bCs w:val="0"/>
                <w:color w:val="auto"/>
                <w:sz w:val="24"/>
                <w:szCs w:val="24"/>
                <w:vertAlign w:val="baseline"/>
                <w:lang w:val="en-US" w:eastAsia="zh-CN"/>
              </w:rPr>
              <w:t>二叠系下统太原组</w:t>
            </w:r>
            <w:r>
              <w:rPr>
                <w:rFonts w:hint="default" w:ascii="Times New Roman" w:hAnsi="Times New Roman" w:eastAsia="宋体" w:cs="Times New Roman"/>
                <w:b w:val="0"/>
                <w:bCs w:val="0"/>
                <w:color w:val="auto"/>
                <w:sz w:val="24"/>
                <w:szCs w:val="24"/>
                <w:vertAlign w:val="baseline"/>
                <w:lang w:val="en-US" w:eastAsia="zh-CN"/>
              </w:rPr>
              <w:t>）加密勘探</w:t>
            </w:r>
            <w:r>
              <w:rPr>
                <w:rFonts w:hint="default" w:ascii="Times New Roman" w:hAnsi="Times New Roman" w:eastAsia="宋体" w:cs="Times New Roman"/>
                <w:b w:val="0"/>
                <w:bCs w:val="0"/>
                <w:color w:val="auto"/>
                <w:sz w:val="24"/>
                <w:szCs w:val="24"/>
                <w:vertAlign w:val="baseline"/>
                <w:lang w:val="en-US" w:eastAsia="zh-CN"/>
              </w:rPr>
              <w:t>，为远期气田产能建设提供依据。勘探层位位于中国石油天然气股份有限公司长庆油田分公司矿权范围内，中国石油天然气股份有限公司已取得《陕西鄂尔多斯盆地</w:t>
            </w:r>
            <w:r>
              <w:rPr>
                <w:rFonts w:hint="eastAsia" w:ascii="Times New Roman" w:hAnsi="Times New Roman" w:eastAsia="宋体" w:cs="Times New Roman"/>
                <w:b w:val="0"/>
                <w:bCs w:val="0"/>
                <w:color w:val="auto"/>
                <w:sz w:val="24"/>
                <w:szCs w:val="24"/>
                <w:vertAlign w:val="baseline"/>
                <w:lang w:val="en-US" w:eastAsia="zh-CN"/>
              </w:rPr>
              <w:t>神木</w:t>
            </w:r>
            <w:r>
              <w:rPr>
                <w:rFonts w:hint="default" w:ascii="Times New Roman" w:hAnsi="Times New Roman" w:eastAsia="宋体" w:cs="Times New Roman"/>
                <w:b w:val="0"/>
                <w:bCs w:val="0"/>
                <w:color w:val="auto"/>
                <w:sz w:val="24"/>
                <w:szCs w:val="24"/>
                <w:vertAlign w:val="baseline"/>
                <w:lang w:val="en-US" w:eastAsia="zh-CN"/>
              </w:rPr>
              <w:t>气田</w:t>
            </w:r>
            <w:r>
              <w:rPr>
                <w:rFonts w:hint="eastAsia" w:ascii="Times New Roman" w:hAnsi="Times New Roman" w:eastAsia="宋体" w:cs="Times New Roman"/>
                <w:b w:val="0"/>
                <w:bCs w:val="0"/>
                <w:color w:val="auto"/>
                <w:sz w:val="24"/>
                <w:szCs w:val="24"/>
                <w:vertAlign w:val="baseline"/>
                <w:lang w:val="en-US" w:eastAsia="zh-CN"/>
              </w:rPr>
              <w:t>米38区</w:t>
            </w:r>
            <w:r>
              <w:rPr>
                <w:rFonts w:hint="default" w:ascii="Times New Roman" w:hAnsi="Times New Roman" w:eastAsia="宋体" w:cs="Times New Roman"/>
                <w:b w:val="0"/>
                <w:bCs w:val="0"/>
                <w:color w:val="auto"/>
                <w:sz w:val="24"/>
                <w:szCs w:val="24"/>
                <w:vertAlign w:val="baseline"/>
                <w:lang w:val="en-US" w:eastAsia="zh-CN"/>
              </w:rPr>
              <w:t>天然气开采采矿许可证》（证号：</w:t>
            </w:r>
            <w:r>
              <w:rPr>
                <w:rFonts w:hint="eastAsia" w:ascii="Times New Roman" w:hAnsi="Times New Roman" w:eastAsia="宋体" w:cs="Times New Roman"/>
                <w:b w:val="0"/>
                <w:bCs w:val="0"/>
                <w:color w:val="auto"/>
                <w:sz w:val="24"/>
                <w:szCs w:val="24"/>
                <w:vertAlign w:val="baseline"/>
                <w:lang w:val="en-US" w:eastAsia="zh-CN"/>
              </w:rPr>
              <w:t>C1</w:t>
            </w:r>
            <w:r>
              <w:rPr>
                <w:rFonts w:hint="default" w:ascii="Times New Roman" w:hAnsi="Times New Roman" w:eastAsia="宋体" w:cs="Times New Roman"/>
                <w:b w:val="0"/>
                <w:bCs w:val="0"/>
                <w:color w:val="auto"/>
                <w:sz w:val="24"/>
                <w:szCs w:val="24"/>
                <w:vertAlign w:val="baseline"/>
                <w:lang w:val="en-US" w:eastAsia="zh-CN"/>
              </w:rPr>
              <w:t>00000202</w:t>
            </w:r>
            <w:r>
              <w:rPr>
                <w:rFonts w:hint="eastAsia" w:ascii="Times New Roman" w:hAnsi="Times New Roman" w:eastAsia="宋体" w:cs="Times New Roman"/>
                <w:b w:val="0"/>
                <w:bCs w:val="0"/>
                <w:color w:val="auto"/>
                <w:sz w:val="24"/>
                <w:szCs w:val="24"/>
                <w:vertAlign w:val="baseline"/>
                <w:lang w:val="en-US" w:eastAsia="zh-CN"/>
              </w:rPr>
              <w:t>012131800006</w:t>
            </w:r>
            <w:r>
              <w:rPr>
                <w:rFonts w:hint="default" w:ascii="Times New Roman" w:hAnsi="Times New Roman" w:eastAsia="宋体" w:cs="Times New Roman"/>
                <w:b w:val="0"/>
                <w:bCs w:val="0"/>
                <w:color w:val="auto"/>
                <w:sz w:val="24"/>
                <w:szCs w:val="24"/>
                <w:vertAlign w:val="baseline"/>
                <w:lang w:val="en-US" w:eastAsia="zh-CN"/>
              </w:rPr>
              <w:t>7），勘察范围包含本项目井场。</w:t>
            </w:r>
          </w:p>
          <w:p w14:paraId="26306717">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vertAlign w:val="baseline"/>
                <w:lang w:val="en-US" w:eastAsia="zh-CN"/>
              </w:rPr>
              <w:t>本项目属于天然气评价井建设工程，选址位于</w:t>
            </w:r>
            <w:r>
              <w:rPr>
                <w:rFonts w:hint="default" w:ascii="Times New Roman" w:hAnsi="Times New Roman" w:eastAsia="宋体" w:cs="Times New Roman"/>
                <w:b w:val="0"/>
                <w:bCs w:val="0"/>
                <w:color w:val="auto"/>
                <w:sz w:val="24"/>
                <w:szCs w:val="24"/>
                <w:highlight w:val="none"/>
                <w:vertAlign w:val="baseline"/>
                <w:lang w:val="en-US" w:eastAsia="zh-CN"/>
              </w:rPr>
              <w:t>陕西鄂尔多斯盆地米脂气田、神木气田米38区天然气开采范围内</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color w:val="auto"/>
                <w:sz w:val="24"/>
                <w:szCs w:val="24"/>
              </w:rPr>
              <w:t>属于长庆油田分公司第二采气厂的负责范围，第二采气厂于2024年取得榆林市生态环境局关于《长庆油田分公司第二采气厂2024年产能建设工程环境影响报告书》的批复（榆政环发〔2024〕110号），第二采气厂下辖气田截至2023年底，已建成气井2317口、井场586座；天然气处理厂6座、采出水回注井14口、集气站57座、增压站4座、清管站12座；集气干线25条，总长约521.3km；集气支线45条，总长约576.6km；外输管线5条，总长约342.5km，同时配套建设采气管线、注醇管线、注水管线、站场道路等配套工程及设施，基本实现了天然气密闭集输。2024年拟新建集气站2座，钻试返排液处理站1座，改扩建站场18座；部署井场186座（含新、扩建井场），拟新钻采气井479口。第二采气厂2024产能环评中本项目所在气田主要开发上古气，层位主要有山西组山2、石盒子组盒8等。</w:t>
            </w:r>
          </w:p>
          <w:p w14:paraId="4E618DC2">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ascii="宋体" w:hAnsi="宋体" w:eastAsia="宋体" w:cs="宋体"/>
                <w:color w:val="auto"/>
                <w:sz w:val="24"/>
                <w:szCs w:val="24"/>
              </w:rPr>
              <w:t>根据建设单位提供资料，本次天然气探井不在第二采气厂2024年陕西区域新建及扩建天然气井场部署计划内，属于加密勘探新层位。</w:t>
            </w:r>
            <w:r>
              <w:rPr>
                <w:rFonts w:hint="eastAsia" w:ascii="Times New Roman" w:hAnsi="Times New Roman" w:cs="Times New Roman"/>
                <w:color w:val="auto"/>
                <w:sz w:val="24"/>
                <w:highlight w:val="none"/>
                <w:lang w:val="en-US" w:eastAsia="zh-CN"/>
              </w:rPr>
              <w:t>本次在佳县通镇新建1口气井</w:t>
            </w:r>
            <w:r>
              <w:rPr>
                <w:rFonts w:hint="eastAsia" w:ascii="Times New Roman" w:hAnsi="Times New Roman" w:eastAsia="宋体" w:cs="Times New Roman"/>
                <w:b w:val="0"/>
                <w:color w:val="auto"/>
                <w:sz w:val="24"/>
                <w:szCs w:val="24"/>
                <w:highlight w:val="none"/>
                <w:lang w:val="en-US" w:eastAsia="zh-CN"/>
              </w:rPr>
              <w:t>旨在现有气田区域内</w:t>
            </w:r>
            <w:r>
              <w:rPr>
                <w:rFonts w:hint="default" w:ascii="Times New Roman" w:hAnsi="Times New Roman" w:eastAsia="宋体" w:cs="Times New Roman"/>
                <w:color w:val="auto"/>
                <w:sz w:val="24"/>
                <w:highlight w:val="none"/>
              </w:rPr>
              <w:t>寻找新的适合开发的</w:t>
            </w:r>
            <w:r>
              <w:rPr>
                <w:rFonts w:hint="eastAsia" w:ascii="Times New Roman" w:hAnsi="Times New Roman" w:eastAsia="宋体" w:cs="Times New Roman"/>
                <w:color w:val="auto"/>
                <w:sz w:val="24"/>
                <w:highlight w:val="none"/>
                <w:lang w:val="en-US" w:eastAsia="zh-CN"/>
              </w:rPr>
              <w:t>气藏</w:t>
            </w:r>
            <w:r>
              <w:rPr>
                <w:rFonts w:hint="default" w:ascii="Times New Roman" w:hAnsi="Times New Roman" w:eastAsia="宋体" w:cs="Times New Roman"/>
                <w:color w:val="auto"/>
                <w:sz w:val="24"/>
                <w:highlight w:val="none"/>
              </w:rPr>
              <w:t>层位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为气田后续产能建设提供决策依据，</w:t>
            </w:r>
            <w:r>
              <w:rPr>
                <w:rFonts w:ascii="宋体" w:hAnsi="宋体" w:eastAsia="宋体" w:cs="宋体"/>
                <w:color w:val="auto"/>
                <w:sz w:val="24"/>
                <w:szCs w:val="24"/>
              </w:rPr>
              <w:t>新层位未确定产能</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本项目周边已有探井为米107-4、米107-10，均属于上古层。</w:t>
            </w:r>
          </w:p>
          <w:p w14:paraId="1EF585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ascii="宋体" w:hAnsi="宋体" w:eastAsia="宋体" w:cs="宋体"/>
                <w:color w:val="auto"/>
                <w:sz w:val="24"/>
                <w:szCs w:val="24"/>
              </w:rPr>
              <w:t>根据现场踏勘，目前项目未动工，正在办理前期手续。</w:t>
            </w:r>
            <w:r>
              <w:rPr>
                <w:rFonts w:hint="default" w:ascii="Times New Roman" w:hAnsi="Times New Roman" w:eastAsia="宋体" w:cs="Times New Roman"/>
                <w:b w:val="0"/>
                <w:bCs w:val="0"/>
                <w:color w:val="auto"/>
                <w:sz w:val="24"/>
                <w:szCs w:val="24"/>
                <w:vertAlign w:val="baseline"/>
                <w:lang w:val="en-US" w:eastAsia="zh-CN"/>
              </w:rPr>
              <w:t>若测试具有工业产能，</w:t>
            </w:r>
            <w:r>
              <w:rPr>
                <w:rFonts w:hint="eastAsia" w:ascii="Times New Roman" w:hAnsi="Times New Roman" w:eastAsia="宋体" w:cs="Times New Roman"/>
                <w:b w:val="0"/>
                <w:bCs w:val="0"/>
                <w:color w:val="auto"/>
                <w:sz w:val="24"/>
                <w:szCs w:val="24"/>
                <w:vertAlign w:val="baseline"/>
                <w:lang w:val="en-US" w:eastAsia="zh-CN"/>
              </w:rPr>
              <w:t>另行履行相关产能环保手续</w:t>
            </w:r>
            <w:r>
              <w:rPr>
                <w:rFonts w:hint="default" w:ascii="Times New Roman" w:hAnsi="Times New Roman" w:eastAsia="宋体" w:cs="Times New Roman"/>
                <w:b w:val="0"/>
                <w:bCs w:val="0"/>
                <w:color w:val="auto"/>
                <w:sz w:val="24"/>
                <w:szCs w:val="24"/>
                <w:vertAlign w:val="baseline"/>
                <w:lang w:val="en-US" w:eastAsia="zh-CN"/>
              </w:rPr>
              <w:t>后期交由区块所属中国石油天然气股份有限公司长庆油田分公司</w:t>
            </w:r>
            <w:r>
              <w:rPr>
                <w:rFonts w:hint="eastAsia" w:ascii="Times New Roman" w:hAnsi="Times New Roman" w:eastAsia="宋体" w:cs="Times New Roman"/>
                <w:b w:val="0"/>
                <w:bCs w:val="0"/>
                <w:color w:val="auto"/>
                <w:sz w:val="24"/>
                <w:szCs w:val="24"/>
                <w:vertAlign w:val="baseline"/>
                <w:lang w:val="en-US" w:eastAsia="zh-CN"/>
              </w:rPr>
              <w:t>第二采气厂</w:t>
            </w:r>
            <w:r>
              <w:rPr>
                <w:rFonts w:hint="default" w:ascii="Times New Roman" w:hAnsi="Times New Roman" w:eastAsia="宋体" w:cs="Times New Roman"/>
                <w:b w:val="0"/>
                <w:bCs w:val="0"/>
                <w:color w:val="auto"/>
                <w:sz w:val="24"/>
                <w:szCs w:val="24"/>
                <w:vertAlign w:val="baseline"/>
                <w:lang w:val="en-US" w:eastAsia="zh-CN"/>
              </w:rPr>
              <w:t>进行井场建设。</w:t>
            </w:r>
          </w:p>
          <w:p w14:paraId="7888B4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二、项目建设内容及规模</w:t>
            </w:r>
          </w:p>
          <w:p w14:paraId="27F64D5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本项目新建天然气</w:t>
            </w:r>
            <w:r>
              <w:rPr>
                <w:rFonts w:hint="eastAsia" w:ascii="Times New Roman" w:hAnsi="Times New Roman" w:cs="Times New Roman"/>
                <w:color w:val="auto"/>
                <w:lang w:val="en-US" w:eastAsia="zh-CN"/>
              </w:rPr>
              <w:t>评价</w:t>
            </w:r>
            <w:r>
              <w:rPr>
                <w:rFonts w:hint="default" w:ascii="Times New Roman" w:hAnsi="Times New Roman" w:cs="Times New Roman"/>
                <w:color w:val="auto"/>
                <w:lang w:val="en-US" w:eastAsia="zh-CN"/>
              </w:rPr>
              <w:t>井</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口，井型为直井，设计</w:t>
            </w:r>
            <w:r>
              <w:rPr>
                <w:rFonts w:hint="eastAsia" w:ascii="Times New Roman" w:hAnsi="Times New Roman" w:cs="Times New Roman"/>
                <w:color w:val="auto"/>
                <w:lang w:val="en-US" w:eastAsia="zh-CN"/>
              </w:rPr>
              <w:t>完钻井深米107-3MH井</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2750m，</w:t>
            </w:r>
            <w:r>
              <w:rPr>
                <w:rFonts w:hint="default" w:ascii="Times New Roman" w:hAnsi="Times New Roman" w:cs="Times New Roman"/>
                <w:color w:val="auto"/>
                <w:lang w:val="en-US" w:eastAsia="zh-CN"/>
              </w:rPr>
              <w:t>目的层为</w:t>
            </w:r>
            <w:r>
              <w:rPr>
                <w:rFonts w:hint="eastAsia" w:ascii="Times New Roman" w:hAnsi="Times New Roman" w:cs="Times New Roman"/>
                <w:color w:val="auto"/>
                <w:lang w:val="en-US" w:eastAsia="zh-CN"/>
              </w:rPr>
              <w:t>二叠系下统太原组</w:t>
            </w:r>
            <w:r>
              <w:rPr>
                <w:rFonts w:hint="default" w:ascii="Times New Roman" w:hAnsi="Times New Roman" w:cs="Times New Roman"/>
                <w:color w:val="auto"/>
                <w:lang w:val="en-US" w:eastAsia="zh-CN"/>
              </w:rPr>
              <w:t>。井场按照《钻前工程及井场布置技术要求》（SY/T5466-2013）进行设计建设。</w:t>
            </w:r>
          </w:p>
          <w:p w14:paraId="153B005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建设内容包括钻前工程（建设内容主要为</w:t>
            </w:r>
            <w:r>
              <w:rPr>
                <w:rFonts w:hint="eastAsia" w:ascii="Times New Roman" w:hAnsi="Times New Roman" w:cs="Times New Roman"/>
                <w:color w:val="auto"/>
                <w:lang w:val="en-US" w:eastAsia="zh-CN"/>
              </w:rPr>
              <w:t>新建进场道路、</w:t>
            </w:r>
            <w:r>
              <w:rPr>
                <w:rFonts w:hint="default" w:ascii="Times New Roman" w:hAnsi="Times New Roman" w:cs="Times New Roman"/>
                <w:color w:val="auto"/>
                <w:lang w:val="en-US" w:eastAsia="zh-CN"/>
              </w:rPr>
              <w:t>井场修建和平整、修建设备基础、泥浆罐、污水罐、临时办公生活区等）、钻井工程（建设内容主要为钻井、测井、录井、固井等）、完井测试（主要包括完井作业和油气测试，洗井、射孔、压裂、</w:t>
            </w:r>
            <w:r>
              <w:rPr>
                <w:rFonts w:hint="eastAsia" w:ascii="Times New Roman" w:hAnsi="Times New Roman" w:cs="Times New Roman"/>
                <w:color w:val="auto"/>
                <w:lang w:val="en-US" w:eastAsia="zh-CN"/>
              </w:rPr>
              <w:t>试气</w:t>
            </w:r>
            <w:r>
              <w:rPr>
                <w:rFonts w:hint="default" w:ascii="Times New Roman" w:hAnsi="Times New Roman" w:cs="Times New Roman"/>
                <w:color w:val="auto"/>
                <w:lang w:val="en-US" w:eastAsia="zh-CN"/>
              </w:rPr>
              <w:t>等）及封井作业。项目测井方式为电测井，不涉及放射性源的使用。</w:t>
            </w:r>
          </w:p>
          <w:p w14:paraId="7B198E8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lang w:val="en-US" w:eastAsia="zh-CN"/>
              </w:rPr>
              <w:t>本次评价仅对勘探过程中对环境的影响进行分析，不包括天然气开采、采气生产站外管道建设评价。</w:t>
            </w:r>
          </w:p>
          <w:p w14:paraId="3D6B9B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表2-2 项目组成及建设内容一览表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36"/>
              <w:gridCol w:w="1086"/>
              <w:gridCol w:w="6178"/>
            </w:tblGrid>
            <w:tr w14:paraId="50B2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CA274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1522" w:type="dxa"/>
                  <w:gridSpan w:val="2"/>
                  <w:vAlign w:val="center"/>
                </w:tcPr>
                <w:p w14:paraId="03A6F6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6178" w:type="dxa"/>
                  <w:vAlign w:val="center"/>
                </w:tcPr>
                <w:p w14:paraId="2E79D59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工程内容</w:t>
                  </w:r>
                </w:p>
              </w:tc>
            </w:tr>
            <w:tr w14:paraId="3139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26A0B5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主体工程</w:t>
                  </w:r>
                </w:p>
              </w:tc>
              <w:tc>
                <w:tcPr>
                  <w:tcW w:w="436" w:type="dxa"/>
                  <w:vMerge w:val="restart"/>
                  <w:vAlign w:val="center"/>
                </w:tcPr>
                <w:p w14:paraId="138E3E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w:t>
                  </w:r>
                </w:p>
              </w:tc>
              <w:tc>
                <w:tcPr>
                  <w:tcW w:w="1086" w:type="dxa"/>
                  <w:vAlign w:val="center"/>
                </w:tcPr>
                <w:p w14:paraId="23E14D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钻井区</w:t>
                  </w:r>
                </w:p>
              </w:tc>
              <w:tc>
                <w:tcPr>
                  <w:tcW w:w="6178" w:type="dxa"/>
                  <w:vAlign w:val="center"/>
                </w:tcPr>
                <w:p w14:paraId="2383FF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包括机房、钻台、井口，主要进行钻井活动及完井测试，采用常规钻井工艺，钻井为直井，</w:t>
                  </w:r>
                  <w:r>
                    <w:rPr>
                      <w:rFonts w:hint="eastAsia" w:ascii="Times New Roman" w:hAnsi="Times New Roman" w:eastAsia="宋体" w:cs="Times New Roman"/>
                      <w:b w:val="0"/>
                      <w:bCs w:val="0"/>
                      <w:color w:val="auto"/>
                      <w:sz w:val="21"/>
                      <w:szCs w:val="21"/>
                      <w:vertAlign w:val="baseline"/>
                      <w:lang w:val="en-US" w:eastAsia="zh-CN"/>
                    </w:rPr>
                    <w:t>米107-3MH</w:t>
                  </w:r>
                  <w:r>
                    <w:rPr>
                      <w:rFonts w:hint="default" w:ascii="Times New Roman" w:hAnsi="Times New Roman" w:eastAsia="宋体" w:cs="Times New Roman"/>
                      <w:b w:val="0"/>
                      <w:bCs w:val="0"/>
                      <w:color w:val="auto"/>
                      <w:sz w:val="21"/>
                      <w:szCs w:val="21"/>
                      <w:vertAlign w:val="baseline"/>
                      <w:lang w:val="en-US" w:eastAsia="zh-CN"/>
                    </w:rPr>
                    <w:t>井钻井身为</w:t>
                  </w:r>
                  <w:r>
                    <w:rPr>
                      <w:rFonts w:hint="eastAsia" w:ascii="Times New Roman" w:hAnsi="Times New Roman" w:eastAsia="宋体" w:cs="Times New Roman"/>
                      <w:b w:val="0"/>
                      <w:bCs w:val="0"/>
                      <w:color w:val="auto"/>
                      <w:sz w:val="21"/>
                      <w:szCs w:val="21"/>
                      <w:vertAlign w:val="baseline"/>
                      <w:lang w:val="en-US" w:eastAsia="zh-CN"/>
                    </w:rPr>
                    <w:t>2750</w:t>
                  </w:r>
                  <w:r>
                    <w:rPr>
                      <w:rFonts w:hint="default"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主要进行探勘天然气储藏情况。钻井过程包括下套管和固井等作业，当钻至目的层后完井测试。主要布置钻机、井架、底座、天车、绞车、游动滑车等钻井设备，以及钻井控制系统、井控制装置。</w:t>
                  </w:r>
                </w:p>
              </w:tc>
            </w:tr>
            <w:tr w14:paraId="6715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E7960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268DBA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2B431E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泥浆循环系统</w:t>
                  </w:r>
                </w:p>
              </w:tc>
              <w:tc>
                <w:tcPr>
                  <w:tcW w:w="6178" w:type="dxa"/>
                  <w:vAlign w:val="center"/>
                </w:tcPr>
                <w:p w14:paraId="39F4AF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泥浆循环系统紧邻钻井区，主要包括钻井液振动筛、真空除气器、除砂除泥一体机、液气分离器、搅拌器、砂浆、泥浆罐、岩屑罐等，通过泥浆循环系统实现泥浆与岩屑的分离，本项目为水基钻井泥浆</w:t>
                  </w:r>
                  <w:r>
                    <w:rPr>
                      <w:rFonts w:hint="eastAsia" w:ascii="Times New Roman" w:hAnsi="Times New Roman" w:eastAsia="宋体" w:cs="Times New Roman"/>
                      <w:b w:val="0"/>
                      <w:bCs w:val="0"/>
                      <w:color w:val="auto"/>
                      <w:sz w:val="21"/>
                      <w:szCs w:val="21"/>
                      <w:vertAlign w:val="baseline"/>
                      <w:lang w:val="en-US" w:eastAsia="zh-CN"/>
                    </w:rPr>
                    <w:t>。</w:t>
                  </w:r>
                </w:p>
              </w:tc>
            </w:tr>
            <w:tr w14:paraId="2F16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46665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16E627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60340C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放喷池</w:t>
                  </w:r>
                </w:p>
              </w:tc>
              <w:tc>
                <w:tcPr>
                  <w:tcW w:w="6178" w:type="dxa"/>
                  <w:vAlign w:val="center"/>
                </w:tcPr>
                <w:p w14:paraId="4D7F71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每个井场均设置</w:t>
                  </w:r>
                  <w:r>
                    <w:rPr>
                      <w:rFonts w:hint="eastAsia" w:ascii="Times New Roman" w:hAnsi="Times New Roman" w:eastAsia="宋体" w:cs="Times New Roman"/>
                      <w:color w:val="auto"/>
                      <w:sz w:val="21"/>
                      <w:szCs w:val="21"/>
                      <w:highlight w:val="none"/>
                      <w:lang w:eastAsia="zh-CN"/>
                    </w:rPr>
                    <w:t>放喷池</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座，容积为10</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m³</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天然气</w:t>
                  </w:r>
                  <w:r>
                    <w:rPr>
                      <w:rFonts w:hint="default" w:ascii="Times New Roman" w:hAnsi="Times New Roman" w:eastAsia="宋体" w:cs="Times New Roman"/>
                      <w:b w:val="0"/>
                      <w:bCs w:val="0"/>
                      <w:color w:val="auto"/>
                      <w:sz w:val="21"/>
                      <w:szCs w:val="21"/>
                      <w:vertAlign w:val="baseline"/>
                      <w:lang w:val="en-US" w:eastAsia="zh-CN"/>
                    </w:rPr>
                    <w:t>经管线引至放散管</w:t>
                  </w:r>
                  <w:r>
                    <w:rPr>
                      <w:rFonts w:hint="eastAsia" w:ascii="Times New Roman" w:hAnsi="Times New Roman" w:eastAsia="宋体" w:cs="Times New Roman"/>
                      <w:b w:val="0"/>
                      <w:bCs w:val="0"/>
                      <w:color w:val="auto"/>
                      <w:sz w:val="21"/>
                      <w:szCs w:val="21"/>
                      <w:vertAlign w:val="baseline"/>
                      <w:lang w:val="en-US" w:eastAsia="zh-CN"/>
                    </w:rPr>
                    <w:t>后点火放喷，放喷口设置，放喷池</w:t>
                  </w:r>
                  <w:r>
                    <w:rPr>
                      <w:rFonts w:hint="default" w:ascii="Times New Roman" w:hAnsi="Times New Roman" w:eastAsia="宋体" w:cs="Times New Roman"/>
                      <w:b w:val="0"/>
                      <w:bCs w:val="0"/>
                      <w:color w:val="auto"/>
                      <w:sz w:val="21"/>
                      <w:szCs w:val="21"/>
                      <w:vertAlign w:val="baseline"/>
                      <w:lang w:val="en-US" w:eastAsia="zh-CN"/>
                    </w:rPr>
                    <w:t>井场内下风向，</w:t>
                  </w:r>
                  <w:r>
                    <w:rPr>
                      <w:rFonts w:hint="eastAsia" w:ascii="Times New Roman" w:hAnsi="Times New Roman" w:eastAsia="宋体" w:cs="Times New Roman"/>
                      <w:b w:val="0"/>
                      <w:bCs w:val="0"/>
                      <w:color w:val="auto"/>
                      <w:sz w:val="21"/>
                      <w:szCs w:val="21"/>
                      <w:vertAlign w:val="baseline"/>
                      <w:lang w:val="en-US" w:eastAsia="zh-CN"/>
                    </w:rPr>
                    <w:t>放喷口</w:t>
                  </w:r>
                  <w:r>
                    <w:rPr>
                      <w:rFonts w:hint="default" w:ascii="Times New Roman" w:hAnsi="Times New Roman" w:eastAsia="宋体" w:cs="Times New Roman"/>
                      <w:b w:val="0"/>
                      <w:bCs w:val="0"/>
                      <w:color w:val="auto"/>
                      <w:sz w:val="21"/>
                      <w:szCs w:val="21"/>
                      <w:vertAlign w:val="baseline"/>
                      <w:lang w:val="en-US" w:eastAsia="zh-CN"/>
                    </w:rPr>
                    <w:t>安装防喷器和控制装置；井下安装压力传感装置和事故报警器；组织员工应急培训、应急演练、设置井口防喷器组</w:t>
                  </w:r>
                  <w:r>
                    <w:rPr>
                      <w:rFonts w:hint="eastAsia"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点火装置（距离地面高度约为0.5m）</w:t>
                  </w:r>
                  <w:r>
                    <w:rPr>
                      <w:rFonts w:hint="default" w:ascii="Times New Roman" w:hAnsi="Times New Roman" w:eastAsia="宋体" w:cs="Times New Roman"/>
                      <w:b w:val="0"/>
                      <w:bCs w:val="0"/>
                      <w:color w:val="auto"/>
                      <w:sz w:val="21"/>
                      <w:szCs w:val="21"/>
                      <w:vertAlign w:val="baseline"/>
                      <w:lang w:val="en-US" w:eastAsia="zh-CN"/>
                    </w:rPr>
                    <w:t>、放喷管线、灭火器、铁锹及沙袋、临时土围堰。</w:t>
                  </w:r>
                </w:p>
              </w:tc>
            </w:tr>
            <w:tr w14:paraId="6E71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65E935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1522" w:type="dxa"/>
                  <w:gridSpan w:val="2"/>
                  <w:vAlign w:val="center"/>
                </w:tcPr>
                <w:p w14:paraId="2869D3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井口基础</w:t>
                  </w:r>
                </w:p>
              </w:tc>
              <w:tc>
                <w:tcPr>
                  <w:tcW w:w="6178" w:type="dxa"/>
                  <w:vAlign w:val="center"/>
                </w:tcPr>
                <w:p w14:paraId="62992D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加固井口，方便其他配套设施安装</w:t>
                  </w:r>
                  <w:r>
                    <w:rPr>
                      <w:rFonts w:hint="eastAsia" w:ascii="Times New Roman" w:hAnsi="Times New Roman" w:eastAsia="宋体" w:cs="Times New Roman"/>
                      <w:b w:val="0"/>
                      <w:bCs w:val="0"/>
                      <w:color w:val="auto"/>
                      <w:sz w:val="21"/>
                      <w:szCs w:val="21"/>
                      <w:vertAlign w:val="baseline"/>
                      <w:lang w:val="en-US" w:eastAsia="zh-CN"/>
                    </w:rPr>
                    <w:t>。</w:t>
                  </w:r>
                </w:p>
              </w:tc>
            </w:tr>
            <w:tr w14:paraId="4D57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BCA62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1D6920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生活区</w:t>
                  </w:r>
                </w:p>
              </w:tc>
              <w:tc>
                <w:tcPr>
                  <w:tcW w:w="6178" w:type="dxa"/>
                  <w:vAlign w:val="center"/>
                </w:tcPr>
                <w:p w14:paraId="51F343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米107-3MH井场生活区</w:t>
                  </w:r>
                  <w:r>
                    <w:rPr>
                      <w:rFonts w:hint="default" w:ascii="Times New Roman" w:hAnsi="Times New Roman" w:eastAsia="宋体" w:cs="Times New Roman"/>
                      <w:b w:val="0"/>
                      <w:bCs w:val="0"/>
                      <w:color w:val="auto"/>
                      <w:sz w:val="21"/>
                      <w:szCs w:val="21"/>
                      <w:vertAlign w:val="baseline"/>
                      <w:lang w:val="en-US" w:eastAsia="zh-CN"/>
                    </w:rPr>
                    <w:t>位于井场</w:t>
                  </w:r>
                  <w:r>
                    <w:rPr>
                      <w:rFonts w:hint="eastAsia" w:ascii="Times New Roman" w:hAnsi="Times New Roman" w:eastAsia="宋体" w:cs="Times New Roman"/>
                      <w:b w:val="0"/>
                      <w:bCs w:val="0"/>
                      <w:color w:val="auto"/>
                      <w:sz w:val="21"/>
                      <w:szCs w:val="21"/>
                      <w:vertAlign w:val="baseline"/>
                      <w:lang w:val="en-US" w:eastAsia="zh-CN"/>
                    </w:rPr>
                    <w:t>南</w:t>
                  </w:r>
                  <w:r>
                    <w:rPr>
                      <w:rFonts w:hint="default" w:ascii="Times New Roman" w:hAnsi="Times New Roman" w:eastAsia="宋体" w:cs="Times New Roman"/>
                      <w:b w:val="0"/>
                      <w:bCs w:val="0"/>
                      <w:color w:val="auto"/>
                      <w:sz w:val="21"/>
                      <w:szCs w:val="21"/>
                      <w:vertAlign w:val="baseline"/>
                      <w:lang w:val="en-US" w:eastAsia="zh-CN"/>
                    </w:rPr>
                    <w:t>侧，占地面积</w:t>
                  </w:r>
                  <w:r>
                    <w:rPr>
                      <w:rFonts w:hint="eastAsia" w:ascii="Times New Roman" w:hAnsi="Times New Roman" w:eastAsia="宋体" w:cs="Times New Roman"/>
                      <w:b w:val="0"/>
                      <w:bCs w:val="0"/>
                      <w:color w:val="auto"/>
                      <w:sz w:val="21"/>
                      <w:szCs w:val="21"/>
                      <w:vertAlign w:val="baseline"/>
                      <w:lang w:val="en-US" w:eastAsia="zh-CN"/>
                    </w:rPr>
                    <w:t>2612.1</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p>
              </w:tc>
            </w:tr>
            <w:tr w14:paraId="297D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5C3DB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61E190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临时进场道路</w:t>
                  </w:r>
                </w:p>
              </w:tc>
              <w:tc>
                <w:tcPr>
                  <w:tcW w:w="6178" w:type="dxa"/>
                  <w:vAlign w:val="center"/>
                </w:tcPr>
                <w:p w14:paraId="0CE000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米107-3MH井场</w:t>
                  </w:r>
                  <w:r>
                    <w:rPr>
                      <w:rFonts w:hint="default" w:ascii="Times New Roman" w:hAnsi="Times New Roman" w:eastAsia="宋体" w:cs="Times New Roman"/>
                      <w:b w:val="0"/>
                      <w:bCs w:val="0"/>
                      <w:color w:val="auto"/>
                      <w:sz w:val="21"/>
                      <w:szCs w:val="21"/>
                      <w:vertAlign w:val="baseline"/>
                      <w:lang w:val="en-US" w:eastAsia="zh-CN"/>
                    </w:rPr>
                    <w:t>新建进场道路</w:t>
                  </w:r>
                  <w:r>
                    <w:rPr>
                      <w:rFonts w:hint="eastAsia" w:ascii="Times New Roman" w:hAnsi="Times New Roman" w:eastAsia="宋体" w:cs="Times New Roman"/>
                      <w:b w:val="0"/>
                      <w:bCs w:val="0"/>
                      <w:color w:val="auto"/>
                      <w:sz w:val="21"/>
                      <w:szCs w:val="21"/>
                      <w:highlight w:val="none"/>
                      <w:vertAlign w:val="baseline"/>
                      <w:lang w:val="en-US" w:eastAsia="zh-CN"/>
                    </w:rPr>
                    <w:t>250</w:t>
                  </w:r>
                  <w:r>
                    <w:rPr>
                      <w:rFonts w:hint="default" w:ascii="Times New Roman" w:hAnsi="Times New Roman" w:eastAsia="宋体" w:cs="Times New Roman"/>
                      <w:b w:val="0"/>
                      <w:bCs w:val="0"/>
                      <w:color w:val="auto"/>
                      <w:sz w:val="21"/>
                      <w:szCs w:val="21"/>
                      <w:highlight w:val="none"/>
                      <w:vertAlign w:val="baseline"/>
                      <w:lang w:val="en-US" w:eastAsia="zh-CN"/>
                    </w:rPr>
                    <w:t>米</w:t>
                  </w:r>
                  <w:r>
                    <w:rPr>
                      <w:rFonts w:hint="default" w:ascii="Times New Roman" w:hAnsi="Times New Roman" w:eastAsia="宋体" w:cs="Times New Roman"/>
                      <w:b w:val="0"/>
                      <w:bCs w:val="0"/>
                      <w:color w:val="auto"/>
                      <w:sz w:val="21"/>
                      <w:szCs w:val="21"/>
                      <w:vertAlign w:val="baseline"/>
                      <w:lang w:val="en-US" w:eastAsia="zh-CN"/>
                    </w:rPr>
                    <w:t>，砂石路面。</w:t>
                  </w:r>
                </w:p>
              </w:tc>
            </w:tr>
            <w:tr w14:paraId="6602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44345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79B38C8C">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宋体"/>
                      <w:color w:val="auto"/>
                      <w:lang w:val="en-US" w:eastAsia="zh-CN"/>
                    </w:rPr>
                  </w:pPr>
                  <w:r>
                    <w:rPr>
                      <w:rFonts w:hint="default" w:ascii="Times New Roman" w:hAnsi="Times New Roman" w:cs="Times New Roman"/>
                      <w:color w:val="auto"/>
                      <w:sz w:val="21"/>
                      <w:szCs w:val="21"/>
                      <w:lang w:val="en-US" w:eastAsia="zh-CN"/>
                    </w:rPr>
                    <w:t>临时堆场</w:t>
                  </w:r>
                </w:p>
              </w:tc>
              <w:tc>
                <w:tcPr>
                  <w:tcW w:w="6178" w:type="dxa"/>
                  <w:vAlign w:val="center"/>
                </w:tcPr>
                <w:p w14:paraId="55B17394">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宋体"/>
                      <w:color w:val="auto"/>
                      <w:lang w:val="en-US" w:eastAsia="zh-CN"/>
                    </w:rPr>
                  </w:pPr>
                  <w:r>
                    <w:rPr>
                      <w:rFonts w:hint="default" w:ascii="Times New Roman" w:hAnsi="Times New Roman" w:cs="Times New Roman"/>
                      <w:color w:val="auto"/>
                      <w:sz w:val="21"/>
                      <w:szCs w:val="21"/>
                      <w:lang w:val="en-US" w:eastAsia="zh-CN"/>
                    </w:rPr>
                    <w:t>项目占地范围内</w:t>
                  </w:r>
                  <w:r>
                    <w:rPr>
                      <w:rFonts w:hint="eastAsia" w:ascii="Times New Roman" w:hAnsi="Times New Roman" w:cs="Times New Roman"/>
                      <w:color w:val="auto"/>
                      <w:sz w:val="21"/>
                      <w:szCs w:val="21"/>
                      <w:lang w:val="en-US" w:eastAsia="zh-CN"/>
                    </w:rPr>
                    <w:t>米107-3MH</w:t>
                  </w:r>
                  <w:r>
                    <w:rPr>
                      <w:rFonts w:hint="default" w:ascii="Times New Roman" w:hAnsi="Times New Roman" w:cs="Times New Roman"/>
                      <w:color w:val="auto"/>
                      <w:sz w:val="21"/>
                      <w:szCs w:val="21"/>
                      <w:lang w:val="en-US" w:eastAsia="zh-CN"/>
                    </w:rPr>
                    <w:t>井场内设置1座表土堆场，面积约1200m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，1座其他土石方堆场，面积约2700m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；均位于井场内</w:t>
                  </w:r>
                  <w:r>
                    <w:rPr>
                      <w:rFonts w:hint="eastAsia" w:ascii="Times New Roman" w:hAnsi="Times New Roman" w:cs="Times New Roman"/>
                      <w:color w:val="auto"/>
                      <w:sz w:val="21"/>
                      <w:szCs w:val="21"/>
                      <w:lang w:val="en-US" w:eastAsia="zh-CN"/>
                    </w:rPr>
                    <w:t>。</w:t>
                  </w:r>
                </w:p>
              </w:tc>
            </w:tr>
            <w:tr w14:paraId="2638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80A52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75D01A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物料区</w:t>
                  </w:r>
                </w:p>
              </w:tc>
              <w:tc>
                <w:tcPr>
                  <w:tcW w:w="6178" w:type="dxa"/>
                  <w:shd w:val="clear" w:color="auto" w:fill="auto"/>
                  <w:vAlign w:val="center"/>
                </w:tcPr>
                <w:p w14:paraId="034F39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单</w:t>
                  </w:r>
                  <w:r>
                    <w:rPr>
                      <w:rFonts w:hint="eastAsia" w:ascii="Times New Roman" w:hAnsi="Times New Roman" w:eastAsia="宋体" w:cs="Times New Roman"/>
                      <w:b w:val="0"/>
                      <w:bCs w:val="0"/>
                      <w:color w:val="auto"/>
                      <w:sz w:val="21"/>
                      <w:szCs w:val="21"/>
                      <w:vertAlign w:val="baseline"/>
                      <w:lang w:val="en-US" w:eastAsia="zh-CN"/>
                    </w:rPr>
                    <w:t>井场</w:t>
                  </w:r>
                  <w:r>
                    <w:rPr>
                      <w:rFonts w:hint="default" w:ascii="Times New Roman" w:hAnsi="Times New Roman" w:eastAsia="宋体" w:cs="Times New Roman"/>
                      <w:b w:val="0"/>
                      <w:bCs w:val="0"/>
                      <w:color w:val="auto"/>
                      <w:sz w:val="21"/>
                      <w:szCs w:val="21"/>
                      <w:vertAlign w:val="baseline"/>
                      <w:lang w:val="en-US" w:eastAsia="zh-CN"/>
                    </w:rPr>
                    <w:t>物料区占地面积</w:t>
                  </w:r>
                  <w:r>
                    <w:rPr>
                      <w:rFonts w:hint="eastAsia" w:ascii="Times New Roman" w:hAnsi="Times New Roman" w:eastAsia="宋体" w:cs="Times New Roman"/>
                      <w:b w:val="0"/>
                      <w:bCs w:val="0"/>
                      <w:color w:val="auto"/>
                      <w:sz w:val="21"/>
                      <w:szCs w:val="21"/>
                      <w:vertAlign w:val="baseline"/>
                      <w:lang w:val="en-US" w:eastAsia="zh-CN"/>
                    </w:rPr>
                    <w:t>6</w:t>
                  </w:r>
                  <w:r>
                    <w:rPr>
                      <w:rFonts w:hint="default" w:ascii="Times New Roman" w:hAnsi="Times New Roman" w:eastAsia="宋体" w:cs="Times New Roman"/>
                      <w:b w:val="0"/>
                      <w:bCs w:val="0"/>
                      <w:color w:val="auto"/>
                      <w:sz w:val="21"/>
                      <w:szCs w:val="21"/>
                      <w:vertAlign w:val="baseline"/>
                      <w:lang w:val="en-US" w:eastAsia="zh-CN"/>
                    </w:rPr>
                    <w:t>00m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cs="Times New Roman"/>
                      <w:color w:val="auto"/>
                      <w:sz w:val="21"/>
                      <w:szCs w:val="21"/>
                      <w:lang w:val="en-US" w:eastAsia="zh-CN"/>
                    </w:rPr>
                    <w:t>主要设有综合房、修理房、发电机房、井控房、</w:t>
                  </w:r>
                  <w:r>
                    <w:rPr>
                      <w:rFonts w:hint="eastAsia" w:ascii="Times New Roman" w:hAnsi="Times New Roman" w:cs="Times New Roman"/>
                      <w:color w:val="auto"/>
                      <w:sz w:val="21"/>
                      <w:szCs w:val="21"/>
                      <w:lang w:val="en-US" w:eastAsia="zh-CN"/>
                    </w:rPr>
                    <w:t>临时停车场</w:t>
                  </w:r>
                  <w:r>
                    <w:rPr>
                      <w:rFonts w:hint="default" w:ascii="Times New Roman" w:hAnsi="Times New Roman" w:cs="Times New Roman"/>
                      <w:color w:val="auto"/>
                      <w:sz w:val="21"/>
                      <w:szCs w:val="21"/>
                      <w:lang w:val="en-US" w:eastAsia="zh-CN"/>
                    </w:rPr>
                    <w:t>等，按照简单防渗要求进行防渗。</w:t>
                  </w:r>
                  <w:r>
                    <w:rPr>
                      <w:rFonts w:hint="eastAsia" w:ascii="Times New Roman" w:hAnsi="Times New Roman" w:cs="Times New Roman"/>
                      <w:color w:val="auto"/>
                      <w:sz w:val="21"/>
                      <w:szCs w:val="21"/>
                      <w:lang w:val="en-US" w:eastAsia="zh-CN"/>
                    </w:rPr>
                    <w:t>材料房、临时环保厕所按一般防渗区要求进行防渗。钻井液材料房</w:t>
                  </w:r>
                  <w:r>
                    <w:rPr>
                      <w:rFonts w:hint="default" w:ascii="Times New Roman" w:hAnsi="Times New Roman" w:cs="Times New Roman"/>
                      <w:color w:val="auto"/>
                      <w:sz w:val="21"/>
                      <w:szCs w:val="21"/>
                      <w:lang w:val="en-US" w:eastAsia="zh-CN"/>
                    </w:rPr>
                    <w:t>，存放探头等钻井生产工具，按照重点防渗区要求进行防渗处理，使用土堆成简易围堰，整体铺设相应厚度的HDPE材料，可有效防止污染物入渗。</w:t>
                  </w:r>
                </w:p>
              </w:tc>
            </w:tr>
            <w:tr w14:paraId="4176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28B67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储运工程</w:t>
                  </w:r>
                </w:p>
              </w:tc>
              <w:tc>
                <w:tcPr>
                  <w:tcW w:w="1522" w:type="dxa"/>
                  <w:gridSpan w:val="2"/>
                  <w:vAlign w:val="center"/>
                </w:tcPr>
                <w:p w14:paraId="5EDB1A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储罐</w:t>
                  </w:r>
                </w:p>
              </w:tc>
              <w:tc>
                <w:tcPr>
                  <w:tcW w:w="6178" w:type="dxa"/>
                  <w:vAlign w:val="center"/>
                </w:tcPr>
                <w:p w14:paraId="1A3926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井场设置</w:t>
                  </w:r>
                  <w:r>
                    <w:rPr>
                      <w:rFonts w:hint="eastAsia" w:ascii="Times New Roman" w:hAnsi="Times New Roman" w:eastAsia="宋体"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个75m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洗井废水罐、3个75m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压裂返排液罐、</w:t>
                  </w:r>
                  <w:r>
                    <w:rPr>
                      <w:rFonts w:hint="eastAsia" w:ascii="Times New Roman" w:hAnsi="Times New Roman" w:eastAsia="宋体" w:cs="Times New Roman"/>
                      <w:b w:val="0"/>
                      <w:bCs w:val="0"/>
                      <w:color w:val="auto"/>
                      <w:sz w:val="21"/>
                      <w:szCs w:val="21"/>
                      <w:vertAlign w:val="baseline"/>
                      <w:lang w:val="en-US" w:eastAsia="zh-CN"/>
                    </w:rPr>
                    <w:t>7</w:t>
                  </w:r>
                  <w:r>
                    <w:rPr>
                      <w:rFonts w:hint="default" w:ascii="Times New Roman" w:hAnsi="Times New Roman" w:eastAsia="宋体" w:cs="Times New Roman"/>
                      <w:b w:val="0"/>
                      <w:bCs w:val="0"/>
                      <w:color w:val="auto"/>
                      <w:sz w:val="21"/>
                      <w:szCs w:val="21"/>
                      <w:vertAlign w:val="baseline"/>
                      <w:lang w:val="en-US" w:eastAsia="zh-CN"/>
                    </w:rPr>
                    <w:t>个</w:t>
                  </w:r>
                  <w:r>
                    <w:rPr>
                      <w:rFonts w:hint="eastAsia" w:ascii="Times New Roman" w:hAnsi="Times New Roman" w:eastAsia="宋体" w:cs="Times New Roman"/>
                      <w:b w:val="0"/>
                      <w:bCs w:val="0"/>
                      <w:color w:val="auto"/>
                      <w:sz w:val="21"/>
                      <w:szCs w:val="21"/>
                      <w:vertAlign w:val="baseline"/>
                      <w:lang w:val="en-US" w:eastAsia="zh-CN"/>
                    </w:rPr>
                    <w:t>50</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移动式泥饼收集罐</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储罐区按照重点防渗区要求进行防渗处理。</w:t>
                  </w:r>
                </w:p>
              </w:tc>
            </w:tr>
            <w:tr w14:paraId="732E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0A0B2C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公用工程</w:t>
                  </w:r>
                </w:p>
              </w:tc>
              <w:tc>
                <w:tcPr>
                  <w:tcW w:w="1522" w:type="dxa"/>
                  <w:gridSpan w:val="2"/>
                  <w:vAlign w:val="center"/>
                </w:tcPr>
                <w:p w14:paraId="075F3A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供水</w:t>
                  </w:r>
                </w:p>
              </w:tc>
              <w:tc>
                <w:tcPr>
                  <w:tcW w:w="6178" w:type="dxa"/>
                  <w:vAlign w:val="center"/>
                </w:tcPr>
                <w:p w14:paraId="77AB64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生产用水采用水罐车拉运至井场，生活用水采用桶装水</w:t>
                  </w:r>
                  <w:r>
                    <w:rPr>
                      <w:rFonts w:hint="eastAsia" w:ascii="Times New Roman" w:hAnsi="Times New Roman" w:eastAsia="宋体" w:cs="Times New Roman"/>
                      <w:b w:val="0"/>
                      <w:bCs w:val="0"/>
                      <w:color w:val="auto"/>
                      <w:sz w:val="21"/>
                      <w:szCs w:val="21"/>
                      <w:vertAlign w:val="baseline"/>
                      <w:lang w:val="en-US" w:eastAsia="zh-CN"/>
                    </w:rPr>
                    <w:t>。</w:t>
                  </w:r>
                </w:p>
              </w:tc>
            </w:tr>
            <w:tr w14:paraId="0F5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93B6D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42630C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供电</w:t>
                  </w:r>
                </w:p>
              </w:tc>
              <w:tc>
                <w:tcPr>
                  <w:tcW w:w="6178" w:type="dxa"/>
                  <w:vAlign w:val="center"/>
                </w:tcPr>
                <w:p w14:paraId="73D1AF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市政供电。</w:t>
                  </w:r>
                </w:p>
              </w:tc>
            </w:tr>
            <w:tr w14:paraId="31F4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55E5C1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restart"/>
                  <w:vAlign w:val="center"/>
                </w:tcPr>
                <w:p w14:paraId="73CF46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排水</w:t>
                  </w:r>
                </w:p>
              </w:tc>
              <w:tc>
                <w:tcPr>
                  <w:tcW w:w="1086" w:type="dxa"/>
                  <w:vAlign w:val="center"/>
                </w:tcPr>
                <w:p w14:paraId="5C5C4A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6178" w:type="dxa"/>
                  <w:vAlign w:val="center"/>
                </w:tcPr>
                <w:p w14:paraId="761786DE">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施工期生活污水均排入</w:t>
                  </w:r>
                  <w:r>
                    <w:rPr>
                      <w:rFonts w:hint="eastAsia" w:ascii="Times New Roman" w:hAnsi="Times New Roman" w:eastAsia="宋体" w:cs="Times New Roman"/>
                      <w:b w:val="0"/>
                      <w:bCs w:val="0"/>
                      <w:color w:val="auto"/>
                      <w:sz w:val="21"/>
                      <w:szCs w:val="21"/>
                      <w:vertAlign w:val="baseline"/>
                      <w:lang w:val="en-US" w:eastAsia="zh-CN"/>
                    </w:rPr>
                    <w:t>卫生旱厕</w:t>
                  </w:r>
                  <w:r>
                    <w:rPr>
                      <w:rFonts w:hint="default" w:ascii="Times New Roman" w:hAnsi="Times New Roman" w:eastAsia="宋体" w:cs="Times New Roman"/>
                      <w:b w:val="0"/>
                      <w:bCs w:val="0"/>
                      <w:color w:val="auto"/>
                      <w:sz w:val="21"/>
                      <w:szCs w:val="21"/>
                      <w:vertAlign w:val="baseline"/>
                      <w:lang w:val="en-US" w:eastAsia="zh-CN"/>
                    </w:rPr>
                    <w:t>，定期清掏用作农肥</w:t>
                  </w:r>
                  <w:r>
                    <w:rPr>
                      <w:rFonts w:hint="eastAsia" w:ascii="Times New Roman" w:hAnsi="Times New Roman" w:eastAsia="宋体" w:cs="Times New Roman"/>
                      <w:b w:val="0"/>
                      <w:bCs w:val="0"/>
                      <w:color w:val="auto"/>
                      <w:sz w:val="21"/>
                      <w:szCs w:val="21"/>
                      <w:vertAlign w:val="baseline"/>
                      <w:lang w:val="en-US" w:eastAsia="zh-CN"/>
                    </w:rPr>
                    <w:t>。</w:t>
                  </w:r>
                </w:p>
              </w:tc>
            </w:tr>
            <w:tr w14:paraId="0201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Merge w:val="continue"/>
                  <w:vAlign w:val="center"/>
                </w:tcPr>
                <w:p w14:paraId="2A8B04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436" w:type="dxa"/>
                  <w:vMerge w:val="continue"/>
                  <w:vAlign w:val="center"/>
                </w:tcPr>
                <w:p w14:paraId="782191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086" w:type="dxa"/>
                  <w:vAlign w:val="center"/>
                </w:tcPr>
                <w:p w14:paraId="327F50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w:t>
                  </w:r>
                </w:p>
              </w:tc>
              <w:tc>
                <w:tcPr>
                  <w:tcW w:w="6178" w:type="dxa"/>
                  <w:vAlign w:val="center"/>
                </w:tcPr>
                <w:p w14:paraId="63B7528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钻井废水经泥浆水循环系统处理</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7107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46A9E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0007F7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4C97F8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w:t>
                  </w:r>
                </w:p>
              </w:tc>
              <w:tc>
                <w:tcPr>
                  <w:tcW w:w="6178" w:type="dxa"/>
                  <w:vAlign w:val="center"/>
                </w:tcPr>
                <w:p w14:paraId="5FF8C06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洗井废水临时暂存于洗井废水罐，</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5433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45315E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1F4AAA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42C608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压裂返排液</w:t>
                  </w:r>
                </w:p>
              </w:tc>
              <w:tc>
                <w:tcPr>
                  <w:tcW w:w="6178" w:type="dxa"/>
                  <w:vAlign w:val="center"/>
                </w:tcPr>
                <w:p w14:paraId="1224A14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临时收集贮存于专用收集罐，</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1A59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2BB015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436" w:type="dxa"/>
                  <w:vMerge w:val="restart"/>
                  <w:vAlign w:val="center"/>
                </w:tcPr>
                <w:p w14:paraId="2F60B2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w:t>
                  </w:r>
                </w:p>
              </w:tc>
              <w:tc>
                <w:tcPr>
                  <w:tcW w:w="1086" w:type="dxa"/>
                  <w:vAlign w:val="center"/>
                </w:tcPr>
                <w:p w14:paraId="667579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施工扬尘</w:t>
                  </w:r>
                </w:p>
              </w:tc>
              <w:tc>
                <w:tcPr>
                  <w:tcW w:w="6178" w:type="dxa"/>
                  <w:vAlign w:val="center"/>
                </w:tcPr>
                <w:p w14:paraId="156CD6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井场设置施工围挡，洒水抑尘，表土及建材堆放设置挡板并采用篷布遮盖，施工运输车辆采用密闭措施</w:t>
                  </w:r>
                  <w:r>
                    <w:rPr>
                      <w:rFonts w:hint="eastAsia" w:ascii="Times New Roman" w:hAnsi="Times New Roman" w:eastAsia="宋体" w:cs="Times New Roman"/>
                      <w:b w:val="0"/>
                      <w:bCs w:val="0"/>
                      <w:color w:val="auto"/>
                      <w:sz w:val="21"/>
                      <w:szCs w:val="21"/>
                      <w:vertAlign w:val="baseline"/>
                      <w:lang w:val="en-US" w:eastAsia="zh-CN"/>
                    </w:rPr>
                    <w:t>。</w:t>
                  </w:r>
                </w:p>
              </w:tc>
            </w:tr>
            <w:tr w14:paraId="0BBC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935D1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6AB76C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249552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测试废气</w:t>
                  </w:r>
                </w:p>
              </w:tc>
              <w:tc>
                <w:tcPr>
                  <w:tcW w:w="6178" w:type="dxa"/>
                  <w:vAlign w:val="center"/>
                </w:tcPr>
                <w:p w14:paraId="7A597D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井场</w:t>
                  </w:r>
                  <w:r>
                    <w:rPr>
                      <w:rFonts w:hint="default" w:ascii="Times New Roman" w:hAnsi="Times New Roman" w:eastAsia="宋体" w:cs="Times New Roman"/>
                      <w:b w:val="0"/>
                      <w:bCs w:val="0"/>
                      <w:color w:val="auto"/>
                      <w:sz w:val="21"/>
                      <w:szCs w:val="21"/>
                      <w:highlight w:val="none"/>
                      <w:vertAlign w:val="baseline"/>
                      <w:lang w:val="en-US" w:eastAsia="zh-CN"/>
                    </w:rPr>
                    <w:t>设置</w:t>
                  </w:r>
                  <w:r>
                    <w:rPr>
                      <w:rFonts w:hint="eastAsia" w:ascii="Times New Roman" w:hAnsi="Times New Roman" w:eastAsia="宋体" w:cs="Times New Roman"/>
                      <w:b w:val="0"/>
                      <w:bCs w:val="0"/>
                      <w:color w:val="auto"/>
                      <w:sz w:val="21"/>
                      <w:szCs w:val="21"/>
                      <w:highlight w:val="none"/>
                      <w:vertAlign w:val="baseline"/>
                      <w:lang w:val="en-US" w:eastAsia="zh-CN"/>
                    </w:rPr>
                    <w:t>放喷池1</w:t>
                  </w:r>
                  <w:r>
                    <w:rPr>
                      <w:rFonts w:hint="default" w:ascii="Times New Roman" w:hAnsi="Times New Roman" w:eastAsia="宋体" w:cs="Times New Roman"/>
                      <w:b w:val="0"/>
                      <w:bCs w:val="0"/>
                      <w:color w:val="auto"/>
                      <w:sz w:val="21"/>
                      <w:szCs w:val="21"/>
                      <w:highlight w:val="none"/>
                      <w:vertAlign w:val="baseline"/>
                      <w:lang w:val="en-US" w:eastAsia="zh-CN"/>
                    </w:rPr>
                    <w:t>座，测试放喷及事故放喷的天然气经专用放喷管线引至</w:t>
                  </w:r>
                  <w:r>
                    <w:rPr>
                      <w:rFonts w:hint="eastAsia" w:ascii="Times New Roman" w:hAnsi="Times New Roman" w:eastAsia="宋体" w:cs="Times New Roman"/>
                      <w:b w:val="0"/>
                      <w:bCs w:val="0"/>
                      <w:color w:val="auto"/>
                      <w:sz w:val="21"/>
                      <w:szCs w:val="21"/>
                      <w:highlight w:val="none"/>
                      <w:vertAlign w:val="baseline"/>
                      <w:lang w:val="en-US" w:eastAsia="zh-CN"/>
                    </w:rPr>
                    <w:t>放喷池</w:t>
                  </w:r>
                  <w:r>
                    <w:rPr>
                      <w:rFonts w:hint="default" w:ascii="Times New Roman" w:hAnsi="Times New Roman" w:eastAsia="宋体" w:cs="Times New Roman"/>
                      <w:b w:val="0"/>
                      <w:bCs w:val="0"/>
                      <w:color w:val="auto"/>
                      <w:sz w:val="21"/>
                      <w:szCs w:val="21"/>
                      <w:highlight w:val="none"/>
                      <w:vertAlign w:val="baseline"/>
                      <w:lang w:val="en-US" w:eastAsia="zh-CN"/>
                    </w:rPr>
                    <w:t>后，</w:t>
                  </w:r>
                  <w:r>
                    <w:rPr>
                      <w:rFonts w:hint="eastAsia" w:ascii="Times New Roman" w:hAnsi="Times New Roman" w:eastAsia="宋体" w:cs="Times New Roman"/>
                      <w:b w:val="0"/>
                      <w:bCs w:val="0"/>
                      <w:color w:val="auto"/>
                      <w:sz w:val="21"/>
                      <w:szCs w:val="21"/>
                      <w:highlight w:val="none"/>
                      <w:vertAlign w:val="baseline"/>
                      <w:lang w:val="en-US" w:eastAsia="zh-CN"/>
                    </w:rPr>
                    <w:t>燃烧排放</w:t>
                  </w:r>
                  <w:r>
                    <w:rPr>
                      <w:rFonts w:hint="default" w:ascii="Times New Roman" w:hAnsi="Times New Roman" w:eastAsia="宋体" w:cs="Times New Roman"/>
                      <w:b w:val="0"/>
                      <w:bCs w:val="0"/>
                      <w:color w:val="auto"/>
                      <w:sz w:val="21"/>
                      <w:szCs w:val="21"/>
                      <w:highlight w:val="none"/>
                      <w:vertAlign w:val="baseline"/>
                      <w:lang w:val="en-US" w:eastAsia="zh-CN"/>
                    </w:rPr>
                    <w:t>。</w:t>
                  </w:r>
                </w:p>
              </w:tc>
            </w:tr>
            <w:tr w14:paraId="18AA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B39CE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restart"/>
                  <w:vAlign w:val="center"/>
                </w:tcPr>
                <w:p w14:paraId="0893EA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w:t>
                  </w:r>
                </w:p>
              </w:tc>
              <w:tc>
                <w:tcPr>
                  <w:tcW w:w="1086" w:type="dxa"/>
                  <w:vAlign w:val="center"/>
                </w:tcPr>
                <w:p w14:paraId="42B42E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w:t>
                  </w:r>
                </w:p>
              </w:tc>
              <w:tc>
                <w:tcPr>
                  <w:tcW w:w="6178" w:type="dxa"/>
                  <w:vAlign w:val="center"/>
                </w:tcPr>
                <w:p w14:paraId="5BF5EA38">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钻井废水经泥浆水循环系统处理后优先作为钻井液配水回用，钻井结束后，不能回用的钻井废水委托陕西榆佳环保科技有限公司外运处理。</w:t>
                  </w:r>
                </w:p>
              </w:tc>
            </w:tr>
            <w:tr w14:paraId="714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700F6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092C17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639ECB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w:t>
                  </w:r>
                </w:p>
              </w:tc>
              <w:tc>
                <w:tcPr>
                  <w:tcW w:w="6178" w:type="dxa"/>
                  <w:vAlign w:val="center"/>
                </w:tcPr>
                <w:p w14:paraId="5D2E0856">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井场设有</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个75m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洗井废水储罐，施工产生的洗井废水临时收集贮存于洗井废水储罐中，委托</w:t>
                  </w:r>
                  <w:r>
                    <w:rPr>
                      <w:rFonts w:hint="eastAsia" w:cs="Times New Roman"/>
                      <w:color w:val="auto"/>
                      <w:sz w:val="21"/>
                      <w:szCs w:val="21"/>
                      <w:highlight w:val="none"/>
                      <w:lang w:val="en-US" w:eastAsia="zh-CN"/>
                    </w:rPr>
                    <w:t>陕西榆佳环保科技有限公司外运处理。</w:t>
                  </w:r>
                </w:p>
              </w:tc>
            </w:tr>
            <w:tr w14:paraId="0049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690" w:type="dxa"/>
                  <w:vMerge w:val="continue"/>
                  <w:vAlign w:val="center"/>
                </w:tcPr>
                <w:p w14:paraId="0DC723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2A4307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23DC09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压裂返排液</w:t>
                  </w:r>
                </w:p>
              </w:tc>
              <w:tc>
                <w:tcPr>
                  <w:tcW w:w="6178" w:type="dxa"/>
                  <w:vAlign w:val="center"/>
                </w:tcPr>
                <w:p w14:paraId="5F5DD68B">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井场设有3个75m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压裂返排液储罐，施工产生的压裂返排液临时收集贮存于压裂返排液储罐中，委托</w:t>
                  </w:r>
                  <w:r>
                    <w:rPr>
                      <w:rFonts w:hint="eastAsia" w:cs="Times New Roman"/>
                      <w:color w:val="auto"/>
                      <w:sz w:val="21"/>
                      <w:szCs w:val="21"/>
                      <w:lang w:val="en-US" w:eastAsia="zh-CN"/>
                    </w:rPr>
                    <w:t>陕西榆佳环保科技有限公司外运处理</w:t>
                  </w:r>
                  <w:r>
                    <w:rPr>
                      <w:rFonts w:hint="default" w:ascii="Times New Roman" w:hAnsi="Times New Roman" w:cs="Times New Roman"/>
                      <w:color w:val="auto"/>
                      <w:sz w:val="21"/>
                      <w:szCs w:val="21"/>
                      <w:lang w:val="en-US" w:eastAsia="zh-CN"/>
                    </w:rPr>
                    <w:t>。</w:t>
                  </w:r>
                </w:p>
              </w:tc>
            </w:tr>
            <w:tr w14:paraId="15B8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9097F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0AFBD4A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757D89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放喷废水</w:t>
                  </w:r>
                </w:p>
              </w:tc>
              <w:tc>
                <w:tcPr>
                  <w:tcW w:w="6178" w:type="dxa"/>
                  <w:vAlign w:val="center"/>
                </w:tcPr>
                <w:p w14:paraId="78FAEEC1">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eastAsia" w:cs="Times New Roman"/>
                      <w:b w:val="0"/>
                      <w:bCs w:val="0"/>
                      <w:color w:val="auto"/>
                      <w:sz w:val="21"/>
                      <w:szCs w:val="21"/>
                      <w:vertAlign w:val="baseline"/>
                      <w:lang w:val="en-US" w:eastAsia="zh-CN"/>
                    </w:rPr>
                  </w:pPr>
                  <w:r>
                    <w:rPr>
                      <w:rFonts w:hint="eastAsia"/>
                      <w:color w:val="auto"/>
                      <w:sz w:val="21"/>
                      <w:szCs w:val="21"/>
                      <w:highlight w:val="none"/>
                      <w:lang w:val="en-US" w:eastAsia="zh-CN"/>
                    </w:rPr>
                    <w:t>收集至井场内放喷池暂存，</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3B63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7A5C62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0C32BE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0F96AB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6178" w:type="dxa"/>
                  <w:vAlign w:val="center"/>
                </w:tcPr>
                <w:p w14:paraId="2D1B3172">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由卫生旱厕收集后由用于周边农田施肥。</w:t>
                  </w:r>
                </w:p>
              </w:tc>
            </w:tr>
            <w:tr w14:paraId="327A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90" w:type="dxa"/>
                  <w:vMerge w:val="continue"/>
                  <w:vAlign w:val="center"/>
                </w:tcPr>
                <w:p w14:paraId="69D225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restart"/>
                  <w:vAlign w:val="center"/>
                </w:tcPr>
                <w:p w14:paraId="3EBD5B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w:t>
                  </w:r>
                </w:p>
              </w:tc>
              <w:tc>
                <w:tcPr>
                  <w:tcW w:w="6178" w:type="dxa"/>
                  <w:vAlign w:val="center"/>
                </w:tcPr>
                <w:p w14:paraId="1F355DEC">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移动式收集罐、废水罐、压裂返排液罐</w:t>
                  </w:r>
                  <w:r>
                    <w:rPr>
                      <w:rFonts w:hint="default" w:ascii="Times New Roman" w:hAnsi="Times New Roman" w:eastAsia="宋体" w:cs="Times New Roman"/>
                      <w:b w:val="0"/>
                      <w:bCs w:val="0"/>
                      <w:color w:val="auto"/>
                      <w:sz w:val="21"/>
                      <w:szCs w:val="21"/>
                      <w:vertAlign w:val="baseline"/>
                      <w:lang w:val="en-US" w:eastAsia="zh-CN"/>
                    </w:rPr>
                    <w:t>均置于围堰内进行防渗；罐区使用前底部及墙体内侧铺设相应厚度的HDPE材料</w:t>
                  </w:r>
                  <w:r>
                    <w:rPr>
                      <w:rFonts w:hint="default" w:ascii="Times New Roman" w:hAnsi="Times New Roman" w:cs="Times New Roman"/>
                      <w:b w:val="0"/>
                      <w:bCs w:val="0"/>
                      <w:color w:val="auto"/>
                      <w:sz w:val="21"/>
                      <w:szCs w:val="21"/>
                      <w:highlight w:val="none"/>
                    </w:rPr>
                    <w:t>（HDPE膜，不低于2mm厚）</w:t>
                  </w:r>
                  <w:r>
                    <w:rPr>
                      <w:rFonts w:hint="default" w:ascii="Times New Roman" w:hAnsi="Times New Roman" w:eastAsia="宋体" w:cs="Times New Roman"/>
                      <w:b w:val="0"/>
                      <w:bCs w:val="0"/>
                      <w:color w:val="auto"/>
                      <w:sz w:val="21"/>
                      <w:szCs w:val="21"/>
                      <w:vertAlign w:val="baseline"/>
                      <w:lang w:val="en-US" w:eastAsia="zh-CN"/>
                    </w:rPr>
                    <w:t>，使渗透系数≤10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cm/s，HDPE膜敷设面积应适当扩大，覆盖围堰区外延1.0m范围。</w:t>
                  </w:r>
                </w:p>
              </w:tc>
            </w:tr>
            <w:tr w14:paraId="091B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90" w:type="dxa"/>
                  <w:vMerge w:val="continue"/>
                  <w:vAlign w:val="center"/>
                </w:tcPr>
                <w:p w14:paraId="1119F1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5C5C47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shd w:val="clear" w:color="auto" w:fill="auto"/>
                  <w:vAlign w:val="center"/>
                </w:tcPr>
                <w:p w14:paraId="0CCC17AC">
                  <w:pPr>
                    <w:keepNext w:val="0"/>
                    <w:keepLines w:val="0"/>
                    <w:widowControl/>
                    <w:suppressLineNumbers w:val="0"/>
                    <w:jc w:val="both"/>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放喷池防渗措施：池底填筑一定厚度的土壤后压实，池底及四周铺设复合防水卷材作防渗漏处理，防水卷材搭接长度不小于300mm，等效黏土防渗层Mb≥6.0m，K≤1×10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w:t>
                  </w:r>
                  <w:r>
                    <w:rPr>
                      <w:rFonts w:hint="eastAsia" w:ascii="Times New Roman" w:hAnsi="Times New Roman" w:eastAsia="宋体" w:cs="Times New Roman"/>
                      <w:b w:val="0"/>
                      <w:bCs w:val="0"/>
                      <w:color w:val="auto"/>
                      <w:sz w:val="21"/>
                      <w:szCs w:val="21"/>
                      <w:vertAlign w:val="baseline"/>
                      <w:lang w:val="en-US" w:eastAsia="zh-CN"/>
                    </w:rPr>
                    <w:t>。</w:t>
                  </w:r>
                </w:p>
              </w:tc>
            </w:tr>
            <w:tr w14:paraId="3EE7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3AE7E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7F8A18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104B5F53">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危废贮存库</w:t>
                  </w:r>
                  <w:r>
                    <w:rPr>
                      <w:rFonts w:hint="default" w:ascii="Times New Roman" w:hAnsi="Times New Roman" w:eastAsia="宋体" w:cs="Times New Roman"/>
                      <w:b w:val="0"/>
                      <w:bCs w:val="0"/>
                      <w:color w:val="auto"/>
                      <w:sz w:val="21"/>
                      <w:szCs w:val="21"/>
                      <w:vertAlign w:val="baseline"/>
                      <w:lang w:val="en-US" w:eastAsia="zh-CN"/>
                    </w:rPr>
                    <w:t>防渗措施：采用撬装式</w:t>
                  </w:r>
                  <w:r>
                    <w:rPr>
                      <w:rFonts w:hint="eastAsia" w:ascii="Times New Roman" w:hAnsi="Times New Roman" w:eastAsia="宋体" w:cs="Times New Roman"/>
                      <w:b w:val="0"/>
                      <w:bCs w:val="0"/>
                      <w:color w:val="auto"/>
                      <w:sz w:val="21"/>
                      <w:szCs w:val="21"/>
                      <w:vertAlign w:val="baseline"/>
                      <w:lang w:val="en-US" w:eastAsia="zh-CN"/>
                    </w:rPr>
                    <w:t>危废贮存库</w:t>
                  </w:r>
                  <w:r>
                    <w:rPr>
                      <w:rFonts w:hint="default" w:ascii="Times New Roman" w:hAnsi="Times New Roman" w:eastAsia="宋体" w:cs="Times New Roman"/>
                      <w:b w:val="0"/>
                      <w:bCs w:val="0"/>
                      <w:color w:val="auto"/>
                      <w:sz w:val="21"/>
                      <w:szCs w:val="21"/>
                      <w:vertAlign w:val="baseline"/>
                      <w:lang w:val="en-US" w:eastAsia="zh-CN"/>
                    </w:rPr>
                    <w:t>，防渗同时可满足《危险废物贮存污染控制标准》（GB18597-2023）相关要求，防渗层渗透系数小于1×10</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vertAlign w:val="baseline"/>
                      <w:lang w:val="en-US" w:eastAsia="zh-CN"/>
                    </w:rPr>
                    <w:t>cm/s</w:t>
                  </w:r>
                  <w:r>
                    <w:rPr>
                      <w:rFonts w:hint="eastAsia" w:ascii="Times New Roman" w:hAnsi="Times New Roman" w:eastAsia="宋体" w:cs="Times New Roman"/>
                      <w:b w:val="0"/>
                      <w:bCs w:val="0"/>
                      <w:color w:val="auto"/>
                      <w:sz w:val="21"/>
                      <w:szCs w:val="21"/>
                      <w:vertAlign w:val="baseline"/>
                      <w:lang w:val="en-US" w:eastAsia="zh-CN"/>
                    </w:rPr>
                    <w:t>。</w:t>
                  </w:r>
                </w:p>
              </w:tc>
            </w:tr>
            <w:tr w14:paraId="022F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712E5D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restart"/>
                  <w:vAlign w:val="center"/>
                </w:tcPr>
                <w:p w14:paraId="76808D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固体废物</w:t>
                  </w:r>
                </w:p>
              </w:tc>
              <w:tc>
                <w:tcPr>
                  <w:tcW w:w="6178" w:type="dxa"/>
                  <w:vAlign w:val="center"/>
                </w:tcPr>
                <w:p w14:paraId="140969CB">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泥饼</w:t>
                  </w:r>
                  <w:r>
                    <w:rPr>
                      <w:rFonts w:hint="default" w:ascii="Times New Roman" w:hAnsi="Times New Roman" w:eastAsia="宋体" w:cs="Times New Roman"/>
                      <w:b w:val="0"/>
                      <w:bCs w:val="0"/>
                      <w:color w:val="auto"/>
                      <w:sz w:val="21"/>
                      <w:szCs w:val="21"/>
                      <w:vertAlign w:val="baseline"/>
                      <w:lang w:val="en-US" w:eastAsia="zh-CN"/>
                    </w:rPr>
                    <w:t>、钻井岩屑：分别暂存于移动式收集罐内，施工结束后委托</w:t>
                  </w:r>
                  <w:r>
                    <w:rPr>
                      <w:rFonts w:hint="eastAsia" w:ascii="Times New Roman" w:hAnsi="Times New Roman" w:eastAsia="宋体" w:cs="Times New Roman"/>
                      <w:b w:val="0"/>
                      <w:bCs w:val="0"/>
                      <w:color w:val="auto"/>
                      <w:sz w:val="21"/>
                      <w:szCs w:val="21"/>
                      <w:vertAlign w:val="baseline"/>
                      <w:lang w:val="en-US" w:eastAsia="zh-CN"/>
                    </w:rPr>
                    <w:t>陕西德禾鑫盛环保科技有限公司</w:t>
                  </w:r>
                  <w:r>
                    <w:rPr>
                      <w:rFonts w:hint="default" w:ascii="Times New Roman" w:hAnsi="Times New Roman" w:eastAsia="宋体" w:cs="Times New Roman"/>
                      <w:b w:val="0"/>
                      <w:bCs w:val="0"/>
                      <w:color w:val="auto"/>
                      <w:sz w:val="21"/>
                      <w:szCs w:val="21"/>
                      <w:vertAlign w:val="baseline"/>
                      <w:lang w:val="en-US" w:eastAsia="zh-CN"/>
                    </w:rPr>
                    <w:t>外运处理。有</w:t>
                  </w:r>
                  <w:r>
                    <w:rPr>
                      <w:rFonts w:hint="eastAsia" w:ascii="Times New Roman" w:hAnsi="Times New Roman" w:eastAsia="宋体" w:cs="Times New Roman"/>
                      <w:b w:val="0"/>
                      <w:bCs w:val="0"/>
                      <w:color w:val="auto"/>
                      <w:sz w:val="21"/>
                      <w:szCs w:val="21"/>
                      <w:vertAlign w:val="baseline"/>
                      <w:lang w:val="en-US" w:eastAsia="zh-CN"/>
                    </w:rPr>
                    <w:t>能力</w:t>
                  </w:r>
                  <w:r>
                    <w:rPr>
                      <w:rFonts w:hint="default" w:ascii="Times New Roman" w:hAnsi="Times New Roman" w:eastAsia="宋体" w:cs="Times New Roman"/>
                      <w:b w:val="0"/>
                      <w:bCs w:val="0"/>
                      <w:color w:val="auto"/>
                      <w:sz w:val="21"/>
                      <w:szCs w:val="21"/>
                      <w:vertAlign w:val="baseline"/>
                      <w:lang w:val="en-US" w:eastAsia="zh-CN"/>
                    </w:rPr>
                    <w:t>单位由防渗漏、防抛洒、防扬尘的运输车辆统一外运处置。</w:t>
                  </w:r>
                </w:p>
              </w:tc>
            </w:tr>
            <w:tr w14:paraId="5852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04CE7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20EB73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09A7D5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废机油：暂存于</w:t>
                  </w:r>
                  <w:r>
                    <w:rPr>
                      <w:rFonts w:hint="eastAsia" w:ascii="Times New Roman" w:hAnsi="Times New Roman" w:eastAsia="宋体" w:cs="Times New Roman"/>
                      <w:b w:val="0"/>
                      <w:bCs w:val="0"/>
                      <w:color w:val="auto"/>
                      <w:sz w:val="21"/>
                      <w:szCs w:val="21"/>
                      <w:vertAlign w:val="baseline"/>
                      <w:lang w:val="en-US" w:eastAsia="zh-CN"/>
                    </w:rPr>
                    <w:t>撬装式危废贮存库</w:t>
                  </w:r>
                  <w:r>
                    <w:rPr>
                      <w:rFonts w:hint="default" w:ascii="Times New Roman" w:hAnsi="Times New Roman" w:eastAsia="宋体" w:cs="Times New Roman"/>
                      <w:b w:val="0"/>
                      <w:bCs w:val="0"/>
                      <w:color w:val="auto"/>
                      <w:sz w:val="21"/>
                      <w:szCs w:val="21"/>
                      <w:vertAlign w:val="baseline"/>
                      <w:lang w:val="en-US" w:eastAsia="zh-CN"/>
                    </w:rPr>
                    <w:t>，委托有资质单位进行处置。</w:t>
                  </w:r>
                </w:p>
              </w:tc>
            </w:tr>
            <w:tr w14:paraId="2D1A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0818B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2601CB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4770B2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废包装袋、废弃防渗膜：废包装袋（除烧碱外的废包装袋）与未沾染危险废物的废防渗膜集中收集后交由物资回收公司进行回收再利用；氢氧化钠包装袋与沾染危险废物的废防渗膜，属于危险废物，暂存于</w:t>
                  </w:r>
                  <w:r>
                    <w:rPr>
                      <w:rFonts w:hint="eastAsia" w:ascii="Times New Roman" w:hAnsi="Times New Roman" w:eastAsia="宋体" w:cs="Times New Roman"/>
                      <w:b w:val="0"/>
                      <w:bCs w:val="0"/>
                      <w:color w:val="auto"/>
                      <w:sz w:val="21"/>
                      <w:szCs w:val="21"/>
                      <w:vertAlign w:val="baseline"/>
                      <w:lang w:val="en-US" w:eastAsia="zh-CN"/>
                    </w:rPr>
                    <w:t>撬装式危废贮存库</w:t>
                  </w:r>
                  <w:r>
                    <w:rPr>
                      <w:rFonts w:hint="default" w:ascii="Times New Roman" w:hAnsi="Times New Roman" w:eastAsia="宋体" w:cs="Times New Roman"/>
                      <w:b w:val="0"/>
                      <w:bCs w:val="0"/>
                      <w:color w:val="auto"/>
                      <w:sz w:val="21"/>
                      <w:szCs w:val="21"/>
                      <w:vertAlign w:val="baseline"/>
                      <w:lang w:val="en-US" w:eastAsia="zh-CN"/>
                    </w:rPr>
                    <w:t>，交由有资质单位回收处置。</w:t>
                  </w:r>
                </w:p>
              </w:tc>
            </w:tr>
            <w:tr w14:paraId="09D0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E01B7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104F99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015904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生活垃圾：经垃圾桶收集后定期交佳县环卫部门处理。</w:t>
                  </w:r>
                </w:p>
              </w:tc>
            </w:tr>
            <w:tr w14:paraId="6AAF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46A0C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0A3586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vAlign w:val="center"/>
                </w:tcPr>
                <w:p w14:paraId="3136BF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岩芯：取出的岩芯首选用于产气量、气密性等的研究，废弃岩芯交陕西德禾鑫盛环保科技有限公司</w:t>
                  </w:r>
                  <w:r>
                    <w:rPr>
                      <w:rFonts w:hint="default" w:ascii="Times New Roman" w:hAnsi="Times New Roman" w:eastAsia="宋体" w:cs="Times New Roman"/>
                      <w:b w:val="0"/>
                      <w:bCs w:val="0"/>
                      <w:color w:val="auto"/>
                      <w:sz w:val="21"/>
                      <w:szCs w:val="21"/>
                      <w:vertAlign w:val="baseline"/>
                      <w:lang w:val="en-US" w:eastAsia="zh-CN"/>
                    </w:rPr>
                    <w:t>外运处理</w:t>
                  </w:r>
                  <w:r>
                    <w:rPr>
                      <w:rFonts w:hint="eastAsia" w:ascii="Times New Roman" w:hAnsi="Times New Roman" w:eastAsia="宋体" w:cs="Times New Roman"/>
                      <w:b w:val="0"/>
                      <w:bCs w:val="0"/>
                      <w:color w:val="auto"/>
                      <w:sz w:val="21"/>
                      <w:szCs w:val="21"/>
                      <w:vertAlign w:val="baseline"/>
                      <w:lang w:val="en-US" w:eastAsia="zh-CN"/>
                    </w:rPr>
                    <w:t>。</w:t>
                  </w:r>
                </w:p>
              </w:tc>
            </w:tr>
            <w:tr w14:paraId="24E9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690" w:type="dxa"/>
                  <w:vMerge w:val="continue"/>
                  <w:vAlign w:val="center"/>
                </w:tcPr>
                <w:p w14:paraId="60AD09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248CD5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噪声</w:t>
                  </w:r>
                </w:p>
              </w:tc>
              <w:tc>
                <w:tcPr>
                  <w:tcW w:w="6178" w:type="dxa"/>
                  <w:vAlign w:val="center"/>
                </w:tcPr>
                <w:p w14:paraId="08030D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泥浆泵加衬弹性垫料，管理和作业过程中平稳操作，避免特种作业时产生非正常噪声</w:t>
                  </w:r>
                  <w:r>
                    <w:rPr>
                      <w:rFonts w:hint="eastAsia" w:ascii="Times New Roman" w:hAnsi="Times New Roman" w:eastAsia="宋体" w:cs="Times New Roman"/>
                      <w:b w:val="0"/>
                      <w:bCs w:val="0"/>
                      <w:color w:val="auto"/>
                      <w:sz w:val="21"/>
                      <w:szCs w:val="21"/>
                      <w:vertAlign w:val="baseline"/>
                      <w:lang w:val="en-US" w:eastAsia="zh-CN"/>
                    </w:rPr>
                    <w:t>。</w:t>
                  </w:r>
                </w:p>
              </w:tc>
            </w:tr>
            <w:tr w14:paraId="6AD5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4A415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33D3B0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w:t>
                  </w:r>
                </w:p>
              </w:tc>
              <w:tc>
                <w:tcPr>
                  <w:tcW w:w="6178" w:type="dxa"/>
                  <w:vAlign w:val="center"/>
                </w:tcPr>
                <w:p w14:paraId="0424AE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对临时占用土地进行表土留存，分层回填，整平翻松，恢复植被</w:t>
                  </w:r>
                  <w:r>
                    <w:rPr>
                      <w:rFonts w:hint="eastAsia" w:ascii="Times New Roman" w:hAnsi="Times New Roman" w:eastAsia="宋体" w:cs="Times New Roman"/>
                      <w:b w:val="0"/>
                      <w:bCs w:val="0"/>
                      <w:color w:val="auto"/>
                      <w:sz w:val="21"/>
                      <w:szCs w:val="21"/>
                      <w:vertAlign w:val="baseline"/>
                      <w:lang w:val="en-US" w:eastAsia="zh-CN"/>
                    </w:rPr>
                    <w:t>。</w:t>
                  </w:r>
                </w:p>
              </w:tc>
            </w:tr>
            <w:tr w14:paraId="0F48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90" w:type="dxa"/>
                  <w:vMerge w:val="restart"/>
                  <w:vAlign w:val="center"/>
                </w:tcPr>
                <w:p w14:paraId="7DB19A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依托工程</w:t>
                  </w:r>
                </w:p>
              </w:tc>
              <w:tc>
                <w:tcPr>
                  <w:tcW w:w="1522" w:type="dxa"/>
                  <w:gridSpan w:val="2"/>
                  <w:vAlign w:val="center"/>
                </w:tcPr>
                <w:p w14:paraId="01DAA8B2">
                  <w:pPr>
                    <w:pStyle w:val="2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lang w:val="en-US" w:eastAsia="zh-CN"/>
                    </w:rPr>
                    <w:t>陕西榆佳环保科技有限公司</w:t>
                  </w:r>
                </w:p>
              </w:tc>
              <w:tc>
                <w:tcPr>
                  <w:tcW w:w="6178" w:type="dxa"/>
                  <w:vAlign w:val="center"/>
                </w:tcPr>
                <w:p w14:paraId="423E5CDC">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lang w:val="en-US" w:eastAsia="zh-CN"/>
                    </w:rPr>
                    <w:t>陕西榆佳环保科技有限公司</w:t>
                  </w:r>
                  <w:r>
                    <w:rPr>
                      <w:rFonts w:hint="default" w:ascii="Times New Roman" w:hAnsi="Times New Roman" w:cs="Times New Roman"/>
                      <w:color w:val="auto"/>
                      <w:sz w:val="21"/>
                      <w:szCs w:val="21"/>
                      <w:lang w:val="en-US" w:eastAsia="zh-CN"/>
                    </w:rPr>
                    <w:t>位于榆林市</w:t>
                  </w:r>
                  <w:r>
                    <w:rPr>
                      <w:rFonts w:hint="eastAsia" w:cs="Times New Roman"/>
                      <w:color w:val="auto"/>
                      <w:sz w:val="21"/>
                      <w:szCs w:val="21"/>
                      <w:lang w:val="en-US" w:eastAsia="zh-CN"/>
                    </w:rPr>
                    <w:t>佳县王家砭镇榆佳经济技术开发区</w:t>
                  </w:r>
                  <w:r>
                    <w:rPr>
                      <w:rFonts w:hint="default" w:ascii="Times New Roman" w:hAnsi="Times New Roman" w:cs="Times New Roman"/>
                      <w:color w:val="auto"/>
                      <w:sz w:val="21"/>
                      <w:szCs w:val="21"/>
                      <w:lang w:val="en-US" w:eastAsia="zh-CN"/>
                    </w:rPr>
                    <w:t>，主要</w:t>
                  </w:r>
                  <w:r>
                    <w:rPr>
                      <w:rFonts w:hint="eastAsia" w:cs="Times New Roman"/>
                      <w:color w:val="auto"/>
                      <w:sz w:val="21"/>
                      <w:szCs w:val="21"/>
                      <w:lang w:val="en-US" w:eastAsia="zh-CN"/>
                    </w:rPr>
                    <w:t>处理佳县及周边气田开采过程产生的泥浆压滤液和压裂</w:t>
                  </w:r>
                  <w:r>
                    <w:rPr>
                      <w:rFonts w:hint="eastAsia" w:cs="Times New Roman"/>
                      <w:color w:val="auto"/>
                      <w:sz w:val="21"/>
                      <w:szCs w:val="21"/>
                      <w:highlight w:val="none"/>
                      <w:lang w:val="en-US" w:eastAsia="zh-CN"/>
                    </w:rPr>
                    <w:t>返排液。</w:t>
                  </w:r>
                  <w:r>
                    <w:rPr>
                      <w:rFonts w:hint="default" w:ascii="Times New Roman" w:hAnsi="Times New Roman" w:cs="Times New Roman"/>
                      <w:color w:val="auto"/>
                      <w:sz w:val="21"/>
                      <w:szCs w:val="21"/>
                      <w:highlight w:val="none"/>
                      <w:lang w:val="en-US" w:eastAsia="zh-CN"/>
                    </w:rPr>
                    <w:t>项目采用“</w:t>
                  </w:r>
                  <w:r>
                    <w:rPr>
                      <w:rFonts w:hint="eastAsia" w:cs="Times New Roman"/>
                      <w:color w:val="auto"/>
                      <w:sz w:val="21"/>
                      <w:szCs w:val="21"/>
                      <w:highlight w:val="none"/>
                      <w:lang w:val="en-US" w:eastAsia="zh-CN"/>
                    </w:rPr>
                    <w:t>二级酸析反应沉淀</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液碱+CO</w:t>
                  </w:r>
                  <w:r>
                    <w:rPr>
                      <w:rFonts w:hint="eastAsia"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隔膜压滤＋精密过滤＋紫外杀菌</w:t>
                  </w:r>
                  <w:r>
                    <w:rPr>
                      <w:rFonts w:hint="default" w:ascii="Times New Roman" w:hAnsi="Times New Roman" w:cs="Times New Roman"/>
                      <w:color w:val="auto"/>
                      <w:sz w:val="21"/>
                      <w:szCs w:val="21"/>
                      <w:highlight w:val="none"/>
                      <w:lang w:val="en-US" w:eastAsia="zh-CN"/>
                    </w:rPr>
                    <w:t>”工艺对作业废水进行无害化处理，处理规模为</w:t>
                  </w:r>
                  <w:r>
                    <w:rPr>
                      <w:rFonts w:hint="eastAsia" w:cs="Times New Roman"/>
                      <w:color w:val="auto"/>
                      <w:sz w:val="21"/>
                      <w:szCs w:val="21"/>
                      <w:highlight w:val="none"/>
                      <w:lang w:val="en-US" w:eastAsia="zh-CN"/>
                    </w:rPr>
                    <w:t>2000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/d，处理后水质达到《碎屑</w:t>
                  </w:r>
                  <w:r>
                    <w:rPr>
                      <w:rFonts w:hint="eastAsia" w:cs="Times New Roman"/>
                      <w:color w:val="auto"/>
                      <w:sz w:val="21"/>
                      <w:szCs w:val="21"/>
                      <w:highlight w:val="none"/>
                      <w:lang w:val="en-US" w:eastAsia="zh-CN"/>
                    </w:rPr>
                    <w:t>岩</w:t>
                  </w:r>
                  <w:r>
                    <w:rPr>
                      <w:rFonts w:hint="default" w:ascii="Times New Roman" w:hAnsi="Times New Roman" w:cs="Times New Roman"/>
                      <w:color w:val="auto"/>
                      <w:sz w:val="21"/>
                      <w:szCs w:val="21"/>
                      <w:highlight w:val="none"/>
                      <w:lang w:val="en-US" w:eastAsia="zh-CN"/>
                    </w:rPr>
                    <w:t>油藏注水水质指标</w:t>
                  </w:r>
                  <w:r>
                    <w:rPr>
                      <w:rFonts w:hint="eastAsia" w:cs="Times New Roman"/>
                      <w:color w:val="auto"/>
                      <w:sz w:val="21"/>
                      <w:szCs w:val="21"/>
                      <w:highlight w:val="none"/>
                      <w:lang w:val="en-US" w:eastAsia="zh-CN"/>
                    </w:rPr>
                    <w:t>技术要求</w:t>
                  </w:r>
                  <w:r>
                    <w:rPr>
                      <w:rFonts w:hint="default" w:ascii="Times New Roman" w:hAnsi="Times New Roman" w:cs="Times New Roman"/>
                      <w:color w:val="auto"/>
                      <w:sz w:val="21"/>
                      <w:szCs w:val="21"/>
                      <w:highlight w:val="none"/>
                      <w:lang w:val="en-US" w:eastAsia="zh-CN"/>
                    </w:rPr>
                    <w:t>及分析方法》（SY/T5329-20</w:t>
                  </w: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lang w:val="en-US" w:eastAsia="zh-CN"/>
                    </w:rPr>
                    <w:t>）用于油(气)开采企业钻井作业或钻井泥浆的配置等。</w:t>
                  </w:r>
                </w:p>
                <w:p w14:paraId="7DEBAAFB">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该项目于2024年7月11日取得了榆林市生态环境局下发的环评批复（榆政环批复〔2024〕85号），于2024年10月9日取得了榆林市生态环境局下发的排污许可证，证书编号为91610828MA7LY0FQ2A001V，于2024年12月28日完成了竣工环境保护验收，目前正常运行。</w:t>
                  </w:r>
                </w:p>
                <w:p w14:paraId="6CF09223">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本项目钻井废水、洗井废水、压裂返排液、放喷废水等施工废水产生</w:t>
                  </w:r>
                  <w:r>
                    <w:rPr>
                      <w:rFonts w:hint="default" w:ascii="Times New Roman" w:hAnsi="Times New Roman" w:cs="Times New Roman"/>
                      <w:color w:val="auto"/>
                      <w:sz w:val="21"/>
                      <w:szCs w:val="21"/>
                      <w:highlight w:val="none"/>
                      <w:shd w:val="clear"/>
                      <w:lang w:val="en-US" w:eastAsia="zh-CN"/>
                    </w:rPr>
                    <w:t>量共</w:t>
                  </w:r>
                  <w:r>
                    <w:rPr>
                      <w:rFonts w:hint="eastAsia" w:cs="Times New Roman"/>
                      <w:color w:val="auto"/>
                      <w:sz w:val="21"/>
                      <w:szCs w:val="21"/>
                      <w:highlight w:val="none"/>
                      <w:shd w:val="clear"/>
                      <w:lang w:val="en-US" w:eastAsia="zh-CN"/>
                    </w:rPr>
                    <w:t>908.29</w:t>
                  </w:r>
                  <w:r>
                    <w:rPr>
                      <w:rFonts w:hint="default" w:ascii="Times New Roman" w:hAnsi="Times New Roman" w:cs="Times New Roman"/>
                      <w:color w:val="auto"/>
                      <w:sz w:val="21"/>
                      <w:szCs w:val="21"/>
                      <w:highlight w:val="none"/>
                      <w:shd w:val="clear"/>
                      <w:lang w:val="en-US" w:eastAsia="zh-CN"/>
                    </w:rPr>
                    <w:t>m</w:t>
                  </w:r>
                  <w:r>
                    <w:rPr>
                      <w:rFonts w:hint="default" w:ascii="Times New Roman" w:hAnsi="Times New Roman" w:cs="Times New Roman"/>
                      <w:color w:val="auto"/>
                      <w:sz w:val="21"/>
                      <w:szCs w:val="21"/>
                      <w:highlight w:val="none"/>
                      <w:shd w:val="clear"/>
                      <w:vertAlign w:val="superscript"/>
                      <w:lang w:val="en-US" w:eastAsia="zh-CN"/>
                    </w:rPr>
                    <w:t>3</w:t>
                  </w:r>
                  <w:r>
                    <w:rPr>
                      <w:rFonts w:hint="default" w:ascii="Times New Roman" w:hAnsi="Times New Roman" w:cs="Times New Roman"/>
                      <w:color w:val="auto"/>
                      <w:sz w:val="21"/>
                      <w:szCs w:val="21"/>
                      <w:highlight w:val="none"/>
                      <w:shd w:val="clear"/>
                      <w:lang w:val="en-US" w:eastAsia="zh-CN"/>
                    </w:rPr>
                    <w:t>，处理</w:t>
                  </w:r>
                  <w:r>
                    <w:rPr>
                      <w:rFonts w:hint="default" w:ascii="Times New Roman" w:hAnsi="Times New Roman" w:cs="Times New Roman"/>
                      <w:color w:val="auto"/>
                      <w:sz w:val="21"/>
                      <w:szCs w:val="21"/>
                      <w:highlight w:val="none"/>
                      <w:lang w:val="en-US" w:eastAsia="zh-CN"/>
                    </w:rPr>
                    <w:t>能力能够满足本项目需求，依托可行。</w:t>
                  </w:r>
                </w:p>
              </w:tc>
            </w:tr>
            <w:tr w14:paraId="72CC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90" w:type="dxa"/>
                  <w:vMerge w:val="continue"/>
                  <w:vAlign w:val="center"/>
                </w:tcPr>
                <w:p w14:paraId="6E7A8E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322AAE9D">
                  <w:pPr>
                    <w:pStyle w:val="2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陕西德禾鑫盛环保科技有限公司</w:t>
                  </w:r>
                </w:p>
              </w:tc>
              <w:tc>
                <w:tcPr>
                  <w:tcW w:w="6178" w:type="dxa"/>
                  <w:vAlign w:val="center"/>
                </w:tcPr>
                <w:p w14:paraId="7F05951F">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陕西德禾鑫盛环保科技有限公司《关于佳县刘国具油气田开采废弃物集中处理项目（重大变动）环境影响报告书》位于佳县刘国具镇斗范梁村，设计钻井岩屑、钻井废弃物处置量25万t/a、5万t/a。该项目于2023年6月9日取得榆林市行政审批服务局环评批复文件（榆政审批生态发〔2023〕4号）。</w:t>
                  </w:r>
                  <w:r>
                    <w:rPr>
                      <w:rFonts w:hint="default" w:ascii="Times New Roman" w:hAnsi="Times New Roman" w:cs="Times New Roman"/>
                      <w:color w:val="auto"/>
                      <w:sz w:val="21"/>
                      <w:szCs w:val="21"/>
                      <w:highlight w:val="none"/>
                      <w:lang w:val="en-US" w:eastAsia="zh-CN"/>
                    </w:rPr>
                    <w:t>已于2024年3月18日取得榆林市生态环境局下发排污许可证，证书编号为：91610828MA7C36978Y001V；于2024年4月19日完成竣工环境保护验收</w:t>
                  </w:r>
                  <w:r>
                    <w:rPr>
                      <w:rFonts w:hint="eastAsia" w:cs="Times New Roman"/>
                      <w:color w:val="auto"/>
                      <w:sz w:val="21"/>
                      <w:szCs w:val="21"/>
                      <w:highlight w:val="none"/>
                      <w:lang w:val="en-US" w:eastAsia="zh-CN"/>
                    </w:rPr>
                    <w:t>，目前运行正常。</w:t>
                  </w:r>
                </w:p>
                <w:p w14:paraId="106E3E7E">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本项目施工期产生的钻井岩屑为</w:t>
                  </w:r>
                  <w:r>
                    <w:rPr>
                      <w:rFonts w:hint="eastAsia" w:cs="Times New Roman"/>
                      <w:color w:val="auto"/>
                      <w:sz w:val="21"/>
                      <w:szCs w:val="21"/>
                      <w:highlight w:val="none"/>
                      <w:lang w:val="en-US" w:eastAsia="zh-CN"/>
                    </w:rPr>
                    <w:t>452</w:t>
                  </w:r>
                  <w:r>
                    <w:rPr>
                      <w:rFonts w:hint="default" w:ascii="Times New Roman" w:hAnsi="Times New Roman" w:cs="Times New Roman"/>
                      <w:color w:val="auto"/>
                      <w:sz w:val="21"/>
                      <w:szCs w:val="21"/>
                      <w:highlight w:val="none"/>
                      <w:lang w:val="en-US" w:eastAsia="zh-CN"/>
                    </w:rPr>
                    <w:t>t，废弃钻井泥浆</w:t>
                  </w:r>
                  <w:r>
                    <w:rPr>
                      <w:rFonts w:hint="eastAsia" w:cs="Times New Roman"/>
                      <w:color w:val="auto"/>
                      <w:sz w:val="21"/>
                      <w:szCs w:val="20"/>
                      <w:highlight w:val="none"/>
                      <w:lang w:val="en-US" w:eastAsia="zh-CN"/>
                    </w:rPr>
                    <w:t>（泥饼）</w:t>
                  </w:r>
                  <w:r>
                    <w:rPr>
                      <w:rFonts w:hint="default" w:ascii="Times New Roman" w:hAnsi="Times New Roman" w:cs="Times New Roman"/>
                      <w:color w:val="auto"/>
                      <w:sz w:val="21"/>
                      <w:szCs w:val="21"/>
                      <w:highlight w:val="none"/>
                      <w:lang w:val="en-US" w:eastAsia="zh-CN"/>
                    </w:rPr>
                    <w:t>为</w:t>
                  </w:r>
                  <w:r>
                    <w:rPr>
                      <w:rFonts w:hint="eastAsia" w:cs="Times New Roman"/>
                      <w:color w:val="auto"/>
                      <w:sz w:val="21"/>
                      <w:szCs w:val="21"/>
                      <w:highlight w:val="none"/>
                      <w:lang w:val="en-US" w:eastAsia="zh-CN"/>
                    </w:rPr>
                    <w:t>7.8</w:t>
                  </w:r>
                  <w:r>
                    <w:rPr>
                      <w:rFonts w:hint="default" w:ascii="Times New Roman" w:hAnsi="Times New Roman" w:cs="Times New Roman"/>
                      <w:color w:val="auto"/>
                      <w:sz w:val="21"/>
                      <w:szCs w:val="21"/>
                      <w:highlight w:val="none"/>
                      <w:lang w:val="en-US" w:eastAsia="zh-CN"/>
                    </w:rPr>
                    <w:t>t，处置能力能够满足本项目需求，依托可行。</w:t>
                  </w:r>
                </w:p>
              </w:tc>
            </w:tr>
            <w:tr w14:paraId="2CE6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0" w:type="dxa"/>
                  <w:gridSpan w:val="4"/>
                  <w:vAlign w:val="center"/>
                </w:tcPr>
                <w:p w14:paraId="19A4B9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备注：完井测试结果表明不具有开采价值，则进行永久封井并处理；若井场有工业开采价值，需建设标准化井场进行开采，本次评价仅针对气井的勘探过程，不对后续标准后井场建设及采气过程进行评价</w:t>
                  </w:r>
                  <w:r>
                    <w:rPr>
                      <w:rFonts w:hint="eastAsia" w:ascii="Times New Roman" w:hAnsi="Times New Roman" w:eastAsia="宋体" w:cs="Times New Roman"/>
                      <w:b w:val="0"/>
                      <w:bCs w:val="0"/>
                      <w:color w:val="auto"/>
                      <w:sz w:val="21"/>
                      <w:szCs w:val="21"/>
                      <w:vertAlign w:val="baseline"/>
                      <w:lang w:val="en-US" w:eastAsia="zh-CN"/>
                    </w:rPr>
                    <w:t>。</w:t>
                  </w:r>
                </w:p>
              </w:tc>
            </w:tr>
          </w:tbl>
          <w:p w14:paraId="1327D6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三、井身结构</w:t>
            </w:r>
          </w:p>
          <w:p w14:paraId="595FDA7E">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本项目设计</w:t>
            </w:r>
            <w:r>
              <w:rPr>
                <w:rFonts w:hint="eastAsia" w:ascii="Times New Roman" w:hAnsi="Times New Roman" w:cs="Times New Roman"/>
                <w:color w:val="auto"/>
                <w:lang w:val="en-US" w:eastAsia="zh-CN"/>
              </w:rPr>
              <w:t>米107-3MH井</w:t>
            </w:r>
            <w:r>
              <w:rPr>
                <w:rFonts w:hint="default" w:ascii="Times New Roman" w:hAnsi="Times New Roman" w:cs="Times New Roman"/>
                <w:color w:val="auto"/>
                <w:lang w:val="en-US" w:eastAsia="zh-CN"/>
              </w:rPr>
              <w:t>身为</w:t>
            </w:r>
            <w:r>
              <w:rPr>
                <w:rFonts w:hint="eastAsia" w:ascii="Times New Roman" w:hAnsi="Times New Roman" w:cs="Times New Roman"/>
                <w:color w:val="auto"/>
                <w:lang w:val="en-US" w:eastAsia="zh-CN"/>
              </w:rPr>
              <w:t>2750m</w:t>
            </w:r>
            <w:r>
              <w:rPr>
                <w:rFonts w:hint="default" w:ascii="Times New Roman" w:hAnsi="Times New Roman" w:cs="Times New Roman"/>
                <w:color w:val="auto"/>
                <w:lang w:val="en-US" w:eastAsia="zh-CN"/>
              </w:rPr>
              <w:t>，井型为直井，井身结构设计数据见表2-</w:t>
            </w:r>
            <w:r>
              <w:rPr>
                <w:rFonts w:hint="eastAsia" w:ascii="Times New Roman" w:hAnsi="Times New Roman" w:cs="Times New Roman"/>
                <w:color w:val="auto"/>
                <w:lang w:val="en-US" w:eastAsia="zh-CN"/>
              </w:rPr>
              <w:t>3、2-4</w:t>
            </w:r>
            <w:r>
              <w:rPr>
                <w:rFonts w:hint="default" w:ascii="Times New Roman" w:hAnsi="Times New Roman" w:cs="Times New Roman"/>
                <w:color w:val="auto"/>
                <w:lang w:val="en-US" w:eastAsia="zh-CN"/>
              </w:rPr>
              <w:t>。</w:t>
            </w:r>
          </w:p>
          <w:p w14:paraId="2C6628AC">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米107-3MH</w:t>
            </w:r>
            <w:r>
              <w:rPr>
                <w:rFonts w:hint="default" w:ascii="Times New Roman" w:hAnsi="Times New Roman" w:cs="Times New Roman"/>
                <w:color w:val="auto"/>
                <w:sz w:val="21"/>
                <w:szCs w:val="21"/>
                <w:lang w:eastAsia="zh-CN"/>
              </w:rPr>
              <w:t>井身结构表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398"/>
              <w:gridCol w:w="1398"/>
              <w:gridCol w:w="1398"/>
              <w:gridCol w:w="1398"/>
              <w:gridCol w:w="1399"/>
              <w:gridCol w:w="1399"/>
            </w:tblGrid>
            <w:tr w14:paraId="6B14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4DEE6151">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开钻次序</w:t>
                  </w:r>
                </w:p>
              </w:tc>
              <w:tc>
                <w:tcPr>
                  <w:tcW w:w="833" w:type="pct"/>
                  <w:tcBorders>
                    <w:tl2br w:val="nil"/>
                    <w:tr2bl w:val="nil"/>
                  </w:tcBorders>
                  <w:noWrap w:val="0"/>
                  <w:vAlign w:val="center"/>
                </w:tcPr>
                <w:p w14:paraId="1EC91F6E">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井深（m）</w:t>
                  </w:r>
                </w:p>
              </w:tc>
              <w:tc>
                <w:tcPr>
                  <w:tcW w:w="833" w:type="pct"/>
                  <w:tcBorders>
                    <w:tl2br w:val="nil"/>
                    <w:tr2bl w:val="nil"/>
                  </w:tcBorders>
                  <w:noWrap w:val="0"/>
                  <w:vAlign w:val="center"/>
                </w:tcPr>
                <w:p w14:paraId="16DF7441">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钻头尺寸（mm）</w:t>
                  </w:r>
                </w:p>
              </w:tc>
              <w:tc>
                <w:tcPr>
                  <w:tcW w:w="833" w:type="pct"/>
                  <w:tcBorders>
                    <w:tl2br w:val="nil"/>
                    <w:tr2bl w:val="nil"/>
                  </w:tcBorders>
                  <w:noWrap w:val="0"/>
                  <w:vAlign w:val="center"/>
                </w:tcPr>
                <w:p w14:paraId="55EA30A0">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套管尺寸（mm）</w:t>
                  </w:r>
                </w:p>
              </w:tc>
              <w:tc>
                <w:tcPr>
                  <w:tcW w:w="833" w:type="pct"/>
                  <w:tcBorders>
                    <w:tl2br w:val="nil"/>
                    <w:tr2bl w:val="nil"/>
                  </w:tcBorders>
                  <w:noWrap w:val="0"/>
                  <w:vAlign w:val="center"/>
                </w:tcPr>
                <w:p w14:paraId="744679EF">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套管下深（m）</w:t>
                  </w:r>
                </w:p>
              </w:tc>
              <w:tc>
                <w:tcPr>
                  <w:tcW w:w="833" w:type="pct"/>
                  <w:tcBorders>
                    <w:tl2br w:val="nil"/>
                    <w:tr2bl w:val="nil"/>
                  </w:tcBorders>
                  <w:noWrap w:val="0"/>
                  <w:vAlign w:val="center"/>
                </w:tcPr>
                <w:p w14:paraId="5AF6FDFB">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水泥返高</w:t>
                  </w:r>
                </w:p>
              </w:tc>
            </w:tr>
            <w:tr w14:paraId="0DC0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2A1A8AF2">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一开</w:t>
                  </w:r>
                </w:p>
              </w:tc>
              <w:tc>
                <w:tcPr>
                  <w:tcW w:w="833" w:type="pct"/>
                  <w:tcBorders>
                    <w:tl2br w:val="nil"/>
                    <w:tr2bl w:val="nil"/>
                  </w:tcBorders>
                  <w:noWrap w:val="0"/>
                  <w:vAlign w:val="center"/>
                </w:tcPr>
                <w:p w14:paraId="6746ADB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600</w:t>
                  </w:r>
                </w:p>
              </w:tc>
              <w:tc>
                <w:tcPr>
                  <w:tcW w:w="833" w:type="pct"/>
                  <w:tcBorders>
                    <w:tl2br w:val="nil"/>
                    <w:tr2bl w:val="nil"/>
                  </w:tcBorders>
                  <w:noWrap w:val="0"/>
                  <w:vAlign w:val="center"/>
                </w:tcPr>
                <w:p w14:paraId="2B24D77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346</w:t>
                  </w:r>
                </w:p>
              </w:tc>
              <w:tc>
                <w:tcPr>
                  <w:tcW w:w="833" w:type="pct"/>
                  <w:tcBorders>
                    <w:tl2br w:val="nil"/>
                    <w:tr2bl w:val="nil"/>
                  </w:tcBorders>
                  <w:noWrap w:val="0"/>
                  <w:vAlign w:val="center"/>
                </w:tcPr>
                <w:p w14:paraId="581109E5">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273.1</w:t>
                  </w:r>
                </w:p>
              </w:tc>
              <w:tc>
                <w:tcPr>
                  <w:tcW w:w="833" w:type="pct"/>
                  <w:tcBorders>
                    <w:tl2br w:val="nil"/>
                    <w:tr2bl w:val="nil"/>
                  </w:tcBorders>
                  <w:noWrap w:val="0"/>
                  <w:vAlign w:val="center"/>
                </w:tcPr>
                <w:p w14:paraId="386A5567">
                  <w:pPr>
                    <w:pStyle w:val="27"/>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下到稳定岩层</w:t>
                  </w:r>
                </w:p>
              </w:tc>
              <w:tc>
                <w:tcPr>
                  <w:tcW w:w="833" w:type="pct"/>
                  <w:tcBorders>
                    <w:tl2br w:val="nil"/>
                    <w:tr2bl w:val="nil"/>
                  </w:tcBorders>
                  <w:noWrap w:val="0"/>
                  <w:vAlign w:val="center"/>
                </w:tcPr>
                <w:p w14:paraId="6DFA9527">
                  <w:pPr>
                    <w:pStyle w:val="27"/>
                    <w:bidi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rPr>
                    <w:t>地面</w:t>
                  </w:r>
                </w:p>
              </w:tc>
            </w:tr>
            <w:tr w14:paraId="649E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7D4F2EF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二开</w:t>
                  </w:r>
                </w:p>
              </w:tc>
              <w:tc>
                <w:tcPr>
                  <w:tcW w:w="833" w:type="pct"/>
                  <w:tcBorders>
                    <w:tl2br w:val="nil"/>
                    <w:tr2bl w:val="nil"/>
                  </w:tcBorders>
                  <w:noWrap w:val="0"/>
                  <w:vAlign w:val="center"/>
                </w:tcPr>
                <w:p w14:paraId="1B126F02">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r>
                    <w:rPr>
                      <w:rFonts w:hint="eastAsia" w:cs="Times New Roman"/>
                      <w:color w:val="auto"/>
                      <w:sz w:val="21"/>
                      <w:szCs w:val="21"/>
                      <w:lang w:val="en-US" w:eastAsia="zh-CN"/>
                    </w:rPr>
                    <w:t>00</w:t>
                  </w: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750</w:t>
                  </w:r>
                </w:p>
              </w:tc>
              <w:tc>
                <w:tcPr>
                  <w:tcW w:w="833" w:type="pct"/>
                  <w:tcBorders>
                    <w:tl2br w:val="nil"/>
                    <w:tr2bl w:val="nil"/>
                  </w:tcBorders>
                  <w:noWrap w:val="0"/>
                  <w:vAlign w:val="center"/>
                </w:tcPr>
                <w:p w14:paraId="2122D699">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w:t>
                  </w:r>
                </w:p>
              </w:tc>
              <w:tc>
                <w:tcPr>
                  <w:tcW w:w="833" w:type="pct"/>
                  <w:tcBorders>
                    <w:tl2br w:val="nil"/>
                    <w:tr2bl w:val="nil"/>
                  </w:tcBorders>
                  <w:noWrap w:val="0"/>
                  <w:vAlign w:val="center"/>
                </w:tcPr>
                <w:p w14:paraId="0BA04107">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219.1</w:t>
                  </w:r>
                </w:p>
              </w:tc>
              <w:tc>
                <w:tcPr>
                  <w:tcW w:w="833" w:type="pct"/>
                  <w:tcBorders>
                    <w:tl2br w:val="nil"/>
                    <w:tr2bl w:val="nil"/>
                  </w:tcBorders>
                  <w:noWrap w:val="0"/>
                  <w:vAlign w:val="center"/>
                </w:tcPr>
                <w:p w14:paraId="42CCFA7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距井底3～5m</w:t>
                  </w:r>
                </w:p>
              </w:tc>
              <w:tc>
                <w:tcPr>
                  <w:tcW w:w="833" w:type="pct"/>
                  <w:tcBorders>
                    <w:tl2br w:val="nil"/>
                    <w:tr2bl w:val="nil"/>
                  </w:tcBorders>
                  <w:noWrap w:val="0"/>
                  <w:vAlign w:val="center"/>
                </w:tcPr>
                <w:p w14:paraId="46463626">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地面</w:t>
                  </w:r>
                </w:p>
              </w:tc>
            </w:tr>
          </w:tbl>
          <w:p w14:paraId="23845A80">
            <w:pPr>
              <w:pStyle w:val="26"/>
              <w:keepNext w:val="0"/>
              <w:keepLines w:val="0"/>
              <w:pageBreakBefore w:val="0"/>
              <w:widowControl w:val="0"/>
              <w:kinsoku/>
              <w:wordWrap/>
              <w:overflowPunct/>
              <w:topLinePunct w:val="0"/>
              <w:autoSpaceDE/>
              <w:autoSpaceDN/>
              <w:bidi w:val="0"/>
              <w:adjustRightInd w:val="0"/>
              <w:snapToGrid w:val="0"/>
              <w:spacing w:before="79" w:beforeLines="25"/>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本项目直井井身结构示意图见图2-1。</w:t>
            </w:r>
          </w:p>
          <w:p w14:paraId="35CD3750">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3281680" cy="3202305"/>
                  <wp:effectExtent l="0" t="0" r="13970" b="1714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8"/>
                          <a:stretch>
                            <a:fillRect/>
                          </a:stretch>
                        </pic:blipFill>
                        <pic:spPr>
                          <a:xfrm>
                            <a:off x="0" y="0"/>
                            <a:ext cx="3281680" cy="3202305"/>
                          </a:xfrm>
                          <a:prstGeom prst="rect">
                            <a:avLst/>
                          </a:prstGeom>
                        </pic:spPr>
                      </pic:pic>
                    </a:graphicData>
                  </a:graphic>
                </wp:inline>
              </w:drawing>
            </w:r>
          </w:p>
          <w:p w14:paraId="4FCFC969">
            <w:pPr>
              <w:pStyle w:val="10"/>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lang w:eastAsia="zh-CN"/>
              </w:rPr>
              <w:t xml:space="preserve">  井身结构图</w:t>
            </w:r>
          </w:p>
          <w:p w14:paraId="78DEF9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四</w:t>
            </w:r>
            <w:r>
              <w:rPr>
                <w:rFonts w:hint="default" w:ascii="Times New Roman" w:hAnsi="Times New Roman" w:eastAsia="宋体" w:cs="Times New Roman"/>
                <w:b/>
                <w:bCs/>
                <w:color w:val="auto"/>
                <w:sz w:val="24"/>
                <w:szCs w:val="24"/>
                <w:vertAlign w:val="baseline"/>
                <w:lang w:val="en-US" w:eastAsia="zh-CN"/>
              </w:rPr>
              <w:t>、工程占地</w:t>
            </w:r>
          </w:p>
          <w:p w14:paraId="1610E1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项目占地为临时占地，总占地面积</w:t>
            </w:r>
            <w:r>
              <w:rPr>
                <w:rFonts w:hint="eastAsia" w:ascii="Times New Roman" w:hAnsi="Times New Roman" w:eastAsia="宋体" w:cs="Times New Roman"/>
                <w:b w:val="0"/>
                <w:bCs w:val="0"/>
                <w:color w:val="auto"/>
                <w:sz w:val="24"/>
                <w:szCs w:val="24"/>
                <w:vertAlign w:val="baseline"/>
                <w:lang w:val="en-US" w:eastAsia="zh-CN"/>
              </w:rPr>
              <w:t>约</w:t>
            </w:r>
            <w:r>
              <w:rPr>
                <w:rFonts w:hint="default" w:ascii="Times New Roman" w:hAnsi="Times New Roman" w:eastAsia="宋体" w:cs="Times New Roman"/>
                <w:b w:val="0"/>
                <w:bCs w:val="0"/>
                <w:color w:val="auto"/>
                <w:sz w:val="24"/>
                <w:szCs w:val="24"/>
                <w:vertAlign w:val="baseline"/>
                <w:lang w:val="en-US" w:eastAsia="zh-CN"/>
              </w:rPr>
              <w:t>为</w:t>
            </w:r>
            <w:r>
              <w:rPr>
                <w:rFonts w:hint="eastAsia" w:ascii="Times New Roman" w:hAnsi="Times New Roman" w:eastAsia="宋体" w:cs="Times New Roman"/>
                <w:b w:val="0"/>
                <w:bCs w:val="0"/>
                <w:color w:val="auto"/>
                <w:sz w:val="24"/>
                <w:szCs w:val="24"/>
                <w:highlight w:val="none"/>
                <w:vertAlign w:val="baseline"/>
                <w:lang w:val="en-US" w:eastAsia="zh-CN"/>
              </w:rPr>
              <w:t>1.2802公顷</w:t>
            </w:r>
            <w:r>
              <w:rPr>
                <w:rFonts w:hint="default" w:ascii="Times New Roman" w:hAnsi="Times New Roman" w:eastAsia="宋体" w:cs="Times New Roman"/>
                <w:b w:val="0"/>
                <w:bCs w:val="0"/>
                <w:color w:val="auto"/>
                <w:sz w:val="24"/>
                <w:szCs w:val="24"/>
                <w:highlight w:val="none"/>
                <w:vertAlign w:val="baseline"/>
                <w:lang w:val="en-US" w:eastAsia="zh-CN"/>
              </w:rPr>
              <w:t>，其中井场占地</w:t>
            </w:r>
            <w:r>
              <w:rPr>
                <w:rFonts w:hint="eastAsia" w:ascii="Times New Roman" w:hAnsi="Times New Roman" w:eastAsia="宋体" w:cs="Times New Roman"/>
                <w:b w:val="0"/>
                <w:bCs w:val="0"/>
                <w:color w:val="auto"/>
                <w:sz w:val="24"/>
                <w:szCs w:val="24"/>
                <w:highlight w:val="none"/>
                <w:vertAlign w:val="baseline"/>
                <w:lang w:val="en-US" w:eastAsia="zh-CN"/>
              </w:rPr>
              <w:t>8750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，生活区占地</w:t>
            </w:r>
            <w:r>
              <w:rPr>
                <w:rFonts w:hint="eastAsia" w:ascii="Times New Roman" w:hAnsi="Times New Roman" w:eastAsia="宋体" w:cs="Times New Roman"/>
                <w:b w:val="0"/>
                <w:bCs w:val="0"/>
                <w:color w:val="auto"/>
                <w:sz w:val="24"/>
                <w:szCs w:val="24"/>
                <w:highlight w:val="none"/>
                <w:vertAlign w:val="baseline"/>
                <w:lang w:val="en-US" w:eastAsia="zh-CN"/>
              </w:rPr>
              <w:t>2612.1</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井场道路占地</w:t>
            </w:r>
            <w:r>
              <w:rPr>
                <w:rFonts w:hint="eastAsia" w:ascii="Times New Roman" w:hAnsi="Times New Roman" w:eastAsia="宋体" w:cs="Times New Roman"/>
                <w:b w:val="0"/>
                <w:bCs w:val="0"/>
                <w:color w:val="auto"/>
                <w:sz w:val="24"/>
                <w:szCs w:val="24"/>
                <w:highlight w:val="none"/>
                <w:vertAlign w:val="baseline"/>
                <w:lang w:val="en-US" w:eastAsia="zh-CN"/>
              </w:rPr>
              <w:t>1439.5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，若完井测试表明气井有开采价值，再征用井场用地。</w:t>
            </w:r>
          </w:p>
          <w:p w14:paraId="22A4E524">
            <w:pPr>
              <w:pStyle w:val="1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占地面积情况表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779"/>
              <w:gridCol w:w="1787"/>
              <w:gridCol w:w="1787"/>
              <w:gridCol w:w="1517"/>
              <w:gridCol w:w="1517"/>
            </w:tblGrid>
            <w:tr w14:paraId="5C6E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1061" w:type="pct"/>
                  <w:tcBorders>
                    <w:tl2br w:val="nil"/>
                    <w:tr2bl w:val="nil"/>
                  </w:tcBorders>
                  <w:noWrap w:val="0"/>
                  <w:vAlign w:val="center"/>
                </w:tcPr>
                <w:p w14:paraId="43295882">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井号</w:t>
                  </w:r>
                </w:p>
              </w:tc>
              <w:tc>
                <w:tcPr>
                  <w:tcW w:w="1065" w:type="pct"/>
                  <w:tcBorders>
                    <w:tl2br w:val="nil"/>
                    <w:tr2bl w:val="nil"/>
                  </w:tcBorders>
                  <w:noWrap w:val="0"/>
                  <w:vAlign w:val="center"/>
                </w:tcPr>
                <w:p w14:paraId="311DB29B">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井场面积（m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1065" w:type="pct"/>
                  <w:tcBorders>
                    <w:tl2br w:val="nil"/>
                    <w:tr2bl w:val="nil"/>
                  </w:tcBorders>
                  <w:noWrap w:val="0"/>
                  <w:vAlign w:val="center"/>
                </w:tcPr>
                <w:p w14:paraId="2BE737F2">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生活区面积（m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904" w:type="pct"/>
                  <w:tcBorders>
                    <w:tl2br w:val="nil"/>
                    <w:tr2bl w:val="nil"/>
                  </w:tcBorders>
                  <w:noWrap w:val="0"/>
                  <w:vAlign w:val="center"/>
                </w:tcPr>
                <w:p w14:paraId="42C4BB40">
                  <w:pPr>
                    <w:pStyle w:val="27"/>
                    <w:bidi w:val="0"/>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进场道路</w:t>
                  </w:r>
                  <w:r>
                    <w:rPr>
                      <w:rFonts w:hint="default" w:ascii="Times New Roman" w:hAnsi="Times New Roman" w:cs="Times New Roman"/>
                      <w:b/>
                      <w:bCs/>
                      <w:color w:val="auto"/>
                      <w:sz w:val="21"/>
                      <w:szCs w:val="21"/>
                      <w:lang w:val="en-US" w:eastAsia="zh-CN"/>
                    </w:rPr>
                    <w:t>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c>
                <w:tcPr>
                  <w:tcW w:w="904" w:type="pct"/>
                  <w:tcBorders>
                    <w:tl2br w:val="nil"/>
                    <w:tr2bl w:val="nil"/>
                  </w:tcBorders>
                  <w:noWrap w:val="0"/>
                  <w:vAlign w:val="center"/>
                </w:tcPr>
                <w:p w14:paraId="24E431C6">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总面积（m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vertAlign w:val="baseline"/>
                      <w:lang w:val="en-US" w:eastAsia="zh-CN"/>
                    </w:rPr>
                    <w:t>）</w:t>
                  </w:r>
                </w:p>
              </w:tc>
            </w:tr>
            <w:tr w14:paraId="62A9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1061" w:type="pct"/>
                  <w:tcBorders>
                    <w:tl2br w:val="nil"/>
                    <w:tr2bl w:val="nil"/>
                  </w:tcBorders>
                  <w:noWrap w:val="0"/>
                  <w:vAlign w:val="center"/>
                </w:tcPr>
                <w:p w14:paraId="6DE3E00C">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米107-3MH</w:t>
                  </w:r>
                  <w:r>
                    <w:rPr>
                      <w:rFonts w:hint="default" w:ascii="Times New Roman" w:hAnsi="Times New Roman" w:cs="Times New Roman"/>
                      <w:color w:val="auto"/>
                      <w:sz w:val="21"/>
                      <w:szCs w:val="21"/>
                      <w:lang w:val="en-US" w:eastAsia="zh-CN"/>
                    </w:rPr>
                    <w:t>井</w:t>
                  </w:r>
                </w:p>
              </w:tc>
              <w:tc>
                <w:tcPr>
                  <w:tcW w:w="1065" w:type="pct"/>
                  <w:tcBorders>
                    <w:tl2br w:val="nil"/>
                    <w:tr2bl w:val="nil"/>
                  </w:tcBorders>
                  <w:noWrap w:val="0"/>
                  <w:vAlign w:val="center"/>
                </w:tcPr>
                <w:p w14:paraId="447C7AF4">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8750</w:t>
                  </w:r>
                </w:p>
              </w:tc>
              <w:tc>
                <w:tcPr>
                  <w:tcW w:w="1065" w:type="pct"/>
                  <w:tcBorders>
                    <w:tl2br w:val="nil"/>
                    <w:tr2bl w:val="nil"/>
                  </w:tcBorders>
                  <w:noWrap w:val="0"/>
                  <w:vAlign w:val="center"/>
                </w:tcPr>
                <w:p w14:paraId="6C0899A8">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2612.1</w:t>
                  </w:r>
                </w:p>
              </w:tc>
              <w:tc>
                <w:tcPr>
                  <w:tcW w:w="904" w:type="pct"/>
                  <w:tcBorders>
                    <w:tl2br w:val="nil"/>
                    <w:tr2bl w:val="nil"/>
                  </w:tcBorders>
                  <w:noWrap w:val="0"/>
                  <w:vAlign w:val="center"/>
                </w:tcPr>
                <w:p w14:paraId="1129FA80">
                  <w:pPr>
                    <w:pStyle w:val="27"/>
                    <w:bidi w:val="0"/>
                    <w:jc w:val="center"/>
                    <w:rPr>
                      <w:rFonts w:hint="default" w:cs="Times New Roman"/>
                      <w:color w:val="auto"/>
                      <w:sz w:val="21"/>
                      <w:szCs w:val="21"/>
                      <w:lang w:val="en-US" w:eastAsia="zh-CN"/>
                    </w:rPr>
                  </w:pPr>
                  <w:r>
                    <w:rPr>
                      <w:rFonts w:hint="eastAsia" w:cs="Times New Roman"/>
                      <w:color w:val="auto"/>
                      <w:sz w:val="21"/>
                      <w:szCs w:val="21"/>
                      <w:lang w:val="en-US" w:eastAsia="zh-CN"/>
                    </w:rPr>
                    <w:t>1439.5</w:t>
                  </w:r>
                </w:p>
              </w:tc>
              <w:tc>
                <w:tcPr>
                  <w:tcW w:w="904" w:type="pct"/>
                  <w:tcBorders>
                    <w:tl2br w:val="nil"/>
                    <w:tr2bl w:val="nil"/>
                  </w:tcBorders>
                  <w:noWrap w:val="0"/>
                  <w:vAlign w:val="center"/>
                </w:tcPr>
                <w:p w14:paraId="439F60A7">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12801.6</w:t>
                  </w:r>
                </w:p>
              </w:tc>
            </w:tr>
          </w:tbl>
          <w:p w14:paraId="293C2A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五</w:t>
            </w:r>
            <w:r>
              <w:rPr>
                <w:rFonts w:hint="default" w:ascii="Times New Roman" w:hAnsi="Times New Roman" w:eastAsia="宋体" w:cs="Times New Roman"/>
                <w:b/>
                <w:bCs/>
                <w:color w:val="auto"/>
                <w:sz w:val="24"/>
                <w:szCs w:val="24"/>
                <w:vertAlign w:val="baseline"/>
                <w:lang w:val="en-US" w:eastAsia="zh-CN"/>
              </w:rPr>
              <w:t>、项目主要设备清单</w:t>
            </w:r>
          </w:p>
          <w:p w14:paraId="54167B29">
            <w:pPr>
              <w:pStyle w:val="26"/>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根据《榆林市人民政府关于禁止使用高排放非道路移动机械的通告》要求，项目施工现场禁止使用高排放非道路移动机械，禁止使用未编码登记挂牌及环保检测不达标的非道路移动机械。</w:t>
            </w:r>
          </w:p>
          <w:p w14:paraId="64FB341E">
            <w:pPr>
              <w:pStyle w:val="26"/>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（1）钻井设备</w:t>
            </w:r>
          </w:p>
          <w:p w14:paraId="4ADF01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项目主要设备清单见表2-</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w:t>
            </w:r>
          </w:p>
          <w:p w14:paraId="330696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 xml:space="preserve"> 项目</w:t>
            </w:r>
            <w:r>
              <w:rPr>
                <w:rFonts w:hint="eastAsia" w:ascii="Times New Roman" w:hAnsi="Times New Roman" w:eastAsia="宋体" w:cs="Times New Roman"/>
                <w:b/>
                <w:bCs/>
                <w:color w:val="auto"/>
                <w:sz w:val="21"/>
                <w:szCs w:val="21"/>
                <w:vertAlign w:val="baseline"/>
                <w:lang w:val="en-US" w:eastAsia="zh-CN"/>
              </w:rPr>
              <w:t>单井</w:t>
            </w:r>
            <w:r>
              <w:rPr>
                <w:rFonts w:hint="default" w:ascii="Times New Roman" w:hAnsi="Times New Roman" w:eastAsia="宋体" w:cs="Times New Roman"/>
                <w:b/>
                <w:bCs/>
                <w:color w:val="auto"/>
                <w:sz w:val="21"/>
                <w:szCs w:val="21"/>
                <w:vertAlign w:val="baseline"/>
                <w:lang w:val="en-US" w:eastAsia="zh-CN"/>
              </w:rPr>
              <w:t>主要设备清单一览表</w:t>
            </w:r>
          </w:p>
          <w:tbl>
            <w:tblPr>
              <w:tblStyle w:val="1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423"/>
              <w:gridCol w:w="956"/>
              <w:gridCol w:w="1622"/>
              <w:gridCol w:w="2222"/>
              <w:gridCol w:w="932"/>
              <w:gridCol w:w="868"/>
              <w:gridCol w:w="1369"/>
            </w:tblGrid>
            <w:tr w14:paraId="4CB54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38BE811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1535" w:type="pct"/>
                  <w:gridSpan w:val="2"/>
                  <w:tcBorders>
                    <w:tl2br w:val="nil"/>
                    <w:tr2bl w:val="nil"/>
                  </w:tcBorders>
                  <w:noWrap w:val="0"/>
                  <w:vAlign w:val="center"/>
                </w:tcPr>
                <w:p w14:paraId="2057D9E3">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23" w:type="pct"/>
                  <w:tcBorders>
                    <w:tl2br w:val="nil"/>
                    <w:tr2bl w:val="nil"/>
                  </w:tcBorders>
                  <w:noWrap w:val="0"/>
                  <w:vAlign w:val="center"/>
                </w:tcPr>
                <w:p w14:paraId="26258E2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型号</w:t>
                  </w:r>
                </w:p>
              </w:tc>
              <w:tc>
                <w:tcPr>
                  <w:tcW w:w="555" w:type="pct"/>
                  <w:tcBorders>
                    <w:tl2br w:val="nil"/>
                    <w:tr2bl w:val="nil"/>
                  </w:tcBorders>
                  <w:noWrap w:val="0"/>
                  <w:vAlign w:val="center"/>
                </w:tcPr>
                <w:p w14:paraId="741923AB">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规格</w:t>
                  </w:r>
                </w:p>
              </w:tc>
              <w:tc>
                <w:tcPr>
                  <w:tcW w:w="517" w:type="pct"/>
                  <w:tcBorders>
                    <w:tl2br w:val="nil"/>
                    <w:tr2bl w:val="nil"/>
                  </w:tcBorders>
                  <w:noWrap w:val="0"/>
                  <w:vAlign w:val="center"/>
                </w:tcPr>
                <w:p w14:paraId="3C42BF3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数量</w:t>
                  </w:r>
                </w:p>
              </w:tc>
              <w:tc>
                <w:tcPr>
                  <w:tcW w:w="815" w:type="pct"/>
                  <w:tcBorders>
                    <w:tl2br w:val="nil"/>
                    <w:tr2bl w:val="nil"/>
                  </w:tcBorders>
                  <w:noWrap w:val="0"/>
                  <w:vAlign w:val="center"/>
                </w:tcPr>
                <w:p w14:paraId="0F66A50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45BC9D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5970560D">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p>
              </w:tc>
              <w:tc>
                <w:tcPr>
                  <w:tcW w:w="569" w:type="pct"/>
                  <w:vMerge w:val="restart"/>
                  <w:tcBorders>
                    <w:tl2br w:val="nil"/>
                    <w:tr2bl w:val="nil"/>
                  </w:tcBorders>
                  <w:noWrap w:val="0"/>
                  <w:vAlign w:val="center"/>
                </w:tcPr>
                <w:p w14:paraId="5B78486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钻井设备</w:t>
                  </w:r>
                </w:p>
              </w:tc>
              <w:tc>
                <w:tcPr>
                  <w:tcW w:w="966" w:type="pct"/>
                  <w:tcBorders>
                    <w:tl2br w:val="nil"/>
                    <w:tr2bl w:val="nil"/>
                  </w:tcBorders>
                  <w:noWrap w:val="0"/>
                  <w:vAlign w:val="center"/>
                </w:tcPr>
                <w:p w14:paraId="1D49A8B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钻机</w:t>
                  </w:r>
                </w:p>
              </w:tc>
              <w:tc>
                <w:tcPr>
                  <w:tcW w:w="1323" w:type="pct"/>
                  <w:tcBorders>
                    <w:tl2br w:val="nil"/>
                    <w:tr2bl w:val="nil"/>
                  </w:tcBorders>
                  <w:noWrap w:val="0"/>
                  <w:vAlign w:val="center"/>
                </w:tcPr>
                <w:p w14:paraId="19DB03D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ZJ50</w:t>
                  </w:r>
                </w:p>
              </w:tc>
              <w:tc>
                <w:tcPr>
                  <w:tcW w:w="555" w:type="pct"/>
                  <w:tcBorders>
                    <w:tl2br w:val="nil"/>
                    <w:tr2bl w:val="nil"/>
                  </w:tcBorders>
                  <w:noWrap w:val="0"/>
                  <w:vAlign w:val="center"/>
                </w:tcPr>
                <w:p w14:paraId="04943F9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荷载315t</w:t>
                  </w:r>
                </w:p>
              </w:tc>
              <w:tc>
                <w:tcPr>
                  <w:tcW w:w="517" w:type="pct"/>
                  <w:tcBorders>
                    <w:tl2br w:val="nil"/>
                    <w:tr2bl w:val="nil"/>
                  </w:tcBorders>
                  <w:noWrap w:val="0"/>
                  <w:vAlign w:val="center"/>
                </w:tcPr>
                <w:p w14:paraId="20FB7BB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58A9857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C7FC7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526468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E14F7B1">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770BD2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井架</w:t>
                  </w:r>
                </w:p>
              </w:tc>
              <w:tc>
                <w:tcPr>
                  <w:tcW w:w="1323" w:type="pct"/>
                  <w:tcBorders>
                    <w:tl2br w:val="nil"/>
                    <w:tr2bl w:val="nil"/>
                  </w:tcBorders>
                  <w:noWrap w:val="0"/>
                  <w:vAlign w:val="center"/>
                </w:tcPr>
                <w:p w14:paraId="1E1ECE1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JJ315/45-K</w:t>
                  </w:r>
                </w:p>
              </w:tc>
              <w:tc>
                <w:tcPr>
                  <w:tcW w:w="555" w:type="pct"/>
                  <w:tcBorders>
                    <w:tl2br w:val="nil"/>
                    <w:tr2bl w:val="nil"/>
                  </w:tcBorders>
                  <w:noWrap w:val="0"/>
                  <w:vAlign w:val="center"/>
                </w:tcPr>
                <w:p w14:paraId="1EC4D90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AE456C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75421ED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09448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CA0322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D3288E7">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094AE3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底座</w:t>
                  </w:r>
                </w:p>
              </w:tc>
              <w:tc>
                <w:tcPr>
                  <w:tcW w:w="1323" w:type="pct"/>
                  <w:tcBorders>
                    <w:tl2br w:val="nil"/>
                    <w:tr2bl w:val="nil"/>
                  </w:tcBorders>
                  <w:noWrap w:val="0"/>
                  <w:vAlign w:val="center"/>
                </w:tcPr>
                <w:p w14:paraId="3E2364F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DZ450/9-S</w:t>
                  </w:r>
                  <w:r>
                    <w:rPr>
                      <w:rFonts w:hint="default" w:ascii="Times New Roman" w:hAnsi="Times New Roman" w:eastAsia="宋体" w:cs="Times New Roman"/>
                      <w:color w:val="auto"/>
                      <w:sz w:val="21"/>
                      <w:szCs w:val="21"/>
                    </w:rPr>
                    <w:t>底座</w:t>
                  </w:r>
                </w:p>
              </w:tc>
              <w:tc>
                <w:tcPr>
                  <w:tcW w:w="555" w:type="pct"/>
                  <w:tcBorders>
                    <w:tl2br w:val="nil"/>
                    <w:tr2bl w:val="nil"/>
                  </w:tcBorders>
                  <w:noWrap w:val="0"/>
                  <w:vAlign w:val="center"/>
                </w:tcPr>
                <w:p w14:paraId="31AFFAD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88AB53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5499F0E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B5A1B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88F3683">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56C6FB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D06510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天车</w:t>
                  </w:r>
                </w:p>
              </w:tc>
              <w:tc>
                <w:tcPr>
                  <w:tcW w:w="1323" w:type="pct"/>
                  <w:tcBorders>
                    <w:tl2br w:val="nil"/>
                    <w:tr2bl w:val="nil"/>
                  </w:tcBorders>
                  <w:noWrap w:val="0"/>
                  <w:vAlign w:val="center"/>
                </w:tcPr>
                <w:p w14:paraId="53F9D0D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TC-315</w:t>
                  </w:r>
                </w:p>
              </w:tc>
              <w:tc>
                <w:tcPr>
                  <w:tcW w:w="555" w:type="pct"/>
                  <w:tcBorders>
                    <w:tl2br w:val="nil"/>
                    <w:tr2bl w:val="nil"/>
                  </w:tcBorders>
                  <w:noWrap w:val="0"/>
                  <w:vAlign w:val="center"/>
                </w:tcPr>
                <w:p w14:paraId="6A9B14A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517" w:type="pct"/>
                  <w:tcBorders>
                    <w:tl2br w:val="nil"/>
                    <w:tr2bl w:val="nil"/>
                  </w:tcBorders>
                  <w:noWrap w:val="0"/>
                  <w:vAlign w:val="center"/>
                </w:tcPr>
                <w:p w14:paraId="2EC4EA54">
                  <w:pPr>
                    <w:adjustRightInd w:val="0"/>
                    <w:snapToGrid w:val="0"/>
                    <w:jc w:val="center"/>
                    <w:rPr>
                      <w:rFonts w:hint="default" w:ascii="Times New Roman" w:hAnsi="Times New Roman" w:cs="Times New Roman"/>
                      <w:color w:val="auto"/>
                      <w:sz w:val="21"/>
                      <w:szCs w:val="21"/>
                    </w:rPr>
                  </w:pPr>
                </w:p>
              </w:tc>
              <w:tc>
                <w:tcPr>
                  <w:tcW w:w="815" w:type="pct"/>
                  <w:tcBorders>
                    <w:tl2br w:val="nil"/>
                    <w:tr2bl w:val="nil"/>
                  </w:tcBorders>
                  <w:noWrap w:val="0"/>
                  <w:vAlign w:val="center"/>
                </w:tcPr>
                <w:p w14:paraId="7982355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6FC0A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A52FE5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09FB5E0">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08609D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绞车</w:t>
                  </w:r>
                </w:p>
              </w:tc>
              <w:tc>
                <w:tcPr>
                  <w:tcW w:w="1323" w:type="pct"/>
                  <w:tcBorders>
                    <w:tl2br w:val="nil"/>
                    <w:tr2bl w:val="nil"/>
                  </w:tcBorders>
                  <w:noWrap w:val="0"/>
                  <w:vAlign w:val="center"/>
                </w:tcPr>
                <w:p w14:paraId="4278DC6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JC50DB</w:t>
                  </w:r>
                </w:p>
              </w:tc>
              <w:tc>
                <w:tcPr>
                  <w:tcW w:w="555" w:type="pct"/>
                  <w:tcBorders>
                    <w:tl2br w:val="nil"/>
                    <w:tr2bl w:val="nil"/>
                  </w:tcBorders>
                  <w:noWrap w:val="0"/>
                  <w:vAlign w:val="center"/>
                </w:tcPr>
                <w:p w14:paraId="296F041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E675F14">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1</w:t>
                  </w:r>
                  <w:r>
                    <w:rPr>
                      <w:rFonts w:hint="default" w:ascii="Times New Roman" w:hAnsi="Times New Roman" w:eastAsia="宋体" w:cs="Times New Roman"/>
                      <w:color w:val="auto"/>
                      <w:sz w:val="21"/>
                      <w:szCs w:val="21"/>
                      <w:lang w:val="en-US"/>
                    </w:rPr>
                    <w:t>台</w:t>
                  </w:r>
                </w:p>
              </w:tc>
              <w:tc>
                <w:tcPr>
                  <w:tcW w:w="815" w:type="pct"/>
                  <w:tcBorders>
                    <w:tl2br w:val="nil"/>
                    <w:tr2bl w:val="nil"/>
                  </w:tcBorders>
                  <w:noWrap w:val="0"/>
                  <w:vAlign w:val="center"/>
                </w:tcPr>
                <w:p w14:paraId="5CC2381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14:paraId="6E72D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16179BF">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B7CCD37">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F2E6E7C">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游动滑车</w:t>
                  </w:r>
                </w:p>
              </w:tc>
              <w:tc>
                <w:tcPr>
                  <w:tcW w:w="1323" w:type="pct"/>
                  <w:tcBorders>
                    <w:tl2br w:val="nil"/>
                    <w:tr2bl w:val="nil"/>
                  </w:tcBorders>
                  <w:noWrap w:val="0"/>
                  <w:vAlign w:val="center"/>
                </w:tcPr>
                <w:p w14:paraId="1FA847F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YC-315</w:t>
                  </w:r>
                </w:p>
              </w:tc>
              <w:tc>
                <w:tcPr>
                  <w:tcW w:w="555" w:type="pct"/>
                  <w:tcBorders>
                    <w:tl2br w:val="nil"/>
                    <w:tr2bl w:val="nil"/>
                  </w:tcBorders>
                  <w:noWrap w:val="0"/>
                  <w:vAlign w:val="center"/>
                </w:tcPr>
                <w:p w14:paraId="0CD80DC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514ECB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499677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EDA4C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96BC536">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8F7DC82">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54A5FA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大钩</w:t>
                  </w:r>
                </w:p>
              </w:tc>
              <w:tc>
                <w:tcPr>
                  <w:tcW w:w="1323" w:type="pct"/>
                  <w:tcBorders>
                    <w:tl2br w:val="nil"/>
                    <w:tr2bl w:val="nil"/>
                  </w:tcBorders>
                  <w:noWrap w:val="0"/>
                  <w:vAlign w:val="center"/>
                </w:tcPr>
                <w:p w14:paraId="5B57061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DG-315</w:t>
                  </w:r>
                </w:p>
              </w:tc>
              <w:tc>
                <w:tcPr>
                  <w:tcW w:w="555" w:type="pct"/>
                  <w:tcBorders>
                    <w:tl2br w:val="nil"/>
                    <w:tr2bl w:val="nil"/>
                  </w:tcBorders>
                  <w:noWrap w:val="0"/>
                  <w:vAlign w:val="center"/>
                </w:tcPr>
                <w:p w14:paraId="3544DE9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9EE4AD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621B71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B5EF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2B17A4B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DE75472">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5E66404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转盘</w:t>
                  </w:r>
                </w:p>
              </w:tc>
              <w:tc>
                <w:tcPr>
                  <w:tcW w:w="1323" w:type="pct"/>
                  <w:tcBorders>
                    <w:tl2br w:val="nil"/>
                    <w:tr2bl w:val="nil"/>
                  </w:tcBorders>
                  <w:noWrap w:val="0"/>
                  <w:vAlign w:val="center"/>
                </w:tcPr>
                <w:p w14:paraId="4CAE931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ZP-275</w:t>
                  </w:r>
                </w:p>
              </w:tc>
              <w:tc>
                <w:tcPr>
                  <w:tcW w:w="555" w:type="pct"/>
                  <w:tcBorders>
                    <w:tl2br w:val="nil"/>
                    <w:tr2bl w:val="nil"/>
                  </w:tcBorders>
                  <w:noWrap w:val="0"/>
                  <w:vAlign w:val="center"/>
                </w:tcPr>
                <w:p w14:paraId="7D4B1D4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A4A766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43F3B62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A534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65DCFA1">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7F9BBB9">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CF6630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泥浆泵</w:t>
                  </w:r>
                </w:p>
              </w:tc>
              <w:tc>
                <w:tcPr>
                  <w:tcW w:w="1323" w:type="pct"/>
                  <w:tcBorders>
                    <w:tl2br w:val="nil"/>
                    <w:tr2bl w:val="nil"/>
                  </w:tcBorders>
                  <w:noWrap w:val="0"/>
                  <w:vAlign w:val="center"/>
                </w:tcPr>
                <w:p w14:paraId="2E10947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F-1600</w:t>
                  </w:r>
                </w:p>
              </w:tc>
              <w:tc>
                <w:tcPr>
                  <w:tcW w:w="555" w:type="pct"/>
                  <w:tcBorders>
                    <w:tl2br w:val="nil"/>
                    <w:tr2bl w:val="nil"/>
                  </w:tcBorders>
                  <w:noWrap w:val="0"/>
                  <w:vAlign w:val="center"/>
                </w:tcPr>
                <w:p w14:paraId="6A68007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1E9090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DCE06E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98AF5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6B9D3D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A6AF5F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6072F0A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除砂器</w:t>
                  </w:r>
                </w:p>
              </w:tc>
              <w:tc>
                <w:tcPr>
                  <w:tcW w:w="1323" w:type="pct"/>
                  <w:tcBorders>
                    <w:tl2br w:val="nil"/>
                    <w:tr2bl w:val="nil"/>
                  </w:tcBorders>
                  <w:noWrap w:val="0"/>
                  <w:vAlign w:val="center"/>
                </w:tcPr>
                <w:p w14:paraId="1BA4387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ZQJ250×2</w:t>
                  </w:r>
                </w:p>
              </w:tc>
              <w:tc>
                <w:tcPr>
                  <w:tcW w:w="555" w:type="pct"/>
                  <w:tcBorders>
                    <w:tl2br w:val="nil"/>
                    <w:tr2bl w:val="nil"/>
                  </w:tcBorders>
                  <w:noWrap w:val="0"/>
                  <w:vAlign w:val="center"/>
                </w:tcPr>
                <w:p w14:paraId="44F3C84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A44DE2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3B03E2F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C965E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92707B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48AD0D6">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26178F5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除泥器</w:t>
                  </w:r>
                </w:p>
              </w:tc>
              <w:tc>
                <w:tcPr>
                  <w:tcW w:w="1323" w:type="pct"/>
                  <w:tcBorders>
                    <w:tl2br w:val="nil"/>
                    <w:tr2bl w:val="nil"/>
                  </w:tcBorders>
                  <w:noWrap w:val="0"/>
                  <w:vAlign w:val="center"/>
                </w:tcPr>
                <w:p w14:paraId="5DA81C2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ZQJ100×10</w:t>
                  </w:r>
                </w:p>
              </w:tc>
              <w:tc>
                <w:tcPr>
                  <w:tcW w:w="555" w:type="pct"/>
                  <w:tcBorders>
                    <w:tl2br w:val="nil"/>
                    <w:tr2bl w:val="nil"/>
                  </w:tcBorders>
                  <w:noWrap w:val="0"/>
                  <w:vAlign w:val="center"/>
                </w:tcPr>
                <w:p w14:paraId="7890FF2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CED62D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AD8C47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75F10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7EA5E7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3F68B6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24AA8F1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离心机</w:t>
                  </w:r>
                </w:p>
              </w:tc>
              <w:tc>
                <w:tcPr>
                  <w:tcW w:w="1323" w:type="pct"/>
                  <w:tcBorders>
                    <w:tl2br w:val="nil"/>
                    <w:tr2bl w:val="nil"/>
                  </w:tcBorders>
                  <w:noWrap w:val="0"/>
                  <w:vAlign w:val="center"/>
                </w:tcPr>
                <w:p w14:paraId="50F6392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LW600</w:t>
                  </w:r>
                </w:p>
              </w:tc>
              <w:tc>
                <w:tcPr>
                  <w:tcW w:w="555" w:type="pct"/>
                  <w:tcBorders>
                    <w:tl2br w:val="nil"/>
                    <w:tr2bl w:val="nil"/>
                  </w:tcBorders>
                  <w:noWrap w:val="0"/>
                  <w:vAlign w:val="center"/>
                </w:tcPr>
                <w:p w14:paraId="15A8D6F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59DF28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A38B44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9C8C4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555605C">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ADD77E2">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856F62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除气器</w:t>
                  </w:r>
                </w:p>
              </w:tc>
              <w:tc>
                <w:tcPr>
                  <w:tcW w:w="1323" w:type="pct"/>
                  <w:tcBorders>
                    <w:tl2br w:val="nil"/>
                    <w:tr2bl w:val="nil"/>
                  </w:tcBorders>
                  <w:noWrap w:val="0"/>
                  <w:vAlign w:val="center"/>
                </w:tcPr>
                <w:p w14:paraId="1775BE1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CQ1/4</w:t>
                  </w:r>
                </w:p>
              </w:tc>
              <w:tc>
                <w:tcPr>
                  <w:tcW w:w="555" w:type="pct"/>
                  <w:tcBorders>
                    <w:tl2br w:val="nil"/>
                    <w:tr2bl w:val="nil"/>
                  </w:tcBorders>
                  <w:noWrap w:val="0"/>
                  <w:vAlign w:val="center"/>
                </w:tcPr>
                <w:p w14:paraId="3446468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830E6F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D40B56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B5D2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1D59EB5">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4F5FD6BE">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FA3222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振动筛</w:t>
                  </w:r>
                </w:p>
              </w:tc>
              <w:tc>
                <w:tcPr>
                  <w:tcW w:w="1323" w:type="pct"/>
                  <w:tcBorders>
                    <w:tl2br w:val="nil"/>
                    <w:tr2bl w:val="nil"/>
                  </w:tcBorders>
                  <w:noWrap w:val="0"/>
                  <w:vAlign w:val="center"/>
                </w:tcPr>
                <w:p w14:paraId="19DF24D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CQ-2</w:t>
                  </w:r>
                </w:p>
              </w:tc>
              <w:tc>
                <w:tcPr>
                  <w:tcW w:w="555" w:type="pct"/>
                  <w:tcBorders>
                    <w:tl2br w:val="nil"/>
                    <w:tr2bl w:val="nil"/>
                  </w:tcBorders>
                  <w:noWrap w:val="0"/>
                  <w:vAlign w:val="center"/>
                </w:tcPr>
                <w:p w14:paraId="7398314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22D4F3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D67230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FA6CF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697CEC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2DA54E8">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1FC102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漏斗</w:t>
                  </w:r>
                </w:p>
              </w:tc>
              <w:tc>
                <w:tcPr>
                  <w:tcW w:w="1323" w:type="pct"/>
                  <w:tcBorders>
                    <w:tl2br w:val="nil"/>
                    <w:tr2bl w:val="nil"/>
                  </w:tcBorders>
                  <w:noWrap w:val="0"/>
                  <w:vAlign w:val="center"/>
                </w:tcPr>
                <w:p w14:paraId="0FF58A3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0639548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2E9E8A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4BEA721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98E2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20183B0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EC1A16F">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77C38F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加重泵</w:t>
                  </w:r>
                </w:p>
              </w:tc>
              <w:tc>
                <w:tcPr>
                  <w:tcW w:w="1323" w:type="pct"/>
                  <w:tcBorders>
                    <w:tl2br w:val="nil"/>
                    <w:tr2bl w:val="nil"/>
                  </w:tcBorders>
                  <w:noWrap w:val="0"/>
                  <w:vAlign w:val="center"/>
                </w:tcPr>
                <w:p w14:paraId="3C379567">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0507990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6B553C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0B15ED5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F83BB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06E8571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569" w:type="pct"/>
                  <w:vMerge w:val="restart"/>
                  <w:tcBorders>
                    <w:tl2br w:val="nil"/>
                    <w:tr2bl w:val="nil"/>
                  </w:tcBorders>
                  <w:noWrap w:val="0"/>
                  <w:vAlign w:val="center"/>
                </w:tcPr>
                <w:p w14:paraId="0054455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钻机控制系统</w:t>
                  </w:r>
                </w:p>
              </w:tc>
              <w:tc>
                <w:tcPr>
                  <w:tcW w:w="966" w:type="pct"/>
                  <w:tcBorders>
                    <w:tl2br w:val="nil"/>
                    <w:tr2bl w:val="nil"/>
                  </w:tcBorders>
                  <w:noWrap w:val="0"/>
                  <w:vAlign w:val="center"/>
                </w:tcPr>
                <w:p w14:paraId="40B26A3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自动压风机</w:t>
                  </w:r>
                </w:p>
              </w:tc>
              <w:tc>
                <w:tcPr>
                  <w:tcW w:w="1323" w:type="pct"/>
                  <w:tcBorders>
                    <w:tl2br w:val="nil"/>
                    <w:tr2bl w:val="nil"/>
                  </w:tcBorders>
                  <w:noWrap w:val="0"/>
                  <w:vAlign w:val="center"/>
                </w:tcPr>
                <w:p w14:paraId="5F93135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2V-</w:t>
                  </w:r>
                  <w:r>
                    <w:rPr>
                      <w:rFonts w:hint="default" w:ascii="Times New Roman" w:hAnsi="Times New Roman" w:eastAsia="宋体" w:cs="Times New Roman"/>
                      <w:color w:val="auto"/>
                      <w:sz w:val="21"/>
                      <w:szCs w:val="21"/>
                      <w:lang w:eastAsia="zh-CN"/>
                    </w:rPr>
                    <w:t>7</w:t>
                  </w:r>
                  <w:r>
                    <w:rPr>
                      <w:rFonts w:hint="default" w:ascii="Times New Roman" w:hAnsi="Times New Roman" w:cs="Times New Roman"/>
                      <w:color w:val="auto"/>
                      <w:sz w:val="21"/>
                      <w:szCs w:val="21"/>
                    </w:rPr>
                    <w:t>-12</w:t>
                  </w:r>
                </w:p>
              </w:tc>
              <w:tc>
                <w:tcPr>
                  <w:tcW w:w="555" w:type="pct"/>
                  <w:tcBorders>
                    <w:tl2br w:val="nil"/>
                    <w:tr2bl w:val="nil"/>
                  </w:tcBorders>
                  <w:noWrap w:val="0"/>
                  <w:vAlign w:val="center"/>
                </w:tcPr>
                <w:p w14:paraId="5A13B42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4B54D1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0DFC3EF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2C360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92F38B9">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E9CF23C">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6C1CF0B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电动压风机</w:t>
                  </w:r>
                </w:p>
              </w:tc>
              <w:tc>
                <w:tcPr>
                  <w:tcW w:w="1323" w:type="pct"/>
                  <w:tcBorders>
                    <w:tl2br w:val="nil"/>
                    <w:tr2bl w:val="nil"/>
                  </w:tcBorders>
                  <w:noWrap w:val="0"/>
                  <w:vAlign w:val="center"/>
                </w:tcPr>
                <w:p w14:paraId="14E776D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2V-</w:t>
                  </w:r>
                  <w:r>
                    <w:rPr>
                      <w:rFonts w:hint="default" w:ascii="Times New Roman" w:hAnsi="Times New Roman" w:eastAsia="宋体" w:cs="Times New Roman"/>
                      <w:color w:val="auto"/>
                      <w:sz w:val="21"/>
                      <w:szCs w:val="21"/>
                      <w:lang w:eastAsia="zh-CN"/>
                    </w:rPr>
                    <w:t>7</w:t>
                  </w:r>
                  <w:r>
                    <w:rPr>
                      <w:rFonts w:hint="default" w:ascii="Times New Roman" w:hAnsi="Times New Roman" w:cs="Times New Roman"/>
                      <w:color w:val="auto"/>
                      <w:sz w:val="21"/>
                      <w:szCs w:val="21"/>
                    </w:rPr>
                    <w:t>-12</w:t>
                  </w:r>
                </w:p>
              </w:tc>
              <w:tc>
                <w:tcPr>
                  <w:tcW w:w="555" w:type="pct"/>
                  <w:tcBorders>
                    <w:tl2br w:val="nil"/>
                    <w:tr2bl w:val="nil"/>
                  </w:tcBorders>
                  <w:noWrap w:val="0"/>
                  <w:vAlign w:val="center"/>
                </w:tcPr>
                <w:p w14:paraId="4F83FB6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2A9D5F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74C9E43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651D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E10A31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7A58D91">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083BEC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刹车系统</w:t>
                  </w:r>
                </w:p>
              </w:tc>
              <w:tc>
                <w:tcPr>
                  <w:tcW w:w="1323" w:type="pct"/>
                  <w:tcBorders>
                    <w:tl2br w:val="nil"/>
                    <w:tr2bl w:val="nil"/>
                  </w:tcBorders>
                  <w:noWrap w:val="0"/>
                  <w:vAlign w:val="center"/>
                </w:tcPr>
                <w:p w14:paraId="4A59522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PSZ75</w:t>
                  </w:r>
                  <w:r>
                    <w:rPr>
                      <w:rFonts w:hint="default" w:ascii="Times New Roman" w:hAnsi="Times New Roman" w:eastAsia="宋体" w:cs="Times New Roman"/>
                      <w:color w:val="auto"/>
                      <w:sz w:val="21"/>
                      <w:szCs w:val="21"/>
                    </w:rPr>
                    <w:t>液压盘刹车系统</w:t>
                  </w:r>
                </w:p>
              </w:tc>
              <w:tc>
                <w:tcPr>
                  <w:tcW w:w="555" w:type="pct"/>
                  <w:tcBorders>
                    <w:tl2br w:val="nil"/>
                    <w:tr2bl w:val="nil"/>
                  </w:tcBorders>
                  <w:noWrap w:val="0"/>
                  <w:vAlign w:val="center"/>
                </w:tcPr>
                <w:p w14:paraId="0914F46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A5D48C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676E491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26C92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06536D0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FBB62AF">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77CE8F4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辅助刹车</w:t>
                  </w:r>
                </w:p>
              </w:tc>
              <w:tc>
                <w:tcPr>
                  <w:tcW w:w="1323" w:type="pct"/>
                  <w:tcBorders>
                    <w:tl2br w:val="nil"/>
                    <w:tr2bl w:val="nil"/>
                  </w:tcBorders>
                  <w:noWrap w:val="0"/>
                  <w:vAlign w:val="center"/>
                </w:tcPr>
                <w:p w14:paraId="3241603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SDF50L</w:t>
                  </w:r>
                </w:p>
              </w:tc>
              <w:tc>
                <w:tcPr>
                  <w:tcW w:w="555" w:type="pct"/>
                  <w:tcBorders>
                    <w:tl2br w:val="nil"/>
                    <w:tr2bl w:val="nil"/>
                  </w:tcBorders>
                  <w:noWrap w:val="0"/>
                  <w:vAlign w:val="center"/>
                </w:tcPr>
                <w:p w14:paraId="09430CA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1D35F5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7981843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6008B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1BADC62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569" w:type="pct"/>
                  <w:vMerge w:val="restart"/>
                  <w:tcBorders>
                    <w:tl2br w:val="nil"/>
                    <w:tr2bl w:val="nil"/>
                  </w:tcBorders>
                  <w:noWrap w:val="0"/>
                  <w:vAlign w:val="center"/>
                </w:tcPr>
                <w:p w14:paraId="49F7B5C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井控装置</w:t>
                  </w:r>
                </w:p>
              </w:tc>
              <w:tc>
                <w:tcPr>
                  <w:tcW w:w="966" w:type="pct"/>
                  <w:tcBorders>
                    <w:tl2br w:val="nil"/>
                    <w:tr2bl w:val="nil"/>
                  </w:tcBorders>
                  <w:noWrap w:val="0"/>
                  <w:vAlign w:val="center"/>
                </w:tcPr>
                <w:p w14:paraId="6427E7A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环形防喷器</w:t>
                  </w:r>
                </w:p>
              </w:tc>
              <w:tc>
                <w:tcPr>
                  <w:tcW w:w="1323" w:type="pct"/>
                  <w:tcBorders>
                    <w:tl2br w:val="nil"/>
                    <w:tr2bl w:val="nil"/>
                  </w:tcBorders>
                  <w:noWrap w:val="0"/>
                  <w:vAlign w:val="center"/>
                </w:tcPr>
                <w:p w14:paraId="2044990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FH28-35</w:t>
                  </w:r>
                </w:p>
              </w:tc>
              <w:tc>
                <w:tcPr>
                  <w:tcW w:w="555" w:type="pct"/>
                  <w:tcBorders>
                    <w:tl2br w:val="nil"/>
                    <w:tr2bl w:val="nil"/>
                  </w:tcBorders>
                  <w:noWrap w:val="0"/>
                  <w:vAlign w:val="center"/>
                </w:tcPr>
                <w:p w14:paraId="310D6C7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A40960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9EE4DB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56BA2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2C2B95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AAE3184">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04F44E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闸板防喷器</w:t>
                  </w:r>
                </w:p>
              </w:tc>
              <w:tc>
                <w:tcPr>
                  <w:tcW w:w="1323" w:type="pct"/>
                  <w:tcBorders>
                    <w:tl2br w:val="nil"/>
                    <w:tr2bl w:val="nil"/>
                  </w:tcBorders>
                  <w:noWrap w:val="0"/>
                  <w:vAlign w:val="center"/>
                </w:tcPr>
                <w:p w14:paraId="3DC8368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2FZ28-35</w:t>
                  </w:r>
                </w:p>
              </w:tc>
              <w:tc>
                <w:tcPr>
                  <w:tcW w:w="555" w:type="pct"/>
                  <w:tcBorders>
                    <w:tl2br w:val="nil"/>
                    <w:tr2bl w:val="nil"/>
                  </w:tcBorders>
                  <w:noWrap w:val="0"/>
                  <w:vAlign w:val="center"/>
                </w:tcPr>
                <w:p w14:paraId="2B71831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185D61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EDABAA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B51C6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68F42A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F778A0E">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033B6D2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四通</w:t>
                  </w:r>
                </w:p>
              </w:tc>
              <w:tc>
                <w:tcPr>
                  <w:tcW w:w="1323" w:type="pct"/>
                  <w:tcBorders>
                    <w:tl2br w:val="nil"/>
                    <w:tr2bl w:val="nil"/>
                  </w:tcBorders>
                  <w:noWrap w:val="0"/>
                  <w:vAlign w:val="center"/>
                </w:tcPr>
                <w:p w14:paraId="5E28041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FS28-35</w:t>
                  </w:r>
                </w:p>
              </w:tc>
              <w:tc>
                <w:tcPr>
                  <w:tcW w:w="555" w:type="pct"/>
                  <w:tcBorders>
                    <w:tl2br w:val="nil"/>
                    <w:tr2bl w:val="nil"/>
                  </w:tcBorders>
                  <w:noWrap w:val="0"/>
                  <w:vAlign w:val="center"/>
                </w:tcPr>
                <w:p w14:paraId="2F2E5EF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7E81F3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760E43D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C9EA7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5" w:hRule="atLeast"/>
                <w:jc w:val="center"/>
              </w:trPr>
              <w:tc>
                <w:tcPr>
                  <w:tcW w:w="252" w:type="pct"/>
                  <w:vMerge w:val="continue"/>
                  <w:tcBorders>
                    <w:tl2br w:val="nil"/>
                    <w:tr2bl w:val="nil"/>
                  </w:tcBorders>
                  <w:noWrap w:val="0"/>
                  <w:vAlign w:val="center"/>
                </w:tcPr>
                <w:p w14:paraId="33967CD3">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9603D3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26848D6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节流管汇</w:t>
                  </w:r>
                </w:p>
              </w:tc>
              <w:tc>
                <w:tcPr>
                  <w:tcW w:w="1323" w:type="pct"/>
                  <w:tcBorders>
                    <w:tl2br w:val="nil"/>
                    <w:tr2bl w:val="nil"/>
                  </w:tcBorders>
                  <w:noWrap w:val="0"/>
                  <w:vAlign w:val="center"/>
                </w:tcPr>
                <w:p w14:paraId="66E33E4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JG-35</w:t>
                  </w:r>
                </w:p>
              </w:tc>
              <w:tc>
                <w:tcPr>
                  <w:tcW w:w="555" w:type="pct"/>
                  <w:tcBorders>
                    <w:tl2br w:val="nil"/>
                    <w:tr2bl w:val="nil"/>
                  </w:tcBorders>
                  <w:noWrap w:val="0"/>
                  <w:vAlign w:val="center"/>
                </w:tcPr>
                <w:p w14:paraId="768A4CF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E4FD86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0FB427B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E263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33165F6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2EC0E4A">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B85585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压井管汇</w:t>
                  </w:r>
                </w:p>
              </w:tc>
              <w:tc>
                <w:tcPr>
                  <w:tcW w:w="1323" w:type="pct"/>
                  <w:tcBorders>
                    <w:tl2br w:val="nil"/>
                    <w:tr2bl w:val="nil"/>
                  </w:tcBorders>
                  <w:noWrap w:val="0"/>
                  <w:vAlign w:val="center"/>
                </w:tcPr>
                <w:p w14:paraId="6D6AA48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YJ-35</w:t>
                  </w:r>
                </w:p>
              </w:tc>
              <w:tc>
                <w:tcPr>
                  <w:tcW w:w="555" w:type="pct"/>
                  <w:tcBorders>
                    <w:tl2br w:val="nil"/>
                    <w:tr2bl w:val="nil"/>
                  </w:tcBorders>
                  <w:noWrap w:val="0"/>
                  <w:vAlign w:val="center"/>
                </w:tcPr>
                <w:p w14:paraId="3198629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A1D5A6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5524660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95401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2C41B78">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35E1FE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63AD66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控制装置</w:t>
                  </w:r>
                </w:p>
              </w:tc>
              <w:tc>
                <w:tcPr>
                  <w:tcW w:w="1323" w:type="pct"/>
                  <w:tcBorders>
                    <w:tl2br w:val="nil"/>
                    <w:tr2bl w:val="nil"/>
                  </w:tcBorders>
                  <w:noWrap w:val="0"/>
                  <w:vAlign w:val="center"/>
                </w:tcPr>
                <w:p w14:paraId="20BF369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FKQ3204B</w:t>
                  </w:r>
                </w:p>
              </w:tc>
              <w:tc>
                <w:tcPr>
                  <w:tcW w:w="555" w:type="pct"/>
                  <w:tcBorders>
                    <w:tl2br w:val="nil"/>
                    <w:tr2bl w:val="nil"/>
                  </w:tcBorders>
                  <w:noWrap w:val="0"/>
                  <w:vAlign w:val="center"/>
                </w:tcPr>
                <w:p w14:paraId="0FF6A2F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E052E9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0E866E5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25452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3E1CCC4E">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569" w:type="pct"/>
                  <w:vMerge w:val="restart"/>
                  <w:tcBorders>
                    <w:tl2br w:val="nil"/>
                    <w:tr2bl w:val="nil"/>
                  </w:tcBorders>
                  <w:noWrap w:val="0"/>
                  <w:vAlign w:val="center"/>
                </w:tcPr>
                <w:p w14:paraId="0EC0DD6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检测系统</w:t>
                  </w:r>
                </w:p>
              </w:tc>
              <w:tc>
                <w:tcPr>
                  <w:tcW w:w="966" w:type="pct"/>
                  <w:tcBorders>
                    <w:tl2br w:val="nil"/>
                    <w:tr2bl w:val="nil"/>
                  </w:tcBorders>
                  <w:noWrap w:val="0"/>
                  <w:vAlign w:val="center"/>
                </w:tcPr>
                <w:p w14:paraId="341F643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固定式多功能气体检测仪</w:t>
                  </w:r>
                </w:p>
              </w:tc>
              <w:tc>
                <w:tcPr>
                  <w:tcW w:w="1323" w:type="pct"/>
                  <w:tcBorders>
                    <w:tl2br w:val="nil"/>
                    <w:tr2bl w:val="nil"/>
                  </w:tcBorders>
                  <w:noWrap w:val="0"/>
                  <w:vAlign w:val="center"/>
                </w:tcPr>
                <w:p w14:paraId="7AC6EBD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6AAEC7C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39A8C2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52EA1B4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FBA9B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3E10E2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6C7E4D3">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DFDAE6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便携式复合气体检测仪</w:t>
                  </w:r>
                </w:p>
              </w:tc>
              <w:tc>
                <w:tcPr>
                  <w:tcW w:w="1323" w:type="pct"/>
                  <w:tcBorders>
                    <w:tl2br w:val="nil"/>
                    <w:tr2bl w:val="nil"/>
                  </w:tcBorders>
                  <w:noWrap w:val="0"/>
                  <w:vAlign w:val="center"/>
                </w:tcPr>
                <w:p w14:paraId="7ACF493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7481C77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30C08D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18DE123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C9F2F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559F9FF0">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569" w:type="pct"/>
                  <w:tcBorders>
                    <w:tl2br w:val="nil"/>
                    <w:tr2bl w:val="nil"/>
                  </w:tcBorders>
                  <w:noWrap w:val="0"/>
                  <w:vAlign w:val="center"/>
                </w:tcPr>
                <w:p w14:paraId="6B30C49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呼吸器</w:t>
                  </w:r>
                </w:p>
              </w:tc>
              <w:tc>
                <w:tcPr>
                  <w:tcW w:w="966" w:type="pct"/>
                  <w:tcBorders>
                    <w:tl2br w:val="nil"/>
                    <w:tr2bl w:val="nil"/>
                  </w:tcBorders>
                  <w:noWrap w:val="0"/>
                  <w:vAlign w:val="center"/>
                </w:tcPr>
                <w:p w14:paraId="4023D8D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正压式空气呼吸器</w:t>
                  </w:r>
                </w:p>
              </w:tc>
              <w:tc>
                <w:tcPr>
                  <w:tcW w:w="1323" w:type="pct"/>
                  <w:tcBorders>
                    <w:tl2br w:val="nil"/>
                    <w:tr2bl w:val="nil"/>
                  </w:tcBorders>
                  <w:noWrap w:val="0"/>
                  <w:vAlign w:val="center"/>
                </w:tcPr>
                <w:p w14:paraId="0E3145B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0147004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25D95D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15" w:type="pct"/>
                  <w:tcBorders>
                    <w:tl2br w:val="nil"/>
                    <w:tr2bl w:val="nil"/>
                  </w:tcBorders>
                  <w:noWrap w:val="0"/>
                  <w:vAlign w:val="center"/>
                </w:tcPr>
                <w:p w14:paraId="5C93E09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当班生产人员每人1套，并配备2套作为公用</w:t>
                  </w:r>
                </w:p>
              </w:tc>
            </w:tr>
            <w:tr w14:paraId="18538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restart"/>
                  <w:tcBorders>
                    <w:tl2br w:val="nil"/>
                    <w:tr2bl w:val="nil"/>
                  </w:tcBorders>
                  <w:noWrap w:val="0"/>
                  <w:vAlign w:val="center"/>
                </w:tcPr>
                <w:p w14:paraId="3BBCCA13">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569" w:type="pct"/>
                  <w:vMerge w:val="restart"/>
                  <w:tcBorders>
                    <w:tl2br w:val="nil"/>
                    <w:tr2bl w:val="nil"/>
                  </w:tcBorders>
                  <w:noWrap w:val="0"/>
                  <w:vAlign w:val="center"/>
                </w:tcPr>
                <w:p w14:paraId="3E4E620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循环系统 配置</w:t>
                  </w:r>
                </w:p>
              </w:tc>
              <w:tc>
                <w:tcPr>
                  <w:tcW w:w="966" w:type="pct"/>
                  <w:tcBorders>
                    <w:tl2br w:val="nil"/>
                    <w:tr2bl w:val="nil"/>
                  </w:tcBorders>
                  <w:noWrap w:val="0"/>
                  <w:vAlign w:val="center"/>
                </w:tcPr>
                <w:p w14:paraId="72DE653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钻井泵</w:t>
                  </w:r>
                </w:p>
              </w:tc>
              <w:tc>
                <w:tcPr>
                  <w:tcW w:w="1323" w:type="pct"/>
                  <w:tcBorders>
                    <w:tl2br w:val="nil"/>
                    <w:tr2bl w:val="nil"/>
                  </w:tcBorders>
                  <w:noWrap w:val="0"/>
                  <w:vAlign w:val="center"/>
                </w:tcPr>
                <w:p w14:paraId="59C6413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3451A3E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0B5F83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0F1513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56C67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4FDB1090">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08F4CC4">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1CB9976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洗井废水罐</w:t>
                  </w:r>
                </w:p>
              </w:tc>
              <w:tc>
                <w:tcPr>
                  <w:tcW w:w="1323" w:type="pct"/>
                  <w:tcBorders>
                    <w:tl2br w:val="nil"/>
                    <w:tr2bl w:val="nil"/>
                  </w:tcBorders>
                  <w:noWrap w:val="0"/>
                  <w:vAlign w:val="center"/>
                </w:tcPr>
                <w:p w14:paraId="225A9C1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59D6E8F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04823C5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0851814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F6D33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D911612">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8CB9C8D">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C87422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压裂返排液罐</w:t>
                  </w:r>
                </w:p>
              </w:tc>
              <w:tc>
                <w:tcPr>
                  <w:tcW w:w="1323" w:type="pct"/>
                  <w:tcBorders>
                    <w:tl2br w:val="nil"/>
                    <w:tr2bl w:val="nil"/>
                  </w:tcBorders>
                  <w:noWrap w:val="0"/>
                  <w:vAlign w:val="center"/>
                </w:tcPr>
                <w:p w14:paraId="61FCD2D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5F071E9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26EBC4B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2E41A9D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9E02F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7674896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B6AD0A8">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49F3916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移动式泥饼和岩屑收集罐</w:t>
                  </w:r>
                </w:p>
              </w:tc>
              <w:tc>
                <w:tcPr>
                  <w:tcW w:w="1323" w:type="pct"/>
                  <w:tcBorders>
                    <w:tl2br w:val="nil"/>
                    <w:tr2bl w:val="nil"/>
                  </w:tcBorders>
                  <w:noWrap w:val="0"/>
                  <w:vAlign w:val="center"/>
                </w:tcPr>
                <w:p w14:paraId="3A72531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3C6A6B8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29E6EE8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581B6A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BFFFE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6EDA4E1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3E55705">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52B114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放喷废液收集罐</w:t>
                  </w:r>
                </w:p>
              </w:tc>
              <w:tc>
                <w:tcPr>
                  <w:tcW w:w="1323" w:type="pct"/>
                  <w:tcBorders>
                    <w:tl2br w:val="nil"/>
                    <w:tr2bl w:val="nil"/>
                  </w:tcBorders>
                  <w:noWrap w:val="0"/>
                  <w:vAlign w:val="center"/>
                </w:tcPr>
                <w:p w14:paraId="1374977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769D311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 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0B618E3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F18FC2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4345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5E22F3F5">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2C7F8147">
                  <w:pPr>
                    <w:adjustRightInd w:val="0"/>
                    <w:snapToGrid w:val="0"/>
                    <w:jc w:val="center"/>
                    <w:rPr>
                      <w:rFonts w:hint="default" w:ascii="Times New Roman" w:hAnsi="Times New Roman" w:cs="Times New Roman"/>
                      <w:color w:val="auto"/>
                      <w:sz w:val="21"/>
                      <w:szCs w:val="21"/>
                    </w:rPr>
                  </w:pPr>
                </w:p>
              </w:tc>
              <w:tc>
                <w:tcPr>
                  <w:tcW w:w="1622" w:type="dxa"/>
                  <w:tcBorders>
                    <w:tl2br w:val="nil"/>
                    <w:tr2bl w:val="nil"/>
                  </w:tcBorders>
                  <w:noWrap w:val="0"/>
                  <w:vAlign w:val="center"/>
                </w:tcPr>
                <w:p w14:paraId="0115D6FC">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泥浆循环罐</w:t>
                  </w:r>
                </w:p>
              </w:tc>
              <w:tc>
                <w:tcPr>
                  <w:tcW w:w="2222" w:type="dxa"/>
                  <w:tcBorders>
                    <w:tl2br w:val="nil"/>
                    <w:tr2bl w:val="nil"/>
                  </w:tcBorders>
                  <w:noWrap w:val="0"/>
                  <w:vAlign w:val="center"/>
                </w:tcPr>
                <w:p w14:paraId="16667A0F">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932" w:type="dxa"/>
                  <w:tcBorders>
                    <w:tl2br w:val="nil"/>
                    <w:tr2bl w:val="nil"/>
                  </w:tcBorders>
                  <w:noWrap w:val="0"/>
                  <w:vAlign w:val="center"/>
                </w:tcPr>
                <w:p w14:paraId="2D8D6B19">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p>
              </w:tc>
              <w:tc>
                <w:tcPr>
                  <w:tcW w:w="868" w:type="dxa"/>
                  <w:tcBorders>
                    <w:tl2br w:val="nil"/>
                    <w:tr2bl w:val="nil"/>
                  </w:tcBorders>
                  <w:noWrap w:val="0"/>
                  <w:vAlign w:val="center"/>
                </w:tcPr>
                <w:p w14:paraId="6CB01D4F">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7个</w:t>
                  </w:r>
                </w:p>
              </w:tc>
              <w:tc>
                <w:tcPr>
                  <w:tcW w:w="1369" w:type="dxa"/>
                  <w:tcBorders>
                    <w:tl2br w:val="nil"/>
                    <w:tr2bl w:val="nil"/>
                  </w:tcBorders>
                  <w:noWrap w:val="0"/>
                  <w:vAlign w:val="center"/>
                </w:tcPr>
                <w:p w14:paraId="08EA931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AD826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vMerge w:val="continue"/>
                  <w:tcBorders>
                    <w:tl2br w:val="nil"/>
                    <w:tr2bl w:val="nil"/>
                  </w:tcBorders>
                  <w:noWrap w:val="0"/>
                  <w:vAlign w:val="center"/>
                </w:tcPr>
                <w:p w14:paraId="16D4B3C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0C6362B">
                  <w:pPr>
                    <w:adjustRightInd w:val="0"/>
                    <w:snapToGrid w:val="0"/>
                    <w:jc w:val="center"/>
                    <w:rPr>
                      <w:rFonts w:hint="default" w:ascii="Times New Roman" w:hAnsi="Times New Roman" w:cs="Times New Roman"/>
                      <w:color w:val="auto"/>
                      <w:sz w:val="21"/>
                      <w:szCs w:val="21"/>
                    </w:rPr>
                  </w:pPr>
                </w:p>
              </w:tc>
              <w:tc>
                <w:tcPr>
                  <w:tcW w:w="966" w:type="pct"/>
                  <w:tcBorders>
                    <w:tl2br w:val="nil"/>
                    <w:tr2bl w:val="nil"/>
                  </w:tcBorders>
                  <w:noWrap w:val="0"/>
                  <w:vAlign w:val="center"/>
                </w:tcPr>
                <w:p w14:paraId="3F95C2E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搅拌器</w:t>
                  </w:r>
                </w:p>
              </w:tc>
              <w:tc>
                <w:tcPr>
                  <w:tcW w:w="1323" w:type="pct"/>
                  <w:tcBorders>
                    <w:tl2br w:val="nil"/>
                    <w:tr2bl w:val="nil"/>
                  </w:tcBorders>
                  <w:noWrap w:val="0"/>
                  <w:vAlign w:val="center"/>
                </w:tcPr>
                <w:p w14:paraId="7665647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520EDA0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NJ-7.5</w:t>
                  </w:r>
                </w:p>
              </w:tc>
              <w:tc>
                <w:tcPr>
                  <w:tcW w:w="517" w:type="pct"/>
                  <w:tcBorders>
                    <w:tl2br w:val="nil"/>
                    <w:tr2bl w:val="nil"/>
                  </w:tcBorders>
                  <w:noWrap w:val="0"/>
                  <w:vAlign w:val="center"/>
                </w:tcPr>
                <w:p w14:paraId="04245F9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3E21B84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8CD2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2" w:type="pct"/>
                  <w:tcBorders>
                    <w:tl2br w:val="nil"/>
                    <w:tr2bl w:val="nil"/>
                  </w:tcBorders>
                  <w:noWrap w:val="0"/>
                  <w:vAlign w:val="center"/>
                </w:tcPr>
                <w:p w14:paraId="5DBC9328">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69" w:type="pct"/>
                  <w:tcBorders>
                    <w:tl2br w:val="nil"/>
                    <w:tr2bl w:val="nil"/>
                  </w:tcBorders>
                  <w:noWrap w:val="0"/>
                  <w:vAlign w:val="center"/>
                </w:tcPr>
                <w:p w14:paraId="3E32CD2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压裂设备</w:t>
                  </w:r>
                </w:p>
              </w:tc>
              <w:tc>
                <w:tcPr>
                  <w:tcW w:w="966" w:type="pct"/>
                  <w:tcBorders>
                    <w:tl2br w:val="nil"/>
                    <w:tr2bl w:val="nil"/>
                  </w:tcBorders>
                  <w:noWrap w:val="0"/>
                  <w:vAlign w:val="center"/>
                </w:tcPr>
                <w:p w14:paraId="28BFF25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压裂车</w:t>
                  </w:r>
                </w:p>
              </w:tc>
              <w:tc>
                <w:tcPr>
                  <w:tcW w:w="1323" w:type="pct"/>
                  <w:tcBorders>
                    <w:tl2br w:val="nil"/>
                    <w:tr2bl w:val="nil"/>
                  </w:tcBorders>
                  <w:noWrap w:val="0"/>
                  <w:vAlign w:val="center"/>
                </w:tcPr>
                <w:p w14:paraId="461AD348">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02A62D8A">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50940A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4台</w:t>
                  </w:r>
                </w:p>
              </w:tc>
              <w:tc>
                <w:tcPr>
                  <w:tcW w:w="815" w:type="pct"/>
                  <w:tcBorders>
                    <w:tl2br w:val="nil"/>
                    <w:tr2bl w:val="nil"/>
                  </w:tcBorders>
                  <w:noWrap w:val="0"/>
                  <w:vAlign w:val="center"/>
                </w:tcPr>
                <w:p w14:paraId="1E8C27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由发动机、液力传动箱、压力泵、吸入排出管汇、安全系统、润滑系统、电路系统、液压系统、仪表及控制系统等组成</w:t>
                  </w:r>
                </w:p>
              </w:tc>
            </w:tr>
          </w:tbl>
          <w:p w14:paraId="21D6177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（2）测井设备</w:t>
            </w:r>
          </w:p>
          <w:p w14:paraId="7029FB3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测井是利用专用仪器设备测量岩层的电化学特性、导电特性、声学特性、放射性等地球物理特性，以获取岩层的孔隙度、渗透率以及含气情况等地层信息。本项目完井测井采用CPlog系列仪器，小井眼采用吉艾GILEE系列仪器，测井项目包括双侧向、声波时差、自然伽马、自然电位、井径、方位等。</w:t>
            </w:r>
          </w:p>
          <w:p w14:paraId="01AA022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（3）录井设备</w:t>
            </w:r>
          </w:p>
          <w:p w14:paraId="3455AEA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录井是利用肉眼、综合录井仪，观察、采集、收集、记录、分析随钻过程中由井筒返出的固体、液体、气体等井筒返出物信息，以此建立录井地质剖面、发现油气显示，并为钻井提供信息服务。录井主要设备为综合录井仪。</w:t>
            </w:r>
          </w:p>
          <w:p w14:paraId="6B78727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（4）钻井泥浆固液分离设备</w:t>
            </w:r>
          </w:p>
          <w:p w14:paraId="044B6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钻井泥浆固液分离设备见表2-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p>
          <w:p w14:paraId="090F89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单井</w:t>
            </w:r>
            <w:r>
              <w:rPr>
                <w:rFonts w:hint="default" w:ascii="Times New Roman" w:hAnsi="Times New Roman" w:eastAsia="宋体" w:cs="Times New Roman"/>
                <w:b/>
                <w:bCs/>
                <w:color w:val="auto"/>
                <w:sz w:val="21"/>
                <w:szCs w:val="21"/>
                <w:vertAlign w:val="baseline"/>
                <w:lang w:val="en-US" w:eastAsia="zh-CN"/>
              </w:rPr>
              <w:t>钻井泥浆固液分离设备一览表</w:t>
            </w:r>
          </w:p>
          <w:tbl>
            <w:tblPr>
              <w:tblStyle w:val="1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31"/>
              <w:gridCol w:w="2395"/>
              <w:gridCol w:w="1220"/>
              <w:gridCol w:w="2123"/>
              <w:gridCol w:w="2123"/>
            </w:tblGrid>
            <w:tr w14:paraId="19EFE1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518103B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1426" w:type="pct"/>
                  <w:tcBorders>
                    <w:tl2br w:val="nil"/>
                    <w:tr2bl w:val="nil"/>
                  </w:tcBorders>
                  <w:noWrap w:val="0"/>
                  <w:vAlign w:val="center"/>
                </w:tcPr>
                <w:p w14:paraId="1D48A18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名称</w:t>
                  </w:r>
                </w:p>
              </w:tc>
              <w:tc>
                <w:tcPr>
                  <w:tcW w:w="726" w:type="pct"/>
                  <w:tcBorders>
                    <w:tl2br w:val="nil"/>
                    <w:tr2bl w:val="nil"/>
                  </w:tcBorders>
                  <w:noWrap w:val="0"/>
                  <w:vAlign w:val="center"/>
                </w:tcPr>
                <w:p w14:paraId="4C2462F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型号</w:t>
                  </w:r>
                </w:p>
              </w:tc>
              <w:tc>
                <w:tcPr>
                  <w:tcW w:w="1264" w:type="pct"/>
                  <w:tcBorders>
                    <w:tl2br w:val="nil"/>
                    <w:tr2bl w:val="nil"/>
                  </w:tcBorders>
                  <w:noWrap w:val="0"/>
                  <w:vAlign w:val="center"/>
                </w:tcPr>
                <w:p w14:paraId="49A4796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载荷或功率（KN/KW）</w:t>
                  </w:r>
                </w:p>
              </w:tc>
              <w:tc>
                <w:tcPr>
                  <w:tcW w:w="1264" w:type="pct"/>
                  <w:tcBorders>
                    <w:tl2br w:val="nil"/>
                    <w:tr2bl w:val="nil"/>
                  </w:tcBorders>
                  <w:noWrap w:val="0"/>
                  <w:vAlign w:val="center"/>
                </w:tcPr>
                <w:p w14:paraId="5F8AD201">
                  <w:pPr>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数量（台）</w:t>
                  </w:r>
                </w:p>
              </w:tc>
            </w:tr>
            <w:tr w14:paraId="2F5A23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vMerge w:val="restart"/>
                  <w:tcBorders>
                    <w:tl2br w:val="nil"/>
                    <w:tr2bl w:val="nil"/>
                  </w:tcBorders>
                  <w:noWrap w:val="0"/>
                  <w:vAlign w:val="center"/>
                </w:tcPr>
                <w:p w14:paraId="067064A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426" w:type="pct"/>
                  <w:tcBorders>
                    <w:tl2br w:val="nil"/>
                    <w:tr2bl w:val="nil"/>
                  </w:tcBorders>
                  <w:noWrap w:val="0"/>
                  <w:vAlign w:val="center"/>
                </w:tcPr>
                <w:p w14:paraId="111E7FB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螺旋输送系统（轴）</w:t>
                  </w:r>
                </w:p>
              </w:tc>
              <w:tc>
                <w:tcPr>
                  <w:tcW w:w="726" w:type="pct"/>
                  <w:tcBorders>
                    <w:tl2br w:val="nil"/>
                    <w:tr2bl w:val="nil"/>
                  </w:tcBorders>
                  <w:noWrap w:val="0"/>
                  <w:vAlign w:val="center"/>
                </w:tcPr>
                <w:p w14:paraId="11E85D5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SS-300-12000</w:t>
                  </w:r>
                </w:p>
              </w:tc>
              <w:tc>
                <w:tcPr>
                  <w:tcW w:w="1264" w:type="pct"/>
                  <w:tcBorders>
                    <w:tl2br w:val="nil"/>
                    <w:tr2bl w:val="nil"/>
                  </w:tcBorders>
                  <w:noWrap w:val="0"/>
                  <w:vAlign w:val="center"/>
                </w:tcPr>
                <w:p w14:paraId="166B05A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5.5×3kW</w:t>
                  </w:r>
                </w:p>
              </w:tc>
              <w:tc>
                <w:tcPr>
                  <w:tcW w:w="2122" w:type="dxa"/>
                  <w:tcBorders>
                    <w:tl2br w:val="nil"/>
                    <w:tr2bl w:val="nil"/>
                  </w:tcBorders>
                  <w:noWrap w:val="0"/>
                  <w:vAlign w:val="center"/>
                </w:tcPr>
                <w:p w14:paraId="7C486BF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p>
              </w:tc>
            </w:tr>
            <w:tr w14:paraId="54841A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vMerge w:val="continue"/>
                  <w:tcBorders>
                    <w:tl2br w:val="nil"/>
                    <w:tr2bl w:val="nil"/>
                  </w:tcBorders>
                  <w:noWrap w:val="0"/>
                  <w:vAlign w:val="center"/>
                </w:tcPr>
                <w:p w14:paraId="05B3AD58">
                  <w:pPr>
                    <w:adjustRightInd w:val="0"/>
                    <w:snapToGrid w:val="0"/>
                    <w:jc w:val="center"/>
                    <w:rPr>
                      <w:rFonts w:hint="default" w:ascii="Times New Roman" w:hAnsi="Times New Roman" w:cs="Times New Roman"/>
                      <w:color w:val="auto"/>
                      <w:sz w:val="21"/>
                      <w:szCs w:val="21"/>
                    </w:rPr>
                  </w:pPr>
                </w:p>
              </w:tc>
              <w:tc>
                <w:tcPr>
                  <w:tcW w:w="1426" w:type="pct"/>
                  <w:tcBorders>
                    <w:tl2br w:val="nil"/>
                    <w:tr2bl w:val="nil"/>
                  </w:tcBorders>
                  <w:noWrap w:val="0"/>
                  <w:vAlign w:val="center"/>
                </w:tcPr>
                <w:p w14:paraId="50B40E6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螺旋输送系统（有轴）</w:t>
                  </w:r>
                </w:p>
              </w:tc>
              <w:tc>
                <w:tcPr>
                  <w:tcW w:w="726" w:type="pct"/>
                  <w:tcBorders>
                    <w:tl2br w:val="nil"/>
                    <w:tr2bl w:val="nil"/>
                  </w:tcBorders>
                  <w:noWrap w:val="0"/>
                  <w:vAlign w:val="center"/>
                </w:tcPr>
                <w:p w14:paraId="42A9F2E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SS-200-6000</w:t>
                  </w:r>
                </w:p>
              </w:tc>
              <w:tc>
                <w:tcPr>
                  <w:tcW w:w="1264" w:type="pct"/>
                  <w:tcBorders>
                    <w:tl2br w:val="nil"/>
                    <w:tr2bl w:val="nil"/>
                  </w:tcBorders>
                  <w:noWrap w:val="0"/>
                  <w:vAlign w:val="center"/>
                </w:tcPr>
                <w:p w14:paraId="272B7BA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2.2×3kW</w:t>
                  </w:r>
                </w:p>
              </w:tc>
              <w:tc>
                <w:tcPr>
                  <w:tcW w:w="2122" w:type="dxa"/>
                  <w:tcBorders>
                    <w:tl2br w:val="nil"/>
                    <w:tr2bl w:val="nil"/>
                  </w:tcBorders>
                  <w:noWrap w:val="0"/>
                  <w:vAlign w:val="center"/>
                </w:tcPr>
                <w:p w14:paraId="57AC454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p>
              </w:tc>
            </w:tr>
            <w:tr w14:paraId="708614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41C6E101">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2</w:t>
                  </w:r>
                </w:p>
              </w:tc>
              <w:tc>
                <w:tcPr>
                  <w:tcW w:w="1426" w:type="pct"/>
                  <w:tcBorders>
                    <w:tl2br w:val="nil"/>
                    <w:tr2bl w:val="nil"/>
                  </w:tcBorders>
                  <w:noWrap w:val="0"/>
                  <w:vAlign w:val="center"/>
                </w:tcPr>
                <w:p w14:paraId="38AB302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auto"/>
                      <w:sz w:val="21"/>
                      <w:szCs w:val="21"/>
                      <w:lang w:eastAsia="zh-CN"/>
                    </w:rPr>
                  </w:pPr>
                  <w:r>
                    <w:rPr>
                      <w:rFonts w:hint="eastAsia"/>
                      <w:color w:val="auto"/>
                      <w:sz w:val="21"/>
                      <w:szCs w:val="21"/>
                    </w:rPr>
                    <w:t>除砂器</w:t>
                  </w:r>
                </w:p>
              </w:tc>
              <w:tc>
                <w:tcPr>
                  <w:tcW w:w="726" w:type="pct"/>
                  <w:tcBorders>
                    <w:tl2br w:val="nil"/>
                    <w:tr2bl w:val="nil"/>
                  </w:tcBorders>
                  <w:noWrap w:val="0"/>
                  <w:vAlign w:val="center"/>
                </w:tcPr>
                <w:p w14:paraId="2D6FCD5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ZQJ</w:t>
                  </w:r>
                  <w:r>
                    <w:rPr>
                      <w:color w:val="auto"/>
                      <w:sz w:val="21"/>
                      <w:szCs w:val="21"/>
                    </w:rPr>
                    <w:t>250</w:t>
                  </w:r>
                </w:p>
              </w:tc>
              <w:tc>
                <w:tcPr>
                  <w:tcW w:w="1264" w:type="pct"/>
                  <w:tcBorders>
                    <w:tl2br w:val="nil"/>
                    <w:tr2bl w:val="nil"/>
                  </w:tcBorders>
                  <w:noWrap w:val="0"/>
                  <w:vAlign w:val="center"/>
                </w:tcPr>
                <w:p w14:paraId="1E83E2ED">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w:t>
                  </w:r>
                </w:p>
              </w:tc>
              <w:tc>
                <w:tcPr>
                  <w:tcW w:w="2122" w:type="dxa"/>
                  <w:tcBorders>
                    <w:tl2br w:val="nil"/>
                    <w:tr2bl w:val="nil"/>
                  </w:tcBorders>
                  <w:noWrap w:val="0"/>
                  <w:vAlign w:val="center"/>
                </w:tcPr>
                <w:p w14:paraId="439236E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color w:val="auto"/>
                      <w:sz w:val="21"/>
                      <w:szCs w:val="21"/>
                    </w:rPr>
                  </w:pPr>
                  <w:r>
                    <w:rPr>
                      <w:rFonts w:hint="default" w:ascii="Times New Roman" w:hAnsi="Times New Roman" w:eastAsia="宋体" w:cs="Times New Roman"/>
                      <w:color w:val="auto"/>
                      <w:sz w:val="21"/>
                      <w:szCs w:val="21"/>
                    </w:rPr>
                    <w:t>1</w:t>
                  </w:r>
                </w:p>
              </w:tc>
            </w:tr>
            <w:tr w14:paraId="023731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71E7A3BD">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3</w:t>
                  </w:r>
                </w:p>
              </w:tc>
              <w:tc>
                <w:tcPr>
                  <w:tcW w:w="1426" w:type="pct"/>
                  <w:tcBorders>
                    <w:tl2br w:val="nil"/>
                    <w:tr2bl w:val="nil"/>
                  </w:tcBorders>
                  <w:noWrap w:val="0"/>
                  <w:vAlign w:val="center"/>
                </w:tcPr>
                <w:p w14:paraId="04E8564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除泥器</w:t>
                  </w:r>
                </w:p>
              </w:tc>
              <w:tc>
                <w:tcPr>
                  <w:tcW w:w="726" w:type="pct"/>
                  <w:tcBorders>
                    <w:tl2br w:val="nil"/>
                    <w:tr2bl w:val="nil"/>
                  </w:tcBorders>
                  <w:noWrap w:val="0"/>
                  <w:vAlign w:val="center"/>
                </w:tcPr>
                <w:p w14:paraId="16CC8BBD">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ZQJ</w:t>
                  </w:r>
                  <w:r>
                    <w:rPr>
                      <w:color w:val="auto"/>
                      <w:sz w:val="21"/>
                      <w:szCs w:val="21"/>
                    </w:rPr>
                    <w:t>250</w:t>
                  </w:r>
                </w:p>
              </w:tc>
              <w:tc>
                <w:tcPr>
                  <w:tcW w:w="1264" w:type="pct"/>
                  <w:tcBorders>
                    <w:tl2br w:val="nil"/>
                    <w:tr2bl w:val="nil"/>
                  </w:tcBorders>
                  <w:noWrap w:val="0"/>
                  <w:vAlign w:val="center"/>
                </w:tcPr>
                <w:p w14:paraId="500AF66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w:t>
                  </w:r>
                </w:p>
              </w:tc>
              <w:tc>
                <w:tcPr>
                  <w:tcW w:w="2122" w:type="dxa"/>
                  <w:tcBorders>
                    <w:tl2br w:val="nil"/>
                    <w:tr2bl w:val="nil"/>
                  </w:tcBorders>
                  <w:noWrap w:val="0"/>
                  <w:vAlign w:val="center"/>
                </w:tcPr>
                <w:p w14:paraId="44CE163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color w:val="auto"/>
                      <w:sz w:val="21"/>
                      <w:szCs w:val="21"/>
                    </w:rPr>
                  </w:pPr>
                  <w:r>
                    <w:rPr>
                      <w:rFonts w:hint="default" w:ascii="Times New Roman" w:hAnsi="Times New Roman" w:eastAsia="宋体" w:cs="Times New Roman"/>
                      <w:color w:val="auto"/>
                      <w:sz w:val="21"/>
                      <w:szCs w:val="21"/>
                    </w:rPr>
                    <w:t>1</w:t>
                  </w:r>
                </w:p>
              </w:tc>
            </w:tr>
            <w:tr w14:paraId="0388F6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57BF36E2">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4</w:t>
                  </w:r>
                </w:p>
              </w:tc>
              <w:tc>
                <w:tcPr>
                  <w:tcW w:w="1426" w:type="pct"/>
                  <w:tcBorders>
                    <w:tl2br w:val="nil"/>
                    <w:tr2bl w:val="nil"/>
                  </w:tcBorders>
                  <w:noWrap w:val="0"/>
                  <w:vAlign w:val="center"/>
                </w:tcPr>
                <w:p w14:paraId="3BFE2FB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甩干机</w:t>
                  </w:r>
                </w:p>
              </w:tc>
              <w:tc>
                <w:tcPr>
                  <w:tcW w:w="726" w:type="pct"/>
                  <w:tcBorders>
                    <w:tl2br w:val="nil"/>
                    <w:tr2bl w:val="nil"/>
                  </w:tcBorders>
                  <w:noWrap w:val="0"/>
                  <w:vAlign w:val="center"/>
                </w:tcPr>
                <w:p w14:paraId="6E279A2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GHD-1</w:t>
                  </w:r>
                </w:p>
              </w:tc>
              <w:tc>
                <w:tcPr>
                  <w:tcW w:w="1264" w:type="pct"/>
                  <w:tcBorders>
                    <w:tl2br w:val="nil"/>
                    <w:tr2bl w:val="nil"/>
                  </w:tcBorders>
                  <w:noWrap w:val="0"/>
                  <w:vAlign w:val="center"/>
                </w:tcPr>
                <w:p w14:paraId="5F2DE176">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18.5kW</w:t>
                  </w:r>
                </w:p>
              </w:tc>
              <w:tc>
                <w:tcPr>
                  <w:tcW w:w="2122" w:type="dxa"/>
                  <w:tcBorders>
                    <w:tl2br w:val="nil"/>
                    <w:tr2bl w:val="nil"/>
                  </w:tcBorders>
                  <w:noWrap w:val="0"/>
                  <w:vAlign w:val="center"/>
                </w:tcPr>
                <w:p w14:paraId="0CC9F96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color w:val="auto"/>
                      <w:sz w:val="21"/>
                      <w:szCs w:val="21"/>
                    </w:rPr>
                  </w:pPr>
                  <w:r>
                    <w:rPr>
                      <w:rFonts w:hint="default" w:ascii="Times New Roman" w:hAnsi="Times New Roman" w:eastAsia="宋体" w:cs="Times New Roman"/>
                      <w:color w:val="auto"/>
                      <w:sz w:val="21"/>
                      <w:szCs w:val="21"/>
                    </w:rPr>
                    <w:t>1</w:t>
                  </w:r>
                </w:p>
              </w:tc>
            </w:tr>
            <w:tr w14:paraId="7E621D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544A28BE">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5</w:t>
                  </w:r>
                </w:p>
              </w:tc>
              <w:tc>
                <w:tcPr>
                  <w:tcW w:w="1426" w:type="pct"/>
                  <w:tcBorders>
                    <w:tl2br w:val="nil"/>
                    <w:tr2bl w:val="nil"/>
                  </w:tcBorders>
                  <w:noWrap w:val="0"/>
                  <w:vAlign w:val="center"/>
                </w:tcPr>
                <w:p w14:paraId="771E563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离心机</w:t>
                  </w:r>
                </w:p>
              </w:tc>
              <w:tc>
                <w:tcPr>
                  <w:tcW w:w="726" w:type="pct"/>
                  <w:tcBorders>
                    <w:tl2br w:val="nil"/>
                    <w:tr2bl w:val="nil"/>
                  </w:tcBorders>
                  <w:noWrap w:val="0"/>
                  <w:vAlign w:val="center"/>
                </w:tcPr>
                <w:p w14:paraId="62A5E7D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LW</w:t>
                  </w:r>
                  <w:r>
                    <w:rPr>
                      <w:color w:val="auto"/>
                      <w:sz w:val="21"/>
                      <w:szCs w:val="21"/>
                    </w:rPr>
                    <w:t>600</w:t>
                  </w:r>
                </w:p>
              </w:tc>
              <w:tc>
                <w:tcPr>
                  <w:tcW w:w="1264" w:type="pct"/>
                  <w:tcBorders>
                    <w:tl2br w:val="nil"/>
                    <w:tr2bl w:val="nil"/>
                  </w:tcBorders>
                  <w:noWrap w:val="0"/>
                  <w:vAlign w:val="center"/>
                </w:tcPr>
                <w:p w14:paraId="527A00D2">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rPr>
                    <w:t>7</w:t>
                  </w:r>
                  <w:r>
                    <w:rPr>
                      <w:color w:val="auto"/>
                      <w:sz w:val="21"/>
                      <w:szCs w:val="21"/>
                    </w:rPr>
                    <w:t>.5</w:t>
                  </w:r>
                  <w:r>
                    <w:rPr>
                      <w:rFonts w:hint="eastAsia"/>
                      <w:color w:val="auto"/>
                      <w:sz w:val="21"/>
                      <w:szCs w:val="21"/>
                    </w:rPr>
                    <w:t>KW</w:t>
                  </w:r>
                </w:p>
              </w:tc>
              <w:tc>
                <w:tcPr>
                  <w:tcW w:w="2122" w:type="dxa"/>
                  <w:tcBorders>
                    <w:tl2br w:val="nil"/>
                    <w:tr2bl w:val="nil"/>
                  </w:tcBorders>
                  <w:noWrap w:val="0"/>
                  <w:vAlign w:val="center"/>
                </w:tcPr>
                <w:p w14:paraId="2B18952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color w:val="auto"/>
                      <w:sz w:val="21"/>
                      <w:szCs w:val="21"/>
                    </w:rPr>
                  </w:pPr>
                  <w:r>
                    <w:rPr>
                      <w:rFonts w:hint="default" w:ascii="Times New Roman" w:hAnsi="Times New Roman" w:eastAsia="宋体" w:cs="Times New Roman"/>
                      <w:color w:val="auto"/>
                      <w:sz w:val="21"/>
                      <w:szCs w:val="21"/>
                    </w:rPr>
                    <w:t>2</w:t>
                  </w:r>
                </w:p>
              </w:tc>
            </w:tr>
            <w:tr w14:paraId="42C45E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02D40DC2">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6</w:t>
                  </w:r>
                </w:p>
              </w:tc>
              <w:tc>
                <w:tcPr>
                  <w:tcW w:w="1426" w:type="pct"/>
                  <w:tcBorders>
                    <w:tl2br w:val="nil"/>
                    <w:tr2bl w:val="nil"/>
                  </w:tcBorders>
                  <w:noWrap w:val="0"/>
                  <w:vAlign w:val="center"/>
                </w:tcPr>
                <w:p w14:paraId="1E3BBDB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储罐搅拌系统</w:t>
                  </w:r>
                </w:p>
              </w:tc>
              <w:tc>
                <w:tcPr>
                  <w:tcW w:w="726" w:type="pct"/>
                  <w:tcBorders>
                    <w:tl2br w:val="nil"/>
                    <w:tr2bl w:val="nil"/>
                  </w:tcBorders>
                  <w:noWrap w:val="0"/>
                  <w:vAlign w:val="center"/>
                </w:tcPr>
                <w:p w14:paraId="04957F0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w:t>
                  </w:r>
                </w:p>
              </w:tc>
              <w:tc>
                <w:tcPr>
                  <w:tcW w:w="1264" w:type="pct"/>
                  <w:tcBorders>
                    <w:tl2br w:val="nil"/>
                    <w:tr2bl w:val="nil"/>
                  </w:tcBorders>
                  <w:noWrap w:val="0"/>
                  <w:vAlign w:val="center"/>
                </w:tcPr>
                <w:p w14:paraId="561625D0">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11kW</w:t>
                  </w:r>
                </w:p>
              </w:tc>
              <w:tc>
                <w:tcPr>
                  <w:tcW w:w="2122" w:type="dxa"/>
                  <w:tcBorders>
                    <w:tl2br w:val="nil"/>
                    <w:tr2bl w:val="nil"/>
                  </w:tcBorders>
                  <w:noWrap w:val="0"/>
                  <w:vAlign w:val="center"/>
                </w:tcPr>
                <w:p w14:paraId="4867672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color w:val="auto"/>
                      <w:sz w:val="21"/>
                      <w:szCs w:val="21"/>
                    </w:rPr>
                  </w:pPr>
                  <w:r>
                    <w:rPr>
                      <w:rFonts w:hint="default" w:ascii="Times New Roman" w:hAnsi="Times New Roman" w:eastAsia="宋体" w:cs="Times New Roman"/>
                      <w:color w:val="auto"/>
                      <w:sz w:val="21"/>
                      <w:szCs w:val="21"/>
                    </w:rPr>
                    <w:t>3</w:t>
                  </w:r>
                </w:p>
              </w:tc>
            </w:tr>
            <w:tr w14:paraId="7C40F1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40418A88">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1426" w:type="pct"/>
                  <w:tcBorders>
                    <w:tl2br w:val="nil"/>
                    <w:tr2bl w:val="nil"/>
                  </w:tcBorders>
                  <w:noWrap w:val="0"/>
                  <w:vAlign w:val="center"/>
                </w:tcPr>
                <w:p w14:paraId="6021C30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废液缓冲罐</w:t>
                  </w:r>
                </w:p>
              </w:tc>
              <w:tc>
                <w:tcPr>
                  <w:tcW w:w="726" w:type="pct"/>
                  <w:tcBorders>
                    <w:tl2br w:val="nil"/>
                    <w:tr2bl w:val="nil"/>
                  </w:tcBorders>
                  <w:noWrap w:val="0"/>
                  <w:vAlign w:val="center"/>
                </w:tcPr>
                <w:p w14:paraId="1E2AE74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264" w:type="pct"/>
                  <w:tcBorders>
                    <w:tl2br w:val="nil"/>
                    <w:tr2bl w:val="nil"/>
                  </w:tcBorders>
                  <w:noWrap w:val="0"/>
                  <w:vAlign w:val="center"/>
                </w:tcPr>
                <w:p w14:paraId="00E8C48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lang w:val="en-US" w:eastAsia="zh-CN"/>
                    </w:rPr>
                    <w:t>/</w:t>
                  </w:r>
                </w:p>
              </w:tc>
              <w:tc>
                <w:tcPr>
                  <w:tcW w:w="2122" w:type="dxa"/>
                  <w:tcBorders>
                    <w:tl2br w:val="nil"/>
                    <w:tr2bl w:val="nil"/>
                  </w:tcBorders>
                  <w:noWrap w:val="0"/>
                  <w:vAlign w:val="center"/>
                </w:tcPr>
                <w:p w14:paraId="18174C1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14:paraId="42795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10762F4F">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8</w:t>
                  </w:r>
                </w:p>
              </w:tc>
              <w:tc>
                <w:tcPr>
                  <w:tcW w:w="1426" w:type="pct"/>
                  <w:tcBorders>
                    <w:tl2br w:val="nil"/>
                    <w:tr2bl w:val="nil"/>
                  </w:tcBorders>
                  <w:noWrap w:val="0"/>
                  <w:vAlign w:val="center"/>
                </w:tcPr>
                <w:p w14:paraId="153A82B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bCs/>
                      <w:color w:val="auto"/>
                      <w:sz w:val="21"/>
                      <w:szCs w:val="21"/>
                      <w:lang w:val="en-US" w:eastAsia="zh-CN"/>
                    </w:rPr>
                    <w:t>返排液收集罐</w:t>
                  </w:r>
                </w:p>
              </w:tc>
              <w:tc>
                <w:tcPr>
                  <w:tcW w:w="726" w:type="pct"/>
                  <w:tcBorders>
                    <w:tl2br w:val="nil"/>
                    <w:tr2bl w:val="nil"/>
                  </w:tcBorders>
                  <w:noWrap w:val="0"/>
                  <w:vAlign w:val="center"/>
                </w:tcPr>
                <w:p w14:paraId="4573909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264" w:type="pct"/>
                  <w:tcBorders>
                    <w:tl2br w:val="nil"/>
                    <w:tr2bl w:val="nil"/>
                  </w:tcBorders>
                  <w:noWrap w:val="0"/>
                  <w:vAlign w:val="center"/>
                </w:tcPr>
                <w:p w14:paraId="0F56AE7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color w:val="auto"/>
                      <w:sz w:val="21"/>
                      <w:szCs w:val="21"/>
                      <w:lang w:val="en-US" w:eastAsia="zh-CN"/>
                    </w:rPr>
                    <w:t>/</w:t>
                  </w:r>
                </w:p>
              </w:tc>
              <w:tc>
                <w:tcPr>
                  <w:tcW w:w="2122" w:type="dxa"/>
                  <w:tcBorders>
                    <w:tl2br w:val="nil"/>
                    <w:tr2bl w:val="nil"/>
                  </w:tcBorders>
                  <w:noWrap w:val="0"/>
                  <w:vAlign w:val="center"/>
                </w:tcPr>
                <w:p w14:paraId="50D116D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r w14:paraId="0109C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4B85539E">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9</w:t>
                  </w:r>
                </w:p>
              </w:tc>
              <w:tc>
                <w:tcPr>
                  <w:tcW w:w="1426" w:type="pct"/>
                  <w:tcBorders>
                    <w:tl2br w:val="nil"/>
                    <w:tr2bl w:val="nil"/>
                  </w:tcBorders>
                  <w:noWrap w:val="0"/>
                  <w:vAlign w:val="center"/>
                </w:tcPr>
                <w:p w14:paraId="01FE407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泥饼、</w:t>
                  </w:r>
                  <w:r>
                    <w:rPr>
                      <w:rFonts w:hint="default" w:ascii="Times New Roman" w:hAnsi="Times New Roman" w:eastAsia="宋体" w:cs="Times New Roman"/>
                      <w:color w:val="auto"/>
                      <w:sz w:val="21"/>
                      <w:szCs w:val="21"/>
                    </w:rPr>
                    <w:t>岩屑收集罐</w:t>
                  </w:r>
                </w:p>
              </w:tc>
              <w:tc>
                <w:tcPr>
                  <w:tcW w:w="726" w:type="pct"/>
                  <w:tcBorders>
                    <w:tl2br w:val="nil"/>
                    <w:tr2bl w:val="nil"/>
                  </w:tcBorders>
                  <w:noWrap w:val="0"/>
                  <w:vAlign w:val="center"/>
                </w:tcPr>
                <w:p w14:paraId="08C0895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264" w:type="pct"/>
                  <w:tcBorders>
                    <w:tl2br w:val="nil"/>
                    <w:tr2bl w:val="nil"/>
                  </w:tcBorders>
                  <w:noWrap w:val="0"/>
                  <w:vAlign w:val="center"/>
                </w:tcPr>
                <w:p w14:paraId="7EF94BF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w:t>
                  </w:r>
                </w:p>
              </w:tc>
              <w:tc>
                <w:tcPr>
                  <w:tcW w:w="2122" w:type="dxa"/>
                  <w:tcBorders>
                    <w:tl2br w:val="nil"/>
                    <w:tr2bl w:val="nil"/>
                  </w:tcBorders>
                  <w:noWrap w:val="0"/>
                  <w:vAlign w:val="center"/>
                </w:tcPr>
                <w:p w14:paraId="068517F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color w:val="auto"/>
                      <w:sz w:val="21"/>
                      <w:szCs w:val="21"/>
                    </w:rPr>
                  </w:pPr>
                  <w:r>
                    <w:rPr>
                      <w:rFonts w:hint="eastAsia" w:ascii="Times New Roman" w:hAnsi="Times New Roman" w:eastAsia="宋体" w:cs="Times New Roman"/>
                      <w:color w:val="auto"/>
                      <w:sz w:val="21"/>
                      <w:szCs w:val="21"/>
                      <w:lang w:val="en-US" w:eastAsia="zh-CN"/>
                    </w:rPr>
                    <w:t>3</w:t>
                  </w:r>
                </w:p>
              </w:tc>
            </w:tr>
            <w:tr w14:paraId="4F9FE0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2D99158B">
                  <w:pPr>
                    <w:adjustRightInd w:val="0"/>
                    <w:snapToGrid w:val="0"/>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 w:val="21"/>
                      <w:szCs w:val="21"/>
                      <w:lang w:val="en-US" w:eastAsia="zh-CN"/>
                    </w:rPr>
                    <w:t>10</w:t>
                  </w:r>
                </w:p>
              </w:tc>
              <w:tc>
                <w:tcPr>
                  <w:tcW w:w="1426" w:type="pct"/>
                  <w:tcBorders>
                    <w:tl2br w:val="nil"/>
                    <w:tr2bl w:val="nil"/>
                  </w:tcBorders>
                  <w:noWrap w:val="0"/>
                  <w:vAlign w:val="center"/>
                </w:tcPr>
                <w:p w14:paraId="57173F9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振动筛</w:t>
                  </w:r>
                </w:p>
              </w:tc>
              <w:tc>
                <w:tcPr>
                  <w:tcW w:w="726" w:type="pct"/>
                  <w:tcBorders>
                    <w:tl2br w:val="nil"/>
                    <w:tr2bl w:val="nil"/>
                  </w:tcBorders>
                  <w:noWrap w:val="0"/>
                  <w:vAlign w:val="center"/>
                </w:tcPr>
                <w:p w14:paraId="06D8588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V20-h</w:t>
                  </w:r>
                </w:p>
              </w:tc>
              <w:tc>
                <w:tcPr>
                  <w:tcW w:w="1264" w:type="pct"/>
                  <w:tcBorders>
                    <w:tl2br w:val="nil"/>
                    <w:tr2bl w:val="nil"/>
                  </w:tcBorders>
                  <w:noWrap w:val="0"/>
                  <w:vAlign w:val="center"/>
                </w:tcPr>
                <w:p w14:paraId="6ACC635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color w:val="auto"/>
                      <w:sz w:val="21"/>
                      <w:szCs w:val="21"/>
                    </w:rPr>
                    <w:t>2.5kW</w:t>
                  </w:r>
                </w:p>
              </w:tc>
              <w:tc>
                <w:tcPr>
                  <w:tcW w:w="2122" w:type="dxa"/>
                  <w:tcBorders>
                    <w:tl2br w:val="nil"/>
                    <w:tr2bl w:val="nil"/>
                  </w:tcBorders>
                  <w:noWrap w:val="0"/>
                  <w:vAlign w:val="center"/>
                </w:tcPr>
                <w:p w14:paraId="3965583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color w:val="auto"/>
                      <w:sz w:val="21"/>
                      <w:szCs w:val="21"/>
                    </w:rPr>
                  </w:pPr>
                  <w:r>
                    <w:rPr>
                      <w:rFonts w:hint="default" w:ascii="Times New Roman" w:hAnsi="Times New Roman" w:eastAsia="宋体" w:cs="Times New Roman"/>
                      <w:color w:val="auto"/>
                      <w:sz w:val="21"/>
                      <w:szCs w:val="21"/>
                    </w:rPr>
                    <w:t>1</w:t>
                  </w:r>
                </w:p>
              </w:tc>
            </w:tr>
            <w:tr w14:paraId="21D1E9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5457944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2395" w:type="dxa"/>
                  <w:tcBorders>
                    <w:tl2br w:val="nil"/>
                    <w:tr2bl w:val="nil"/>
                  </w:tcBorders>
                  <w:noWrap w:val="0"/>
                  <w:vAlign w:val="center"/>
                </w:tcPr>
                <w:p w14:paraId="7B94785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color w:val="auto"/>
                      <w:sz w:val="21"/>
                      <w:szCs w:val="21"/>
                    </w:rPr>
                  </w:pPr>
                  <w:r>
                    <w:rPr>
                      <w:rFonts w:hint="eastAsia" w:ascii="Times New Roman" w:hAnsi="Times New Roman" w:eastAsia="宋体" w:cs="Times New Roman"/>
                      <w:color w:val="auto"/>
                      <w:sz w:val="21"/>
                      <w:szCs w:val="21"/>
                      <w:lang w:val="en-US" w:eastAsia="zh-CN"/>
                    </w:rPr>
                    <w:t>压滤机</w:t>
                  </w:r>
                </w:p>
              </w:tc>
              <w:tc>
                <w:tcPr>
                  <w:tcW w:w="1220" w:type="dxa"/>
                  <w:tcBorders>
                    <w:tl2br w:val="nil"/>
                    <w:tr2bl w:val="nil"/>
                  </w:tcBorders>
                  <w:noWrap w:val="0"/>
                  <w:vAlign w:val="center"/>
                </w:tcPr>
                <w:p w14:paraId="39309B3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color w:val="auto"/>
                      <w:sz w:val="21"/>
                      <w:szCs w:val="21"/>
                    </w:rPr>
                  </w:pPr>
                  <w:r>
                    <w:rPr>
                      <w:rFonts w:hint="eastAsia"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2123" w:type="dxa"/>
                  <w:tcBorders>
                    <w:tl2br w:val="nil"/>
                    <w:tr2bl w:val="nil"/>
                  </w:tcBorders>
                  <w:noWrap w:val="0"/>
                  <w:vAlign w:val="center"/>
                </w:tcPr>
                <w:p w14:paraId="68DDC1D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color w:val="auto"/>
                      <w:sz w:val="21"/>
                      <w:szCs w:val="21"/>
                      <w:lang w:val="en-US"/>
                    </w:rPr>
                  </w:pPr>
                  <w:r>
                    <w:rPr>
                      <w:rFonts w:hint="eastAsia" w:ascii="Times New Roman" w:hAnsi="Times New Roman" w:eastAsia="宋体" w:cs="Times New Roman"/>
                      <w:color w:val="auto"/>
                      <w:sz w:val="21"/>
                      <w:szCs w:val="21"/>
                      <w:lang w:val="en-US" w:eastAsia="zh-CN"/>
                    </w:rPr>
                    <w:t>/</w:t>
                  </w:r>
                </w:p>
              </w:tc>
              <w:tc>
                <w:tcPr>
                  <w:tcW w:w="2122" w:type="dxa"/>
                  <w:tcBorders>
                    <w:tl2br w:val="nil"/>
                    <w:tr2bl w:val="nil"/>
                  </w:tcBorders>
                  <w:noWrap w:val="0"/>
                  <w:vAlign w:val="center"/>
                </w:tcPr>
                <w:p w14:paraId="16E2E06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r>
          </w:tbl>
          <w:p w14:paraId="5BF0AD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六</w:t>
            </w:r>
            <w:r>
              <w:rPr>
                <w:rFonts w:hint="default" w:ascii="Times New Roman" w:hAnsi="Times New Roman" w:eastAsia="宋体" w:cs="Times New Roman"/>
                <w:b/>
                <w:bCs/>
                <w:color w:val="auto"/>
                <w:sz w:val="24"/>
                <w:szCs w:val="24"/>
                <w:vertAlign w:val="baseline"/>
                <w:lang w:val="en-US" w:eastAsia="zh-CN"/>
              </w:rPr>
              <w:t>、主要原辅材料</w:t>
            </w:r>
          </w:p>
          <w:p w14:paraId="05895E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项目主要原辅材料消耗情况见表2-</w:t>
            </w:r>
            <w:r>
              <w:rPr>
                <w:rFonts w:hint="eastAsia" w:ascii="Times New Roman" w:hAnsi="Times New Roman" w:eastAsia="宋体" w:cs="Times New Roman"/>
                <w:b w:val="0"/>
                <w:bCs w:val="0"/>
                <w:color w:val="auto"/>
                <w:sz w:val="24"/>
                <w:szCs w:val="24"/>
                <w:vertAlign w:val="baseline"/>
                <w:lang w:val="en-US" w:eastAsia="zh-CN"/>
              </w:rPr>
              <w:t>6。</w:t>
            </w:r>
          </w:p>
          <w:p w14:paraId="0E0283B9">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6</w:t>
            </w:r>
            <w:r>
              <w:rPr>
                <w:rFonts w:hint="default" w:ascii="Times New Roman" w:hAnsi="Times New Roman" w:eastAsia="宋体" w:cs="Times New Roman"/>
                <w:b/>
                <w:bCs/>
                <w:color w:val="auto"/>
                <w:sz w:val="21"/>
                <w:szCs w:val="21"/>
                <w:vertAlign w:val="baseline"/>
                <w:lang w:val="en-US" w:eastAsia="zh-CN"/>
              </w:rPr>
              <w:t xml:space="preserve">   项目主要原辅材料消耗表</w:t>
            </w:r>
          </w:p>
          <w:tbl>
            <w:tblPr>
              <w:tblStyle w:val="1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43"/>
              <w:gridCol w:w="1199"/>
              <w:gridCol w:w="1132"/>
              <w:gridCol w:w="5418"/>
            </w:tblGrid>
            <w:tr w14:paraId="1CB0B0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383" w:type="pct"/>
                  <w:tcBorders>
                    <w:tl2br w:val="nil"/>
                    <w:tr2bl w:val="nil"/>
                  </w:tcBorders>
                  <w:noWrap w:val="0"/>
                  <w:vAlign w:val="center"/>
                </w:tcPr>
                <w:p w14:paraId="4885A133">
                  <w:pPr>
                    <w:spacing w:line="360" w:lineRule="exact"/>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714" w:type="pct"/>
                  <w:tcBorders>
                    <w:tl2br w:val="nil"/>
                    <w:tr2bl w:val="nil"/>
                  </w:tcBorders>
                  <w:noWrap w:val="0"/>
                  <w:vAlign w:val="center"/>
                </w:tcPr>
                <w:p w14:paraId="1288A971">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bidi="ar"/>
                    </w:rPr>
                    <w:t>原料名称</w:t>
                  </w:r>
                </w:p>
              </w:tc>
              <w:tc>
                <w:tcPr>
                  <w:tcW w:w="674" w:type="pct"/>
                  <w:tcBorders>
                    <w:tl2br w:val="nil"/>
                    <w:tr2bl w:val="nil"/>
                  </w:tcBorders>
                  <w:noWrap w:val="0"/>
                  <w:vAlign w:val="center"/>
                </w:tcPr>
                <w:p w14:paraId="2D1E4295">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bidi="ar"/>
                    </w:rPr>
                    <w:t>项目用量</w:t>
                  </w:r>
                </w:p>
              </w:tc>
              <w:tc>
                <w:tcPr>
                  <w:tcW w:w="3227" w:type="pct"/>
                  <w:tcBorders>
                    <w:tl2br w:val="nil"/>
                    <w:tr2bl w:val="nil"/>
                  </w:tcBorders>
                  <w:noWrap w:val="0"/>
                  <w:vAlign w:val="center"/>
                </w:tcPr>
                <w:p w14:paraId="0B616DF4">
                  <w:pPr>
                    <w:spacing w:line="360" w:lineRule="exact"/>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740088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383" w:type="pct"/>
                  <w:tcBorders>
                    <w:tl2br w:val="nil"/>
                    <w:tr2bl w:val="nil"/>
                  </w:tcBorders>
                  <w:noWrap w:val="0"/>
                  <w:vAlign w:val="center"/>
                </w:tcPr>
                <w:p w14:paraId="62E03A52">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14" w:type="pct"/>
                  <w:tcBorders>
                    <w:tl2br w:val="nil"/>
                    <w:tr2bl w:val="nil"/>
                  </w:tcBorders>
                  <w:noWrap w:val="0"/>
                  <w:vAlign w:val="center"/>
                </w:tcPr>
                <w:p w14:paraId="1BB3A202">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新鲜水</w:t>
                  </w:r>
                </w:p>
              </w:tc>
              <w:tc>
                <w:tcPr>
                  <w:tcW w:w="674" w:type="pct"/>
                  <w:tcBorders>
                    <w:tl2br w:val="nil"/>
                    <w:tr2bl w:val="nil"/>
                  </w:tcBorders>
                  <w:noWrap w:val="0"/>
                  <w:vAlign w:val="center"/>
                </w:tcPr>
                <w:p w14:paraId="15A7D6D1">
                  <w:pPr>
                    <w:adjustRightInd w:val="0"/>
                    <w:snapToGrid w:val="0"/>
                    <w:spacing w:line="360" w:lineRule="exact"/>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1151.25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227" w:type="pct"/>
                  <w:tcBorders>
                    <w:tl2br w:val="nil"/>
                    <w:tr2bl w:val="nil"/>
                  </w:tcBorders>
                  <w:noWrap w:val="0"/>
                  <w:vAlign w:val="center"/>
                </w:tcPr>
                <w:p w14:paraId="01750940">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用于生活、钻井和洗井，罐车拉运及储存</w:t>
                  </w:r>
                </w:p>
              </w:tc>
            </w:tr>
            <w:tr w14:paraId="47039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5BF88DE1">
                  <w:pPr>
                    <w:spacing w:line="36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714" w:type="pct"/>
                  <w:tcBorders>
                    <w:tl2br w:val="nil"/>
                    <w:tr2bl w:val="nil"/>
                  </w:tcBorders>
                  <w:noWrap w:val="0"/>
                  <w:vAlign w:val="center"/>
                </w:tcPr>
                <w:p w14:paraId="3EC7A23B">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钻井液添加剂</w:t>
                  </w:r>
                </w:p>
              </w:tc>
              <w:tc>
                <w:tcPr>
                  <w:tcW w:w="674" w:type="pct"/>
                  <w:tcBorders>
                    <w:tl2br w:val="nil"/>
                    <w:tr2bl w:val="nil"/>
                  </w:tcBorders>
                  <w:noWrap w:val="0"/>
                  <w:vAlign w:val="center"/>
                </w:tcPr>
                <w:p w14:paraId="28DF48F2">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140</w:t>
                  </w:r>
                  <w:r>
                    <w:rPr>
                      <w:rFonts w:hint="default" w:ascii="Times New Roman" w:hAnsi="Times New Roman" w:cs="Times New Roman"/>
                      <w:color w:val="auto"/>
                      <w:sz w:val="21"/>
                      <w:szCs w:val="21"/>
                    </w:rPr>
                    <w:t>t</w:t>
                  </w:r>
                </w:p>
              </w:tc>
              <w:tc>
                <w:tcPr>
                  <w:tcW w:w="3227" w:type="pct"/>
                  <w:tcBorders>
                    <w:tl2br w:val="nil"/>
                    <w:tr2bl w:val="nil"/>
                  </w:tcBorders>
                  <w:noWrap w:val="0"/>
                  <w:vAlign w:val="center"/>
                </w:tcPr>
                <w:p w14:paraId="05DABD0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携带岩屑，稳定井壁，减少钻机磨损，平衡（控制）地层压力等，添加剂储罐置于进行防渗处理的围堰内，底部压实后铺设2mm厚高密度聚乙烯膜，使渗透系数≤10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eastAsia="宋体" w:cs="Times New Roman"/>
                      <w:color w:val="auto"/>
                      <w:sz w:val="21"/>
                      <w:szCs w:val="21"/>
                    </w:rPr>
                    <w:t>；由车辆拉运至材料房内暂存。</w:t>
                  </w:r>
                </w:p>
              </w:tc>
            </w:tr>
            <w:tr w14:paraId="6BAEBE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75291B7A">
                  <w:pPr>
                    <w:spacing w:line="36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714" w:type="pct"/>
                  <w:tcBorders>
                    <w:tl2br w:val="nil"/>
                    <w:tr2bl w:val="nil"/>
                  </w:tcBorders>
                  <w:noWrap w:val="0"/>
                  <w:vAlign w:val="center"/>
                </w:tcPr>
                <w:p w14:paraId="109E4576">
                  <w:pPr>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压裂液</w:t>
                  </w:r>
                </w:p>
              </w:tc>
              <w:tc>
                <w:tcPr>
                  <w:tcW w:w="674" w:type="pct"/>
                  <w:tcBorders>
                    <w:tl2br w:val="nil"/>
                    <w:tr2bl w:val="nil"/>
                  </w:tcBorders>
                  <w:noWrap w:val="0"/>
                  <w:vAlign w:val="center"/>
                </w:tcPr>
                <w:p w14:paraId="3ABD6982">
                  <w:pPr>
                    <w:adjustRightInd w:val="0"/>
                    <w:snapToGrid w:val="0"/>
                    <w:spacing w:line="360" w:lineRule="exact"/>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600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227" w:type="pct"/>
                  <w:tcBorders>
                    <w:tl2br w:val="nil"/>
                    <w:tr2bl w:val="nil"/>
                  </w:tcBorders>
                  <w:noWrap w:val="0"/>
                  <w:vAlign w:val="center"/>
                </w:tcPr>
                <w:p w14:paraId="5A94A1FC">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用于压裂作业，形成油气高渗透带，改善气层导流能力，压裂液储罐置于进行防渗处理的围堰内，围堰内底部压实后铺设2mm厚高密度聚乙烯膜，使渗透系数≤10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eastAsia="宋体" w:cs="Times New Roman"/>
                      <w:color w:val="auto"/>
                      <w:sz w:val="21"/>
                      <w:szCs w:val="21"/>
                    </w:rPr>
                    <w:t>，主</w:t>
                  </w:r>
                </w:p>
                <w:p w14:paraId="40C09168">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成分为水凝胶，用于压裂作业，形成油气高渗透带，改善油气层导流能力。</w:t>
                  </w:r>
                </w:p>
              </w:tc>
            </w:tr>
            <w:tr w14:paraId="36B3A0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2A5BC733">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14" w:type="pct"/>
                  <w:tcBorders>
                    <w:tl2br w:val="nil"/>
                    <w:tr2bl w:val="nil"/>
                  </w:tcBorders>
                  <w:noWrap w:val="0"/>
                  <w:vAlign w:val="center"/>
                </w:tcPr>
                <w:p w14:paraId="4AE7A325">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机油</w:t>
                  </w:r>
                </w:p>
              </w:tc>
              <w:tc>
                <w:tcPr>
                  <w:tcW w:w="674" w:type="pct"/>
                  <w:tcBorders>
                    <w:tl2br w:val="nil"/>
                    <w:tr2bl w:val="nil"/>
                  </w:tcBorders>
                  <w:noWrap w:val="0"/>
                  <w:vAlign w:val="center"/>
                </w:tcPr>
                <w:p w14:paraId="74FECBD5">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100L</w:t>
                  </w:r>
                </w:p>
              </w:tc>
              <w:tc>
                <w:tcPr>
                  <w:tcW w:w="3227" w:type="pct"/>
                  <w:tcBorders>
                    <w:tl2br w:val="nil"/>
                    <w:tr2bl w:val="nil"/>
                  </w:tcBorders>
                  <w:noWrap w:val="0"/>
                  <w:vAlign w:val="center"/>
                </w:tcPr>
                <w:p w14:paraId="10A7E97D">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对发动机起到润滑减磨、辅助冷却降温、密封防漏、防锈防蚀、减震缓冲等作用。密度：0.91×10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（kg/m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r>
            <w:tr w14:paraId="443A5A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50E36EC7">
                  <w:pPr>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14" w:type="pct"/>
                  <w:tcBorders>
                    <w:tl2br w:val="nil"/>
                    <w:tr2bl w:val="nil"/>
                  </w:tcBorders>
                  <w:noWrap w:val="0"/>
                  <w:vAlign w:val="center"/>
                </w:tcPr>
                <w:p w14:paraId="0DADE165">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水泥浆</w:t>
                  </w:r>
                </w:p>
              </w:tc>
              <w:tc>
                <w:tcPr>
                  <w:tcW w:w="674" w:type="pct"/>
                  <w:tcBorders>
                    <w:tl2br w:val="nil"/>
                    <w:tr2bl w:val="nil"/>
                  </w:tcBorders>
                  <w:noWrap w:val="0"/>
                  <w:vAlign w:val="center"/>
                </w:tcPr>
                <w:p w14:paraId="7448D33B">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480t</w:t>
                  </w:r>
                </w:p>
              </w:tc>
              <w:tc>
                <w:tcPr>
                  <w:tcW w:w="3227" w:type="pct"/>
                  <w:tcBorders>
                    <w:tl2br w:val="nil"/>
                    <w:tr2bl w:val="nil"/>
                  </w:tcBorders>
                  <w:noWrap w:val="0"/>
                  <w:vAlign w:val="center"/>
                </w:tcPr>
                <w:p w14:paraId="75C114F7">
                  <w:pPr>
                    <w:pStyle w:val="27"/>
                    <w:bidi w:val="0"/>
                    <w:ind w:firstLine="0" w:firstLineChars="0"/>
                    <w:jc w:val="both"/>
                    <w:rPr>
                      <w:rFonts w:hint="default" w:ascii="Times New Roman" w:hAnsi="Times New Roman" w:eastAsia="宋体" w:cs="Times New Roman"/>
                      <w:color w:val="auto"/>
                      <w:sz w:val="21"/>
                      <w:szCs w:val="21"/>
                      <w:lang w:val="en-US" w:eastAsia="zh-CN"/>
                    </w:rPr>
                  </w:pPr>
                  <w:r>
                    <w:rPr>
                      <w:rFonts w:hint="default" w:eastAsia="宋体"/>
                      <w:color w:val="auto"/>
                      <w:sz w:val="21"/>
                      <w:szCs w:val="21"/>
                      <w:lang w:val="en-US" w:eastAsia="zh-CN"/>
                    </w:rPr>
                    <w:t>作为固井和封井材料，G级纯水泥，外购成品，罐车运输至井场使用，水泥中添加降失水剂（主要为水溶性聚合物及有机材料），以调节水泥性能。</w:t>
                  </w:r>
                </w:p>
              </w:tc>
            </w:tr>
          </w:tbl>
          <w:p w14:paraId="68061D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钻井中钻井液的循环程序包括：钻井、液罐、经泵→地面、管汇→立管→水龙带、水龙头→钻柱内→钻头→钻柱外环形空间→井口、泥浆（钻井液）槽→钻井液净化设备→钻井液罐。一开采用膨润土钻井液，二开采用聚合物钻井液。根据企业实际施工经验，单井钻井液组成及用量情况见表2-7。</w:t>
            </w:r>
          </w:p>
          <w:p w14:paraId="612EF96D">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7 单井</w:t>
            </w:r>
            <w:r>
              <w:rPr>
                <w:rFonts w:hint="default" w:ascii="Times New Roman" w:hAnsi="Times New Roman" w:eastAsia="宋体" w:cs="Times New Roman"/>
                <w:b/>
                <w:bCs/>
                <w:color w:val="auto"/>
                <w:sz w:val="21"/>
                <w:szCs w:val="21"/>
                <w:vertAlign w:val="baseline"/>
                <w:lang w:val="en-US" w:eastAsia="zh-CN"/>
              </w:rPr>
              <w:t>钻井液</w:t>
            </w:r>
            <w:r>
              <w:rPr>
                <w:rFonts w:hint="eastAsia" w:ascii="Times New Roman" w:hAnsi="Times New Roman" w:eastAsia="宋体" w:cs="Times New Roman"/>
                <w:b/>
                <w:bCs/>
                <w:color w:val="auto"/>
                <w:sz w:val="21"/>
                <w:szCs w:val="21"/>
                <w:vertAlign w:val="baseline"/>
                <w:lang w:val="en-US" w:eastAsia="zh-CN"/>
              </w:rPr>
              <w:t>（现场配置）</w:t>
            </w:r>
            <w:r>
              <w:rPr>
                <w:rFonts w:hint="default" w:ascii="Times New Roman" w:hAnsi="Times New Roman" w:eastAsia="宋体" w:cs="Times New Roman"/>
                <w:b/>
                <w:bCs/>
                <w:color w:val="auto"/>
                <w:sz w:val="21"/>
                <w:szCs w:val="21"/>
                <w:vertAlign w:val="baseline"/>
                <w:lang w:val="en-US" w:eastAsia="zh-CN"/>
              </w:rPr>
              <w:t>组成及用量表</w:t>
            </w:r>
          </w:p>
          <w:tbl>
            <w:tblPr>
              <w:tblStyle w:val="19"/>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29"/>
              <w:gridCol w:w="2281"/>
              <w:gridCol w:w="849"/>
              <w:gridCol w:w="849"/>
              <w:gridCol w:w="849"/>
              <w:gridCol w:w="1563"/>
              <w:gridCol w:w="767"/>
            </w:tblGrid>
            <w:tr w14:paraId="04E21D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745" w:hRule="atLeast"/>
                <w:tblHeader/>
                <w:jc w:val="center"/>
              </w:trPr>
              <w:tc>
                <w:tcPr>
                  <w:tcW w:w="732" w:type="pct"/>
                  <w:tcBorders>
                    <w:tl2br w:val="nil"/>
                    <w:tr2bl w:val="nil"/>
                  </w:tcBorders>
                  <w:noWrap w:val="0"/>
                  <w:vAlign w:val="center"/>
                </w:tcPr>
                <w:p w14:paraId="6B3A2799">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材料名称</w:t>
                  </w:r>
                </w:p>
              </w:tc>
              <w:tc>
                <w:tcPr>
                  <w:tcW w:w="1359" w:type="pct"/>
                  <w:tcBorders>
                    <w:tl2br w:val="nil"/>
                    <w:tr2bl w:val="nil"/>
                  </w:tcBorders>
                  <w:noWrap w:val="0"/>
                  <w:vAlign w:val="center"/>
                </w:tcPr>
                <w:p w14:paraId="53A2AFFA">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506" w:type="pct"/>
                  <w:tcBorders>
                    <w:tl2br w:val="nil"/>
                    <w:tr2bl w:val="nil"/>
                  </w:tcBorders>
                  <w:noWrap w:val="0"/>
                  <w:vAlign w:val="center"/>
                </w:tcPr>
                <w:p w14:paraId="365F7DC2">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一开用量（吨）</w:t>
                  </w:r>
                </w:p>
              </w:tc>
              <w:tc>
                <w:tcPr>
                  <w:tcW w:w="506" w:type="pct"/>
                  <w:tcBorders>
                    <w:tl2br w:val="nil"/>
                    <w:tr2bl w:val="nil"/>
                  </w:tcBorders>
                  <w:noWrap w:val="0"/>
                  <w:vAlign w:val="center"/>
                </w:tcPr>
                <w:p w14:paraId="5EFECE1F">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二开用量（吨）</w:t>
                  </w:r>
                </w:p>
              </w:tc>
              <w:tc>
                <w:tcPr>
                  <w:tcW w:w="506" w:type="pct"/>
                  <w:tcBorders>
                    <w:tl2br w:val="nil"/>
                    <w:tr2bl w:val="nil"/>
                  </w:tcBorders>
                  <w:noWrap w:val="0"/>
                  <w:vAlign w:val="center"/>
                </w:tcPr>
                <w:p w14:paraId="1901B7BF">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总用量（吨）</w:t>
                  </w:r>
                </w:p>
              </w:tc>
              <w:tc>
                <w:tcPr>
                  <w:tcW w:w="932" w:type="pct"/>
                  <w:tcBorders>
                    <w:tl2br w:val="nil"/>
                    <w:tr2bl w:val="nil"/>
                  </w:tcBorders>
                  <w:noWrap w:val="0"/>
                  <w:vAlign w:val="center"/>
                </w:tcPr>
                <w:p w14:paraId="6982A449">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c>
                <w:tcPr>
                  <w:tcW w:w="457" w:type="pct"/>
                  <w:tcBorders>
                    <w:tl2br w:val="nil"/>
                    <w:tr2bl w:val="nil"/>
                  </w:tcBorders>
                  <w:noWrap w:val="0"/>
                  <w:vAlign w:val="center"/>
                </w:tcPr>
                <w:p w14:paraId="6A620544">
                  <w:pPr>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存放位置</w:t>
                  </w:r>
                </w:p>
              </w:tc>
            </w:tr>
            <w:tr w14:paraId="411304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17873D59">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膨润土</w:t>
                  </w:r>
                </w:p>
              </w:tc>
              <w:tc>
                <w:tcPr>
                  <w:tcW w:w="1359" w:type="pct"/>
                  <w:tcBorders>
                    <w:tl2br w:val="nil"/>
                    <w:tr2bl w:val="nil"/>
                  </w:tcBorders>
                  <w:noWrap w:val="0"/>
                  <w:vAlign w:val="center"/>
                </w:tcPr>
                <w:p w14:paraId="11EFA3B2">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亲水性矿物</w:t>
                  </w:r>
                </w:p>
              </w:tc>
              <w:tc>
                <w:tcPr>
                  <w:tcW w:w="506" w:type="pct"/>
                  <w:tcBorders>
                    <w:tl2br w:val="nil"/>
                    <w:tr2bl w:val="nil"/>
                  </w:tcBorders>
                  <w:noWrap w:val="0"/>
                  <w:vAlign w:val="center"/>
                </w:tcPr>
                <w:p w14:paraId="12DE128A">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506" w:type="pct"/>
                  <w:tcBorders>
                    <w:tl2br w:val="nil"/>
                    <w:tr2bl w:val="nil"/>
                  </w:tcBorders>
                  <w:noWrap w:val="0"/>
                  <w:vAlign w:val="center"/>
                </w:tcPr>
                <w:p w14:paraId="70023AC4">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506" w:type="pct"/>
                  <w:tcBorders>
                    <w:tl2br w:val="nil"/>
                    <w:tr2bl w:val="nil"/>
                  </w:tcBorders>
                  <w:noWrap w:val="0"/>
                  <w:vAlign w:val="center"/>
                </w:tcPr>
                <w:p w14:paraId="337E14BC">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932" w:type="pct"/>
                  <w:tcBorders>
                    <w:tl2br w:val="nil"/>
                    <w:tr2bl w:val="nil"/>
                  </w:tcBorders>
                  <w:noWrap w:val="0"/>
                  <w:vAlign w:val="center"/>
                </w:tcPr>
                <w:p w14:paraId="30519B7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基础配浆材料</w:t>
                  </w:r>
                </w:p>
              </w:tc>
              <w:tc>
                <w:tcPr>
                  <w:tcW w:w="457" w:type="pct"/>
                  <w:vMerge w:val="restart"/>
                  <w:tcBorders>
                    <w:tl2br w:val="nil"/>
                    <w:tr2bl w:val="nil"/>
                  </w:tcBorders>
                  <w:noWrap w:val="0"/>
                  <w:vAlign w:val="center"/>
                </w:tcPr>
                <w:p w14:paraId="08E7D7C3">
                  <w:pPr>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highlight w:val="none"/>
                      <w:lang w:val="en-US" w:eastAsia="zh-CN" w:bidi="ar"/>
                    </w:rPr>
                    <w:t>钻井液材料房</w:t>
                  </w:r>
                  <w:r>
                    <w:rPr>
                      <w:rFonts w:hint="eastAsia" w:ascii="Times New Roman" w:hAnsi="Times New Roman" w:cs="Times New Roman"/>
                      <w:color w:val="auto"/>
                      <w:kern w:val="0"/>
                      <w:sz w:val="21"/>
                      <w:szCs w:val="21"/>
                      <w:highlight w:val="none"/>
                      <w:lang w:val="en-US" w:eastAsia="zh-CN" w:bidi="ar"/>
                    </w:rPr>
                    <w:br w:type="textWrapping"/>
                  </w:r>
                  <w:r>
                    <w:rPr>
                      <w:rFonts w:hint="eastAsia" w:ascii="Times New Roman" w:hAnsi="Times New Roman" w:cs="Times New Roman"/>
                      <w:color w:val="auto"/>
                      <w:kern w:val="0"/>
                      <w:sz w:val="21"/>
                      <w:szCs w:val="21"/>
                      <w:highlight w:val="none"/>
                      <w:lang w:val="en-US" w:eastAsia="zh-CN" w:bidi="ar"/>
                    </w:rPr>
                    <w:t>（分区存放）</w:t>
                  </w:r>
                </w:p>
              </w:tc>
            </w:tr>
            <w:tr w14:paraId="75054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49F69C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纯碱</w:t>
                  </w:r>
                </w:p>
              </w:tc>
              <w:tc>
                <w:tcPr>
                  <w:tcW w:w="1359" w:type="pct"/>
                  <w:tcBorders>
                    <w:tl2br w:val="nil"/>
                    <w:tr2bl w:val="nil"/>
                  </w:tcBorders>
                  <w:noWrap w:val="0"/>
                  <w:vAlign w:val="center"/>
                </w:tcPr>
                <w:p w14:paraId="38F2B4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p>
              </w:tc>
              <w:tc>
                <w:tcPr>
                  <w:tcW w:w="506" w:type="pct"/>
                  <w:tcBorders>
                    <w:tl2br w:val="nil"/>
                    <w:tr2bl w:val="nil"/>
                  </w:tcBorders>
                  <w:noWrap w:val="0"/>
                  <w:vAlign w:val="center"/>
                </w:tcPr>
                <w:p w14:paraId="130A19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506" w:type="pct"/>
                  <w:tcBorders>
                    <w:tl2br w:val="nil"/>
                    <w:tr2bl w:val="nil"/>
                  </w:tcBorders>
                  <w:noWrap w:val="0"/>
                  <w:vAlign w:val="center"/>
                </w:tcPr>
                <w:p w14:paraId="173AF4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06" w:type="pct"/>
                  <w:tcBorders>
                    <w:tl2br w:val="nil"/>
                    <w:tr2bl w:val="nil"/>
                  </w:tcBorders>
                  <w:noWrap w:val="0"/>
                  <w:vAlign w:val="center"/>
                </w:tcPr>
                <w:p w14:paraId="7668D9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rPr>
                    <w:t>.5</w:t>
                  </w:r>
                </w:p>
              </w:tc>
              <w:tc>
                <w:tcPr>
                  <w:tcW w:w="932" w:type="pct"/>
                  <w:tcBorders>
                    <w:tl2br w:val="nil"/>
                    <w:tr2bl w:val="nil"/>
                  </w:tcBorders>
                  <w:noWrap w:val="0"/>
                  <w:vAlign w:val="center"/>
                </w:tcPr>
                <w:p w14:paraId="020FC3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与膨润土发生水化作业，增加粘性，降滤失</w:t>
                  </w:r>
                </w:p>
              </w:tc>
              <w:tc>
                <w:tcPr>
                  <w:tcW w:w="457" w:type="pct"/>
                  <w:vMerge w:val="continue"/>
                  <w:tcBorders>
                    <w:tl2br w:val="nil"/>
                    <w:tr2bl w:val="nil"/>
                  </w:tcBorders>
                  <w:noWrap w:val="0"/>
                  <w:vAlign w:val="center"/>
                </w:tcPr>
                <w:p w14:paraId="7A6ED7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bidi="ar"/>
                    </w:rPr>
                  </w:pPr>
                </w:p>
              </w:tc>
            </w:tr>
            <w:tr w14:paraId="6C8F74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7C1BDD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烧碱（固态）</w:t>
                  </w:r>
                </w:p>
              </w:tc>
              <w:tc>
                <w:tcPr>
                  <w:tcW w:w="1359" w:type="pct"/>
                  <w:tcBorders>
                    <w:tl2br w:val="nil"/>
                    <w:tr2bl w:val="nil"/>
                  </w:tcBorders>
                  <w:noWrap w:val="0"/>
                  <w:vAlign w:val="center"/>
                </w:tcPr>
                <w:p w14:paraId="334596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NaOH</w:t>
                  </w:r>
                </w:p>
              </w:tc>
              <w:tc>
                <w:tcPr>
                  <w:tcW w:w="506" w:type="pct"/>
                  <w:tcBorders>
                    <w:tl2br w:val="nil"/>
                    <w:tr2bl w:val="nil"/>
                  </w:tcBorders>
                  <w:noWrap w:val="0"/>
                  <w:vAlign w:val="center"/>
                </w:tcPr>
                <w:p w14:paraId="1D1892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4E9644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6B5A97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932" w:type="pct"/>
                  <w:tcBorders>
                    <w:tl2br w:val="nil"/>
                    <w:tr2bl w:val="nil"/>
                  </w:tcBorders>
                  <w:noWrap w:val="0"/>
                  <w:vAlign w:val="center"/>
                </w:tcPr>
                <w:p w14:paraId="079277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调节pH，与酸性处理剂配合使用</w:t>
                  </w:r>
                </w:p>
              </w:tc>
              <w:tc>
                <w:tcPr>
                  <w:tcW w:w="457" w:type="pct"/>
                  <w:vMerge w:val="continue"/>
                  <w:tcBorders>
                    <w:tl2br w:val="nil"/>
                    <w:tr2bl w:val="nil"/>
                  </w:tcBorders>
                  <w:noWrap w:val="0"/>
                  <w:vAlign w:val="center"/>
                </w:tcPr>
                <w:p w14:paraId="091116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6A72BF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63" w:hRule="atLeast"/>
                <w:jc w:val="center"/>
              </w:trPr>
              <w:tc>
                <w:tcPr>
                  <w:tcW w:w="732" w:type="pct"/>
                  <w:tcBorders>
                    <w:tl2br w:val="nil"/>
                    <w:tr2bl w:val="nil"/>
                  </w:tcBorders>
                  <w:noWrap w:val="0"/>
                  <w:vAlign w:val="center"/>
                </w:tcPr>
                <w:p w14:paraId="6042ED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K-PAM</w:t>
                  </w:r>
                  <w:r>
                    <w:rPr>
                      <w:rFonts w:hint="default" w:ascii="Times New Roman" w:hAnsi="Times New Roman" w:eastAsia="宋体" w:cs="Times New Roman"/>
                      <w:color w:val="auto"/>
                      <w:sz w:val="21"/>
                      <w:szCs w:val="21"/>
                    </w:rPr>
                    <w:t>（聚丙烯酸钾）</w:t>
                  </w:r>
                </w:p>
              </w:tc>
              <w:tc>
                <w:tcPr>
                  <w:tcW w:w="1359" w:type="pct"/>
                  <w:tcBorders>
                    <w:tl2br w:val="nil"/>
                    <w:tr2bl w:val="nil"/>
                  </w:tcBorders>
                  <w:noWrap w:val="0"/>
                  <w:vAlign w:val="center"/>
                </w:tcPr>
                <w:p w14:paraId="5952CB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KO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)M</w:t>
                  </w:r>
                </w:p>
              </w:tc>
              <w:tc>
                <w:tcPr>
                  <w:tcW w:w="506" w:type="pct"/>
                  <w:tcBorders>
                    <w:tl2br w:val="nil"/>
                    <w:tr2bl w:val="nil"/>
                  </w:tcBorders>
                  <w:noWrap w:val="0"/>
                  <w:vAlign w:val="center"/>
                </w:tcPr>
                <w:p w14:paraId="0BFDDFD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506" w:type="pct"/>
                  <w:tcBorders>
                    <w:tl2br w:val="nil"/>
                    <w:tr2bl w:val="nil"/>
                  </w:tcBorders>
                  <w:noWrap w:val="0"/>
                  <w:vAlign w:val="center"/>
                </w:tcPr>
                <w:p w14:paraId="762A57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506" w:type="pct"/>
                  <w:tcBorders>
                    <w:tl2br w:val="nil"/>
                    <w:tr2bl w:val="nil"/>
                  </w:tcBorders>
                  <w:noWrap w:val="0"/>
                  <w:vAlign w:val="center"/>
                </w:tcPr>
                <w:p w14:paraId="6FFBFA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w:t>
                  </w:r>
                  <w:r>
                    <w:rPr>
                      <w:rFonts w:hint="default" w:ascii="Times New Roman" w:hAnsi="Times New Roman" w:eastAsia="宋体" w:cs="Times New Roman"/>
                      <w:color w:val="auto"/>
                      <w:sz w:val="21"/>
                      <w:szCs w:val="21"/>
                      <w:lang w:val="en-US" w:eastAsia="zh-CN"/>
                    </w:rPr>
                    <w:t>.5</w:t>
                  </w:r>
                </w:p>
              </w:tc>
              <w:tc>
                <w:tcPr>
                  <w:tcW w:w="932" w:type="pct"/>
                  <w:tcBorders>
                    <w:tl2br w:val="nil"/>
                    <w:tr2bl w:val="nil"/>
                  </w:tcBorders>
                  <w:noWrap w:val="0"/>
                  <w:vAlign w:val="center"/>
                </w:tcPr>
                <w:p w14:paraId="2423A0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能有效包被钻屑、抑制地层造浆，起稳定井壁、防塌、降滤失的</w:t>
                  </w:r>
                  <w:r>
                    <w:rPr>
                      <w:rFonts w:hint="default" w:ascii="Times New Roman" w:hAnsi="Times New Roman" w:eastAsia="宋体" w:cs="Times New Roman"/>
                      <w:color w:val="auto"/>
                      <w:sz w:val="21"/>
                      <w:szCs w:val="21"/>
                      <w:lang w:val="en-US" w:eastAsia="zh-CN"/>
                    </w:rPr>
                    <w:t>作用</w:t>
                  </w:r>
                </w:p>
              </w:tc>
              <w:tc>
                <w:tcPr>
                  <w:tcW w:w="457" w:type="pct"/>
                  <w:vMerge w:val="continue"/>
                  <w:tcBorders>
                    <w:tl2br w:val="nil"/>
                    <w:tr2bl w:val="nil"/>
                  </w:tcBorders>
                  <w:noWrap w:val="0"/>
                  <w:vAlign w:val="center"/>
                </w:tcPr>
                <w:p w14:paraId="705444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948F8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699DA1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K-HPAN</w:t>
                  </w:r>
                </w:p>
              </w:tc>
              <w:tc>
                <w:tcPr>
                  <w:tcW w:w="1359" w:type="pct"/>
                  <w:tcBorders>
                    <w:tl2br w:val="nil"/>
                    <w:tr2bl w:val="nil"/>
                  </w:tcBorders>
                  <w:noWrap w:val="0"/>
                  <w:vAlign w:val="center"/>
                </w:tcPr>
                <w:p w14:paraId="447394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含有酰胺基、腈基和羧基钾离子含量高</w:t>
                  </w:r>
                </w:p>
              </w:tc>
              <w:tc>
                <w:tcPr>
                  <w:tcW w:w="506" w:type="pct"/>
                  <w:tcBorders>
                    <w:tl2br w:val="nil"/>
                    <w:tr2bl w:val="nil"/>
                  </w:tcBorders>
                  <w:noWrap w:val="0"/>
                  <w:vAlign w:val="center"/>
                </w:tcPr>
                <w:p w14:paraId="2FBD50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009CEA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06" w:type="pct"/>
                  <w:tcBorders>
                    <w:tl2br w:val="nil"/>
                    <w:tr2bl w:val="nil"/>
                  </w:tcBorders>
                  <w:noWrap w:val="0"/>
                  <w:vAlign w:val="center"/>
                </w:tcPr>
                <w:p w14:paraId="6EBD13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32" w:type="pct"/>
                  <w:tcBorders>
                    <w:tl2br w:val="nil"/>
                    <w:tr2bl w:val="nil"/>
                  </w:tcBorders>
                  <w:noWrap w:val="0"/>
                  <w:vAlign w:val="center"/>
                </w:tcPr>
                <w:p w14:paraId="1F8F35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降滤失，调整泥浆流态</w:t>
                  </w:r>
                </w:p>
              </w:tc>
              <w:tc>
                <w:tcPr>
                  <w:tcW w:w="457" w:type="pct"/>
                  <w:vMerge w:val="continue"/>
                  <w:tcBorders>
                    <w:tl2br w:val="nil"/>
                    <w:tr2bl w:val="nil"/>
                  </w:tcBorders>
                  <w:noWrap w:val="0"/>
                  <w:vAlign w:val="center"/>
                </w:tcPr>
                <w:p w14:paraId="71A23C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427358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126AEB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-HPAN</w:t>
                  </w:r>
                  <w:r>
                    <w:rPr>
                      <w:rFonts w:hint="default" w:ascii="Times New Roman" w:hAnsi="Times New Roman" w:eastAsia="宋体" w:cs="Times New Roman"/>
                      <w:color w:val="auto"/>
                      <w:kern w:val="0"/>
                      <w:sz w:val="21"/>
                      <w:szCs w:val="21"/>
                      <w:lang w:bidi="ar"/>
                    </w:rPr>
                    <w:t>（水解聚丙烯腈铵盐）</w:t>
                  </w:r>
                </w:p>
              </w:tc>
              <w:tc>
                <w:tcPr>
                  <w:tcW w:w="1359" w:type="pct"/>
                  <w:tcBorders>
                    <w:tl2br w:val="nil"/>
                    <w:tr2bl w:val="nil"/>
                  </w:tcBorders>
                  <w:noWrap w:val="0"/>
                  <w:vAlign w:val="center"/>
                </w:tcPr>
                <w:p w14:paraId="52D246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含有COOH、COONH</w:t>
                  </w:r>
                  <w:r>
                    <w:rPr>
                      <w:rFonts w:hint="default" w:ascii="Times New Roman" w:hAnsi="Times New Roman" w:cs="Times New Roman"/>
                      <w:color w:val="auto"/>
                      <w:sz w:val="21"/>
                      <w:szCs w:val="21"/>
                      <w:vertAlign w:val="subscript"/>
                    </w:rPr>
                    <w:t>4</w:t>
                  </w:r>
                  <w:r>
                    <w:rPr>
                      <w:rFonts w:hint="default" w:ascii="Times New Roman" w:hAnsi="Times New Roman" w:eastAsia="宋体" w:cs="Times New Roman"/>
                      <w:color w:val="auto"/>
                      <w:sz w:val="21"/>
                      <w:szCs w:val="21"/>
                    </w:rPr>
                    <w:t>、CONH</w:t>
                  </w:r>
                  <w:r>
                    <w:rPr>
                      <w:rFonts w:hint="default" w:ascii="Times New Roman" w:hAnsi="Times New Roman" w:cs="Times New Roman"/>
                      <w:color w:val="auto"/>
                      <w:sz w:val="21"/>
                      <w:szCs w:val="21"/>
                      <w:vertAlign w:val="subscript"/>
                    </w:rPr>
                    <w:t>2</w:t>
                  </w:r>
                  <w:r>
                    <w:rPr>
                      <w:rFonts w:hint="default" w:ascii="Times New Roman" w:hAnsi="Times New Roman" w:eastAsia="宋体" w:cs="Times New Roman"/>
                      <w:color w:val="auto"/>
                      <w:sz w:val="21"/>
                      <w:szCs w:val="21"/>
                    </w:rPr>
                    <w:t>、CN等基团构成</w:t>
                  </w:r>
                </w:p>
              </w:tc>
              <w:tc>
                <w:tcPr>
                  <w:tcW w:w="506" w:type="pct"/>
                  <w:tcBorders>
                    <w:tl2br w:val="nil"/>
                    <w:tr2bl w:val="nil"/>
                  </w:tcBorders>
                  <w:noWrap w:val="0"/>
                  <w:vAlign w:val="center"/>
                </w:tcPr>
                <w:p w14:paraId="2764A4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0ABDDE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06" w:type="pct"/>
                  <w:tcBorders>
                    <w:tl2br w:val="nil"/>
                    <w:tr2bl w:val="nil"/>
                  </w:tcBorders>
                  <w:noWrap w:val="0"/>
                  <w:vAlign w:val="center"/>
                </w:tcPr>
                <w:p w14:paraId="04CD0D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932" w:type="pct"/>
                  <w:tcBorders>
                    <w:tl2br w:val="nil"/>
                    <w:tr2bl w:val="nil"/>
                  </w:tcBorders>
                  <w:noWrap w:val="0"/>
                  <w:vAlign w:val="center"/>
                </w:tcPr>
                <w:p w14:paraId="2E61AF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抑制粘土水化分散，是一种良好的页岩抑制，同时兼有降低钻井液</w:t>
                  </w:r>
                </w:p>
                <w:p w14:paraId="40E3C9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度和降滤失作用</w:t>
                  </w:r>
                </w:p>
              </w:tc>
              <w:tc>
                <w:tcPr>
                  <w:tcW w:w="457" w:type="pct"/>
                  <w:vMerge w:val="continue"/>
                  <w:tcBorders>
                    <w:tl2br w:val="nil"/>
                    <w:tr2bl w:val="nil"/>
                  </w:tcBorders>
                  <w:noWrap w:val="0"/>
                  <w:vAlign w:val="center"/>
                </w:tcPr>
                <w:p w14:paraId="0D53D3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0CF61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63" w:hRule="atLeast"/>
                <w:jc w:val="center"/>
              </w:trPr>
              <w:tc>
                <w:tcPr>
                  <w:tcW w:w="732" w:type="pct"/>
                  <w:tcBorders>
                    <w:tl2br w:val="nil"/>
                    <w:tr2bl w:val="nil"/>
                  </w:tcBorders>
                  <w:noWrap w:val="0"/>
                  <w:vAlign w:val="center"/>
                </w:tcPr>
                <w:p w14:paraId="22000B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LV-CMC</w:t>
                  </w:r>
                  <w:r>
                    <w:rPr>
                      <w:rFonts w:hint="default" w:ascii="Times New Roman" w:hAnsi="Times New Roman" w:eastAsia="宋体" w:cs="Times New Roman"/>
                      <w:color w:val="auto"/>
                      <w:sz w:val="21"/>
                      <w:szCs w:val="21"/>
                    </w:rPr>
                    <w:t>（羧甲基纤维素钠）</w:t>
                  </w:r>
                </w:p>
              </w:tc>
              <w:tc>
                <w:tcPr>
                  <w:tcW w:w="1359" w:type="pct"/>
                  <w:tcBorders>
                    <w:tl2br w:val="nil"/>
                    <w:tr2bl w:val="nil"/>
                  </w:tcBorders>
                  <w:noWrap w:val="0"/>
                  <w:vAlign w:val="center"/>
                </w:tcPr>
                <w:p w14:paraId="3E4A88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C</w:t>
                  </w:r>
                  <w:r>
                    <w:rPr>
                      <w:rFonts w:hint="default" w:ascii="Times New Roman" w:hAnsi="Times New Roman" w:cs="Times New Roman"/>
                      <w:color w:val="auto"/>
                      <w:kern w:val="0"/>
                      <w:sz w:val="21"/>
                      <w:szCs w:val="21"/>
                      <w:vertAlign w:val="subscript"/>
                      <w:lang w:bidi="ar"/>
                    </w:rPr>
                    <w:t>8</w:t>
                  </w:r>
                  <w:r>
                    <w:rPr>
                      <w:rFonts w:hint="default" w:ascii="Times New Roman" w:hAnsi="Times New Roman" w:cs="Times New Roman"/>
                      <w:color w:val="auto"/>
                      <w:kern w:val="0"/>
                      <w:sz w:val="21"/>
                      <w:szCs w:val="21"/>
                      <w:lang w:bidi="ar"/>
                    </w:rPr>
                    <w:t>H</w:t>
                  </w:r>
                  <w:r>
                    <w:rPr>
                      <w:rFonts w:hint="default" w:ascii="Times New Roman" w:hAnsi="Times New Roman" w:cs="Times New Roman"/>
                      <w:color w:val="auto"/>
                      <w:kern w:val="0"/>
                      <w:sz w:val="21"/>
                      <w:szCs w:val="21"/>
                      <w:vertAlign w:val="subscript"/>
                      <w:lang w:bidi="ar"/>
                    </w:rPr>
                    <w:t>16</w:t>
                  </w:r>
                  <w:r>
                    <w:rPr>
                      <w:rFonts w:hint="default" w:ascii="Times New Roman" w:hAnsi="Times New Roman" w:cs="Times New Roman"/>
                      <w:color w:val="auto"/>
                      <w:kern w:val="0"/>
                      <w:sz w:val="21"/>
                      <w:szCs w:val="21"/>
                      <w:lang w:bidi="ar"/>
                    </w:rPr>
                    <w:t>NaO</w:t>
                  </w:r>
                  <w:r>
                    <w:rPr>
                      <w:rFonts w:hint="default" w:ascii="Times New Roman" w:hAnsi="Times New Roman" w:cs="Times New Roman"/>
                      <w:color w:val="auto"/>
                      <w:kern w:val="0"/>
                      <w:sz w:val="21"/>
                      <w:szCs w:val="21"/>
                      <w:vertAlign w:val="subscript"/>
                      <w:lang w:bidi="ar"/>
                    </w:rPr>
                    <w:t>8</w:t>
                  </w:r>
                </w:p>
              </w:tc>
              <w:tc>
                <w:tcPr>
                  <w:tcW w:w="506" w:type="pct"/>
                  <w:tcBorders>
                    <w:tl2br w:val="nil"/>
                    <w:tr2bl w:val="nil"/>
                  </w:tcBorders>
                  <w:noWrap w:val="0"/>
                  <w:vAlign w:val="center"/>
                </w:tcPr>
                <w:p w14:paraId="38FE3B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7A52BA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6" w:type="pct"/>
                  <w:tcBorders>
                    <w:tl2br w:val="nil"/>
                    <w:tr2bl w:val="nil"/>
                  </w:tcBorders>
                  <w:noWrap w:val="0"/>
                  <w:vAlign w:val="center"/>
                </w:tcPr>
                <w:p w14:paraId="7F4FAE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32" w:type="pct"/>
                  <w:tcBorders>
                    <w:tl2br w:val="nil"/>
                    <w:tr2bl w:val="nil"/>
                  </w:tcBorders>
                  <w:noWrap w:val="0"/>
                  <w:vAlign w:val="center"/>
                </w:tcPr>
                <w:p w14:paraId="35133E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主要用作降滤失剂</w:t>
                  </w:r>
                </w:p>
              </w:tc>
              <w:tc>
                <w:tcPr>
                  <w:tcW w:w="457" w:type="pct"/>
                  <w:vMerge w:val="continue"/>
                  <w:tcBorders>
                    <w:tl2br w:val="nil"/>
                    <w:tr2bl w:val="nil"/>
                  </w:tcBorders>
                  <w:noWrap w:val="0"/>
                  <w:vAlign w:val="center"/>
                </w:tcPr>
                <w:p w14:paraId="565ED9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730323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604E85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沥青类防塌剂</w:t>
                  </w:r>
                </w:p>
              </w:tc>
              <w:tc>
                <w:tcPr>
                  <w:tcW w:w="1359" w:type="pct"/>
                  <w:tcBorders>
                    <w:tl2br w:val="nil"/>
                    <w:tr2bl w:val="nil"/>
                  </w:tcBorders>
                  <w:noWrap w:val="0"/>
                  <w:vAlign w:val="center"/>
                </w:tcPr>
                <w:p w14:paraId="4A9E4C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高级脂肪醇树脂</w:t>
                  </w:r>
                </w:p>
              </w:tc>
              <w:tc>
                <w:tcPr>
                  <w:tcW w:w="506" w:type="pct"/>
                  <w:tcBorders>
                    <w:tl2br w:val="nil"/>
                    <w:tr2bl w:val="nil"/>
                  </w:tcBorders>
                  <w:noWrap w:val="0"/>
                  <w:vAlign w:val="center"/>
                </w:tcPr>
                <w:p w14:paraId="78E861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41888D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6" w:type="pct"/>
                  <w:tcBorders>
                    <w:tl2br w:val="nil"/>
                    <w:tr2bl w:val="nil"/>
                  </w:tcBorders>
                  <w:noWrap w:val="0"/>
                  <w:vAlign w:val="center"/>
                </w:tcPr>
                <w:p w14:paraId="402E37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32" w:type="pct"/>
                  <w:tcBorders>
                    <w:tl2br w:val="nil"/>
                    <w:tr2bl w:val="nil"/>
                  </w:tcBorders>
                  <w:noWrap w:val="0"/>
                  <w:vAlign w:val="center"/>
                </w:tcPr>
                <w:p w14:paraId="2B7574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稳定井壁，防止井壁垮塌</w:t>
                  </w:r>
                </w:p>
              </w:tc>
              <w:tc>
                <w:tcPr>
                  <w:tcW w:w="457" w:type="pct"/>
                  <w:vMerge w:val="continue"/>
                  <w:tcBorders>
                    <w:tl2br w:val="nil"/>
                    <w:tr2bl w:val="nil"/>
                  </w:tcBorders>
                  <w:noWrap w:val="0"/>
                  <w:vAlign w:val="center"/>
                </w:tcPr>
                <w:p w14:paraId="0F76BF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42A86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5CED61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常规液体润滑剂</w:t>
                  </w:r>
                </w:p>
              </w:tc>
              <w:tc>
                <w:tcPr>
                  <w:tcW w:w="1359" w:type="pct"/>
                  <w:tcBorders>
                    <w:tl2br w:val="nil"/>
                    <w:tr2bl w:val="nil"/>
                  </w:tcBorders>
                  <w:noWrap w:val="0"/>
                  <w:vAlign w:val="center"/>
                </w:tcPr>
                <w:p w14:paraId="582C10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聚合醇</w:t>
                  </w:r>
                </w:p>
              </w:tc>
              <w:tc>
                <w:tcPr>
                  <w:tcW w:w="506" w:type="pct"/>
                  <w:tcBorders>
                    <w:tl2br w:val="nil"/>
                    <w:tr2bl w:val="nil"/>
                  </w:tcBorders>
                  <w:noWrap w:val="0"/>
                  <w:vAlign w:val="center"/>
                </w:tcPr>
                <w:p w14:paraId="2C1BAC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1EFEAA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6" w:type="pct"/>
                  <w:tcBorders>
                    <w:tl2br w:val="nil"/>
                    <w:tr2bl w:val="nil"/>
                  </w:tcBorders>
                  <w:noWrap w:val="0"/>
                  <w:vAlign w:val="center"/>
                </w:tcPr>
                <w:p w14:paraId="17F97D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32" w:type="pct"/>
                  <w:tcBorders>
                    <w:tl2br w:val="nil"/>
                    <w:tr2bl w:val="nil"/>
                  </w:tcBorders>
                  <w:noWrap w:val="0"/>
                  <w:vAlign w:val="center"/>
                </w:tcPr>
                <w:p w14:paraId="48760A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减少钻具的扭矩、磨损和疲劳，延长钻具及钻头的使用寿命</w:t>
                  </w:r>
                </w:p>
              </w:tc>
              <w:tc>
                <w:tcPr>
                  <w:tcW w:w="457" w:type="pct"/>
                  <w:vMerge w:val="continue"/>
                  <w:tcBorders>
                    <w:tl2br w:val="nil"/>
                    <w:tr2bl w:val="nil"/>
                  </w:tcBorders>
                  <w:noWrap w:val="0"/>
                  <w:vAlign w:val="center"/>
                </w:tcPr>
                <w:p w14:paraId="2999AD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4DE100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32" w:type="pct"/>
                  <w:tcBorders>
                    <w:tl2br w:val="nil"/>
                    <w:tr2bl w:val="nil"/>
                  </w:tcBorders>
                  <w:noWrap w:val="0"/>
                  <w:vAlign w:val="center"/>
                </w:tcPr>
                <w:p w14:paraId="3293C6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复合堵漏剂(备用)</w:t>
                  </w:r>
                </w:p>
              </w:tc>
              <w:tc>
                <w:tcPr>
                  <w:tcW w:w="1359" w:type="pct"/>
                  <w:tcBorders>
                    <w:tl2br w:val="nil"/>
                    <w:tr2bl w:val="nil"/>
                  </w:tcBorders>
                  <w:noWrap w:val="0"/>
                  <w:vAlign w:val="center"/>
                </w:tcPr>
                <w:p w14:paraId="517B53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锯末、云母、棉籽、核桃壳等</w:t>
                  </w:r>
                </w:p>
              </w:tc>
              <w:tc>
                <w:tcPr>
                  <w:tcW w:w="506" w:type="pct"/>
                  <w:tcBorders>
                    <w:tl2br w:val="nil"/>
                    <w:tr2bl w:val="nil"/>
                  </w:tcBorders>
                  <w:noWrap w:val="0"/>
                  <w:vAlign w:val="center"/>
                </w:tcPr>
                <w:p w14:paraId="5664B7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4522CB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2D9A0B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32" w:type="pct"/>
                  <w:tcBorders>
                    <w:tl2br w:val="nil"/>
                    <w:tr2bl w:val="nil"/>
                  </w:tcBorders>
                  <w:noWrap w:val="0"/>
                  <w:vAlign w:val="center"/>
                </w:tcPr>
                <w:p w14:paraId="526F73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起堵漏作用</w:t>
                  </w:r>
                </w:p>
              </w:tc>
              <w:tc>
                <w:tcPr>
                  <w:tcW w:w="457" w:type="pct"/>
                  <w:vMerge w:val="continue"/>
                  <w:tcBorders>
                    <w:tl2br w:val="nil"/>
                    <w:tr2bl w:val="nil"/>
                  </w:tcBorders>
                  <w:noWrap w:val="0"/>
                  <w:vAlign w:val="center"/>
                </w:tcPr>
                <w:p w14:paraId="746247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6BBAD6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732" w:type="pct"/>
                  <w:tcBorders>
                    <w:tl2br w:val="nil"/>
                    <w:tr2bl w:val="nil"/>
                  </w:tcBorders>
                  <w:noWrap w:val="0"/>
                  <w:vAlign w:val="center"/>
                </w:tcPr>
                <w:p w14:paraId="5280E7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加重材料</w:t>
                  </w:r>
                </w:p>
              </w:tc>
              <w:tc>
                <w:tcPr>
                  <w:tcW w:w="1359" w:type="pct"/>
                  <w:tcBorders>
                    <w:tl2br w:val="nil"/>
                    <w:tr2bl w:val="nil"/>
                  </w:tcBorders>
                  <w:noWrap w:val="0"/>
                  <w:vAlign w:val="center"/>
                </w:tcPr>
                <w:p w14:paraId="65F1AB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CaCO</w:t>
                  </w:r>
                  <w:r>
                    <w:rPr>
                      <w:rFonts w:hint="default" w:ascii="Times New Roman" w:hAnsi="Times New Roman" w:cs="Times New Roman"/>
                      <w:color w:val="auto"/>
                      <w:sz w:val="21"/>
                      <w:szCs w:val="21"/>
                      <w:vertAlign w:val="subscript"/>
                    </w:rPr>
                    <w:t>3</w:t>
                  </w:r>
                </w:p>
              </w:tc>
              <w:tc>
                <w:tcPr>
                  <w:tcW w:w="506" w:type="pct"/>
                  <w:tcBorders>
                    <w:tl2br w:val="nil"/>
                    <w:tr2bl w:val="nil"/>
                  </w:tcBorders>
                  <w:noWrap w:val="0"/>
                  <w:vAlign w:val="center"/>
                </w:tcPr>
                <w:p w14:paraId="5E7329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1CEA7E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06" w:type="pct"/>
                  <w:tcBorders>
                    <w:tl2br w:val="nil"/>
                    <w:tr2bl w:val="nil"/>
                  </w:tcBorders>
                  <w:noWrap w:val="0"/>
                  <w:vAlign w:val="center"/>
                </w:tcPr>
                <w:p w14:paraId="3C930D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32" w:type="pct"/>
                  <w:tcBorders>
                    <w:tl2br w:val="nil"/>
                    <w:tr2bl w:val="nil"/>
                  </w:tcBorders>
                  <w:noWrap w:val="0"/>
                  <w:vAlign w:val="center"/>
                </w:tcPr>
                <w:p w14:paraId="7488C6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提高钻井液密度，稳定井壁</w:t>
                  </w:r>
                </w:p>
              </w:tc>
              <w:tc>
                <w:tcPr>
                  <w:tcW w:w="457" w:type="pct"/>
                  <w:vMerge w:val="continue"/>
                  <w:tcBorders>
                    <w:tl2br w:val="nil"/>
                    <w:tr2bl w:val="nil"/>
                  </w:tcBorders>
                  <w:noWrap w:val="0"/>
                  <w:vAlign w:val="center"/>
                </w:tcPr>
                <w:p w14:paraId="5377DD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0664DF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32" w:type="pct"/>
                  <w:tcBorders>
                    <w:tl2br w:val="nil"/>
                    <w:tr2bl w:val="nil"/>
                  </w:tcBorders>
                  <w:noWrap w:val="0"/>
                  <w:vAlign w:val="center"/>
                </w:tcPr>
                <w:p w14:paraId="5076BB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合计</w:t>
                  </w:r>
                </w:p>
              </w:tc>
              <w:tc>
                <w:tcPr>
                  <w:tcW w:w="1359" w:type="pct"/>
                  <w:tcBorders>
                    <w:tl2br w:val="nil"/>
                    <w:tr2bl w:val="nil"/>
                  </w:tcBorders>
                  <w:noWrap w:val="0"/>
                  <w:vAlign w:val="center"/>
                </w:tcPr>
                <w:p w14:paraId="0D38E0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6" w:type="pct"/>
                  <w:tcBorders>
                    <w:tl2br w:val="nil"/>
                    <w:tr2bl w:val="nil"/>
                  </w:tcBorders>
                  <w:noWrap w:val="0"/>
                  <w:vAlign w:val="center"/>
                </w:tcPr>
                <w:p w14:paraId="76C238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sum(C2:C12)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fldChar w:fldCharType="end"/>
                  </w:r>
                </w:p>
              </w:tc>
              <w:tc>
                <w:tcPr>
                  <w:tcW w:w="506" w:type="pct"/>
                  <w:tcBorders>
                    <w:tl2br w:val="nil"/>
                    <w:tr2bl w:val="nil"/>
                  </w:tcBorders>
                  <w:noWrap w:val="0"/>
                  <w:vAlign w:val="center"/>
                </w:tcPr>
                <w:p w14:paraId="40ABDE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sum(D2:D12)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49.5</w:t>
                  </w:r>
                  <w:r>
                    <w:rPr>
                      <w:rFonts w:hint="default" w:ascii="Times New Roman" w:hAnsi="Times New Roman" w:cs="Times New Roman"/>
                      <w:color w:val="auto"/>
                      <w:sz w:val="21"/>
                      <w:szCs w:val="21"/>
                    </w:rPr>
                    <w:fldChar w:fldCharType="end"/>
                  </w:r>
                </w:p>
              </w:tc>
              <w:tc>
                <w:tcPr>
                  <w:tcW w:w="506" w:type="pct"/>
                  <w:tcBorders>
                    <w:tl2br w:val="nil"/>
                    <w:tr2bl w:val="nil"/>
                  </w:tcBorders>
                  <w:noWrap w:val="0"/>
                  <w:vAlign w:val="center"/>
                </w:tcPr>
                <w:p w14:paraId="42D9CA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sum(E2:E12)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61</w:t>
                  </w:r>
                  <w:r>
                    <w:rPr>
                      <w:rFonts w:hint="default" w:ascii="Times New Roman" w:hAnsi="Times New Roman" w:cs="Times New Roman"/>
                      <w:color w:val="auto"/>
                      <w:sz w:val="21"/>
                      <w:szCs w:val="21"/>
                      <w:lang w:val="en-US" w:eastAsia="zh-CN"/>
                    </w:rPr>
                    <w:fldChar w:fldCharType="end"/>
                  </w:r>
                </w:p>
              </w:tc>
              <w:tc>
                <w:tcPr>
                  <w:tcW w:w="932" w:type="pct"/>
                  <w:tcBorders>
                    <w:tl2br w:val="nil"/>
                    <w:tr2bl w:val="nil"/>
                  </w:tcBorders>
                  <w:noWrap w:val="0"/>
                  <w:vAlign w:val="center"/>
                </w:tcPr>
                <w:p w14:paraId="716605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57" w:type="pct"/>
                  <w:vMerge w:val="continue"/>
                  <w:tcBorders>
                    <w:tl2br w:val="nil"/>
                    <w:tr2bl w:val="nil"/>
                  </w:tcBorders>
                  <w:noWrap w:val="0"/>
                  <w:vAlign w:val="center"/>
                </w:tcPr>
                <w:p w14:paraId="4468E3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r>
          </w:tbl>
          <w:p w14:paraId="009272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聚丙烯酸钾</w:t>
            </w:r>
            <w:r>
              <w:rPr>
                <w:rFonts w:hint="default" w:ascii="Times New Roman" w:hAnsi="Times New Roman" w:eastAsia="宋体" w:cs="Times New Roman"/>
                <w:b w:val="0"/>
                <w:bCs w:val="0"/>
                <w:color w:val="auto"/>
                <w:sz w:val="24"/>
                <w:szCs w:val="24"/>
                <w:vertAlign w:val="baseline"/>
                <w:lang w:val="en-US" w:eastAsia="zh-CN"/>
              </w:rPr>
              <w:t>：聚丙烯酸钾(K－PAM)，是一种含羧钾聚丙烯酰胺衍生物，具有高吸水性、生产成本低、加工工艺简单、产品质量稳定、长时间储存不变质，最终分解物对生态环境无害等特点，同时还是很强的抑制页岩分散剂，具有控制地层造浆的作用并兼有降失水、改善流型及增加润滑性等功能；因此可以用于井下不分散低固性泥浆、聚合物体系的剪切稀释、防塌絮凝。</w:t>
            </w:r>
          </w:p>
          <w:p w14:paraId="2BC1E4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rPr>
              <w:t>K-HPAN</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水解聚丙烯睛铵盐</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以腈纶废丝为主要原料，分子中有腈基，酰胺基及羧基。为棕红色或淡黄色粉末，易溶于水，水溶液呈碱性。本品为一种聚丙烯酸类岩抑制剂，对粘土有抑制水化膨胀的作用，并可降低钻井液的滤失量。</w:t>
            </w:r>
          </w:p>
          <w:p w14:paraId="5E7420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rPr>
              <w:t>LV-CMC</w:t>
            </w:r>
            <w:r>
              <w:rPr>
                <w:rFonts w:hint="default" w:ascii="Times New Roman" w:hAnsi="Times New Roman" w:eastAsia="宋体" w:cs="Times New Roman"/>
                <w:b/>
                <w:bCs/>
                <w:color w:val="auto"/>
                <w:sz w:val="24"/>
                <w:szCs w:val="24"/>
              </w:rPr>
              <w:t>（羧甲基纤维素钠）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是纤维素的羧甲基化衍生物，又名纤维素胶，属阴离子型纤维素醚，是最主要离子型纤维素胶。通常是由天然纤维素与苛性碱及一氯醋酸反应后制得的一种阴离子型高分子化合物，化合物分子量从几千到百万不等。CMC为白色或乳白色纤维状粉末或颗粒，密度0.5-0.7克/立方厘米，几乎无臭、无味，具吸湿性。易于分散在水中成透明胶状溶液，在乙醇等有机溶媒中不溶。1%水溶液pH为6.5～8.5，当pH&gt;10或&lt;5时，胶浆粘度显著降低，在pH=7时性能最佳。对热稳定，在20℃以下粘度迅速上升，45℃时变化较慢，80℃以上长时间加热可使其胶体变性而粘度和性能明显下降。易溶于水，溶液透明；在碱性溶液中很稳定，遇酸则易水解，pH值为2-3时会出现沉淀，遇多价金属盐也会反应出现沉淀。</w:t>
            </w:r>
            <w:r>
              <w:rPr>
                <w:rFonts w:hint="default" w:ascii="Times New Roman" w:hAnsi="Times New Roman" w:eastAsia="宋体" w:cs="Times New Roman"/>
                <w:b w:val="0"/>
                <w:bCs w:val="0"/>
                <w:color w:val="auto"/>
                <w:sz w:val="24"/>
                <w:szCs w:val="24"/>
                <w:highlight w:val="none"/>
                <w:vertAlign w:val="baseline"/>
                <w:lang w:val="en-US" w:eastAsia="zh-CN"/>
              </w:rPr>
              <w:t>固体CMC对光及室温较稳定</w:t>
            </w:r>
            <w:r>
              <w:rPr>
                <w:rFonts w:hint="default" w:ascii="Times New Roman" w:hAnsi="Times New Roman" w:eastAsia="宋体" w:cs="Times New Roman"/>
                <w:b w:val="0"/>
                <w:bCs w:val="0"/>
                <w:color w:val="auto"/>
                <w:sz w:val="24"/>
                <w:szCs w:val="24"/>
                <w:vertAlign w:val="baseline"/>
                <w:lang w:val="en-US" w:eastAsia="zh-CN"/>
              </w:rPr>
              <w:t>，在干燥的环境中，可以长期保存。羧甲基纤维素钠可用作增稠剂，稳定剂，乳化剂。</w:t>
            </w:r>
          </w:p>
          <w:p w14:paraId="023124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复合堵漏剂</w:t>
            </w:r>
            <w:r>
              <w:rPr>
                <w:rFonts w:hint="default" w:ascii="Times New Roman" w:hAnsi="Times New Roman" w:eastAsia="宋体" w:cs="Times New Roman"/>
                <w:b w:val="0"/>
                <w:bCs w:val="0"/>
                <w:color w:val="auto"/>
                <w:sz w:val="24"/>
                <w:szCs w:val="24"/>
                <w:vertAlign w:val="baseline"/>
                <w:lang w:val="en-US" w:eastAsia="zh-CN"/>
              </w:rPr>
              <w:t>：堵漏剂是一种凝结硬化快，小时强度高，具有膨胀的水硬性材料，此原料无毒无味，经严格筛选，性能卓越，操作简便，用水调和即可使用，可在潮湿面上施工，亦可带水堵漏，效果奇特。</w:t>
            </w:r>
          </w:p>
          <w:p w14:paraId="0B58F9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压裂液各成分理化性质一览表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6945"/>
            </w:tblGrid>
            <w:tr w14:paraId="31BA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EDB9B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原料名称</w:t>
                  </w:r>
                </w:p>
              </w:tc>
              <w:tc>
                <w:tcPr>
                  <w:tcW w:w="6945" w:type="dxa"/>
                  <w:vAlign w:val="center"/>
                </w:tcPr>
                <w:p w14:paraId="7B76CC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理化性质</w:t>
                  </w:r>
                </w:p>
              </w:tc>
            </w:tr>
            <w:tr w14:paraId="36BF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6E4255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改性胍胶</w:t>
                  </w:r>
                </w:p>
              </w:tc>
              <w:tc>
                <w:tcPr>
                  <w:tcW w:w="6945" w:type="dxa"/>
                  <w:vAlign w:val="center"/>
                </w:tcPr>
                <w:p w14:paraId="49C39781">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采用昆山羟丙基胍胶，羟丙基胍胶具有增稠能力强，热稳定性好的特点，对水有很强的亲和力。当胍胶粉末加入水中，胍胶的微粒便</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溶胀、水合</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，也就是聚合物分子与许多水分子形成缔合体，然后在溶液中展开、伸长。在水基体系中，聚合物线团的相互作用，产生了粘稠溶液。适合储层温度</w:t>
                  </w:r>
                  <w:r>
                    <w:rPr>
                      <w:rFonts w:hint="default" w:ascii="Times New Roman" w:hAnsi="Times New Roman" w:eastAsia="TimesNewRomanPSMT" w:cs="Times New Roman"/>
                      <w:color w:val="auto"/>
                      <w:sz w:val="21"/>
                      <w:szCs w:val="24"/>
                    </w:rPr>
                    <w:t>80℃-200℃</w:t>
                  </w:r>
                  <w:r>
                    <w:rPr>
                      <w:rFonts w:hint="default" w:ascii="Times New Roman" w:hAnsi="Times New Roman" w:eastAsia="宋体" w:cs="Times New Roman"/>
                      <w:color w:val="auto"/>
                      <w:sz w:val="21"/>
                      <w:szCs w:val="24"/>
                    </w:rPr>
                    <w:t>，降低了压裂液的残渣与施工摩阻，能满足高温、低渗储层压裂改造的需要。</w:t>
                  </w:r>
                </w:p>
              </w:tc>
            </w:tr>
            <w:tr w14:paraId="58A2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BA558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润湿改进剂</w:t>
                  </w:r>
                </w:p>
              </w:tc>
              <w:tc>
                <w:tcPr>
                  <w:tcW w:w="6945" w:type="dxa"/>
                  <w:vAlign w:val="center"/>
                </w:tcPr>
                <w:p w14:paraId="0A9EBC0C">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常用的润湿剂主要是非离子型表面活性剂，如</w:t>
                  </w:r>
                  <w:r>
                    <w:rPr>
                      <w:rFonts w:hint="default" w:ascii="Times New Roman" w:hAnsi="Times New Roman" w:eastAsia="TimesNewRomanPSMT" w:cs="Times New Roman"/>
                      <w:color w:val="auto"/>
                      <w:sz w:val="21"/>
                      <w:szCs w:val="24"/>
                    </w:rPr>
                    <w:t>AE1910</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OP-10</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SP169</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796A</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TA-1031</w:t>
                  </w:r>
                  <w:r>
                    <w:rPr>
                      <w:rFonts w:hint="default" w:ascii="Times New Roman" w:hAnsi="Times New Roman" w:eastAsia="宋体" w:cs="Times New Roman"/>
                      <w:color w:val="auto"/>
                      <w:sz w:val="21"/>
                      <w:szCs w:val="24"/>
                    </w:rPr>
                    <w:t>等，能将亲油砂岩润湿为亲水砂岩，有利于提高相对渗透率。</w:t>
                  </w:r>
                </w:p>
              </w:tc>
            </w:tr>
            <w:tr w14:paraId="09B8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316E53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高温交联剂</w:t>
                  </w:r>
                </w:p>
              </w:tc>
              <w:tc>
                <w:tcPr>
                  <w:tcW w:w="6945" w:type="dxa"/>
                  <w:vAlign w:val="center"/>
                </w:tcPr>
                <w:p w14:paraId="1D1286D9">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通过化学键或配位键与稠化剂发生交联反应的试剂称为交联剂。交联剂将聚合物的各种分子联结成一种机构，使原来的聚合物分子量明显地增加，调整压裂液的粘度。</w:t>
                  </w:r>
                </w:p>
              </w:tc>
            </w:tr>
            <w:tr w14:paraId="48E5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2833EF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有机硼</w:t>
                  </w:r>
                </w:p>
              </w:tc>
              <w:tc>
                <w:tcPr>
                  <w:tcW w:w="6945" w:type="dxa"/>
                  <w:vAlign w:val="center"/>
                </w:tcPr>
                <w:p w14:paraId="131EEC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含有硼原子的有机化合物，作为交联剂辅助用剂。</w:t>
                  </w:r>
                </w:p>
              </w:tc>
            </w:tr>
            <w:tr w14:paraId="5366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72070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高温破胶剂</w:t>
                  </w:r>
                </w:p>
              </w:tc>
              <w:tc>
                <w:tcPr>
                  <w:tcW w:w="6945" w:type="dxa"/>
                  <w:vAlign w:val="center"/>
                </w:tcPr>
                <w:p w14:paraId="395727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目前适用于水基交联冻胶体系的破胶剂，或以硫酸钾作为主要助剂。</w:t>
                  </w:r>
                </w:p>
              </w:tc>
            </w:tr>
            <w:tr w14:paraId="022B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66B6D3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碳酸钠</w:t>
                  </w:r>
                </w:p>
              </w:tc>
              <w:tc>
                <w:tcPr>
                  <w:tcW w:w="6945" w:type="dxa"/>
                  <w:vAlign w:val="center"/>
                </w:tcPr>
                <w:p w14:paraId="1963A424">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无水碳酸钠为白色粉末，易溶于水，水溶液呈碱性，</w:t>
                  </w:r>
                  <w:r>
                    <w:rPr>
                      <w:rFonts w:hint="default" w:ascii="Times New Roman" w:hAnsi="Times New Roman" w:eastAsia="宋体" w:cs="Times New Roman"/>
                      <w:color w:val="auto"/>
                      <w:sz w:val="21"/>
                      <w:szCs w:val="24"/>
                      <w:lang w:val="en-US" w:eastAsia="zh-CN"/>
                    </w:rPr>
                    <w:t>p</w:t>
                  </w:r>
                  <w:r>
                    <w:rPr>
                      <w:rFonts w:hint="default" w:ascii="Times New Roman" w:hAnsi="Times New Roman" w:eastAsia="TimesNewRomanPSMT" w:cs="Times New Roman"/>
                      <w:color w:val="auto"/>
                      <w:sz w:val="21"/>
                      <w:szCs w:val="24"/>
                    </w:rPr>
                    <w:t>H</w:t>
                  </w:r>
                  <w:r>
                    <w:rPr>
                      <w:rFonts w:hint="default" w:ascii="Times New Roman" w:hAnsi="Times New Roman" w:eastAsia="宋体" w:cs="Times New Roman"/>
                      <w:color w:val="auto"/>
                      <w:sz w:val="21"/>
                      <w:szCs w:val="24"/>
                    </w:rPr>
                    <w:t>值为</w:t>
                  </w:r>
                  <w:r>
                    <w:rPr>
                      <w:rFonts w:hint="default" w:ascii="Times New Roman" w:hAnsi="Times New Roman" w:eastAsia="TimesNewRomanPSMT" w:cs="Times New Roman"/>
                      <w:color w:val="auto"/>
                      <w:sz w:val="21"/>
                      <w:szCs w:val="24"/>
                    </w:rPr>
                    <w:t>11.5</w:t>
                  </w:r>
                  <w:r>
                    <w:rPr>
                      <w:rFonts w:hint="default" w:ascii="Times New Roman" w:hAnsi="Times New Roman" w:eastAsia="宋体" w:cs="Times New Roman"/>
                      <w:color w:val="auto"/>
                      <w:sz w:val="21"/>
                      <w:szCs w:val="24"/>
                    </w:rPr>
                    <w:t>。在泥浆中发生电离和水解，提供</w:t>
                  </w:r>
                  <w:r>
                    <w:rPr>
                      <w:rFonts w:hint="default" w:ascii="Times New Roman" w:hAnsi="Times New Roman" w:eastAsia="TimesNewRomanPSMT" w:cs="Times New Roman"/>
                      <w:color w:val="auto"/>
                      <w:sz w:val="21"/>
                      <w:szCs w:val="24"/>
                    </w:rPr>
                    <w:t>Na</w:t>
                  </w:r>
                  <w:r>
                    <w:rPr>
                      <w:rFonts w:hint="default" w:ascii="Times New Roman" w:hAnsi="Times New Roman" w:eastAsia="宋体" w:cs="Times New Roman"/>
                      <w:color w:val="auto"/>
                      <w:sz w:val="21"/>
                      <w:szCs w:val="24"/>
                      <w:vertAlign w:val="superscript"/>
                      <w:lang w:val="en-US" w:eastAsia="zh-CN"/>
                    </w:rPr>
                    <w:t>+</w:t>
                  </w:r>
                  <w:r>
                    <w:rPr>
                      <w:rFonts w:hint="default" w:ascii="Times New Roman" w:hAnsi="Times New Roman" w:eastAsia="宋体" w:cs="Times New Roman"/>
                      <w:color w:val="auto"/>
                      <w:sz w:val="21"/>
                      <w:szCs w:val="24"/>
                    </w:rPr>
                    <w:t>和</w:t>
                  </w:r>
                  <w:r>
                    <w:rPr>
                      <w:rFonts w:hint="default" w:ascii="Times New Roman" w:hAnsi="Times New Roman" w:eastAsia="TimesNewRomanPSMT" w:cs="Times New Roman"/>
                      <w:color w:val="auto"/>
                      <w:sz w:val="21"/>
                      <w:szCs w:val="24"/>
                    </w:rPr>
                    <w:t>CO</w:t>
                  </w:r>
                  <w:r>
                    <w:rPr>
                      <w:rFonts w:hint="default" w:ascii="Times New Roman" w:hAnsi="Times New Roman" w:eastAsia="宋体" w:cs="Times New Roman"/>
                      <w:color w:val="auto"/>
                      <w:sz w:val="21"/>
                      <w:szCs w:val="24"/>
                      <w:vertAlign w:val="subscript"/>
                      <w:lang w:val="en-US" w:eastAsia="zh-CN"/>
                    </w:rPr>
                    <w:t>3</w:t>
                  </w:r>
                  <w:r>
                    <w:rPr>
                      <w:rFonts w:hint="default" w:ascii="Times New Roman" w:hAnsi="Times New Roman" w:eastAsia="宋体" w:cs="Times New Roman"/>
                      <w:color w:val="auto"/>
                      <w:sz w:val="21"/>
                      <w:szCs w:val="24"/>
                      <w:vertAlign w:val="superscript"/>
                      <w:lang w:val="en-US" w:eastAsia="zh-CN"/>
                    </w:rPr>
                    <w:t>2-</w:t>
                  </w:r>
                  <w:r>
                    <w:rPr>
                      <w:rFonts w:hint="default" w:ascii="Times New Roman" w:hAnsi="Times New Roman" w:eastAsia="宋体" w:cs="Times New Roman"/>
                      <w:color w:val="auto"/>
                      <w:sz w:val="21"/>
                      <w:szCs w:val="24"/>
                    </w:rPr>
                    <w:t>在泥浆中通过离子交换和沉淀作业，使钙质粘土变为钠质粘土。另外可除掉石膏或水泥浸入泥浆中的</w:t>
                  </w:r>
                  <w:r>
                    <w:rPr>
                      <w:rFonts w:hint="default" w:ascii="Times New Roman" w:hAnsi="Times New Roman" w:eastAsia="TimesNewRomanPSMT" w:cs="Times New Roman"/>
                      <w:color w:val="auto"/>
                      <w:sz w:val="21"/>
                      <w:szCs w:val="24"/>
                    </w:rPr>
                    <w:t>Ca</w:t>
                  </w:r>
                  <w:r>
                    <w:rPr>
                      <w:rFonts w:hint="default" w:ascii="Times New Roman" w:hAnsi="Times New Roman" w:eastAsia="宋体" w:cs="Times New Roman"/>
                      <w:color w:val="auto"/>
                      <w:sz w:val="21"/>
                      <w:szCs w:val="24"/>
                      <w:vertAlign w:val="superscript"/>
                      <w:lang w:val="en-US" w:eastAsia="zh-CN"/>
                    </w:rPr>
                    <w:t>2+</w:t>
                  </w:r>
                  <w:r>
                    <w:rPr>
                      <w:rFonts w:hint="default" w:ascii="Times New Roman" w:hAnsi="Times New Roman" w:eastAsia="宋体" w:cs="Times New Roman"/>
                      <w:color w:val="auto"/>
                      <w:sz w:val="21"/>
                      <w:szCs w:val="24"/>
                    </w:rPr>
                    <w:t>离子，使泥浆性能变好。</w:t>
                  </w:r>
                </w:p>
              </w:tc>
            </w:tr>
            <w:tr w14:paraId="7E8F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C014C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碳酸氢钠</w:t>
                  </w:r>
                </w:p>
              </w:tc>
              <w:tc>
                <w:tcPr>
                  <w:tcW w:w="6945" w:type="dxa"/>
                  <w:vAlign w:val="center"/>
                </w:tcPr>
                <w:p w14:paraId="01CD65A0">
                  <w:pPr>
                    <w:keepNext w:val="0"/>
                    <w:keepLines w:val="0"/>
                    <w:pageBreakBefore w:val="0"/>
                    <w:widowControl w:val="0"/>
                    <w:kinsoku/>
                    <w:wordWrap/>
                    <w:overflowPunct/>
                    <w:topLinePunct w:val="0"/>
                    <w:autoSpaceDE/>
                    <w:autoSpaceDN/>
                    <w:bidi w:val="0"/>
                    <w:adjustRightInd w:val="0"/>
                    <w:snapToGrid w:val="0"/>
                    <w:spacing w:beforeLines="0" w:afterLine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白色细小晶体，溶于水时呈现弱碱性，固体</w:t>
                  </w:r>
                  <w:r>
                    <w:rPr>
                      <w:rFonts w:hint="default" w:ascii="Times New Roman" w:hAnsi="Times New Roman" w:eastAsia="TimesNewRomanPSMT" w:cs="Times New Roman"/>
                      <w:color w:val="auto"/>
                      <w:sz w:val="21"/>
                      <w:szCs w:val="24"/>
                    </w:rPr>
                    <w:t>50℃</w:t>
                  </w:r>
                  <w:r>
                    <w:rPr>
                      <w:rFonts w:hint="default" w:ascii="Times New Roman" w:hAnsi="Times New Roman" w:eastAsia="宋体" w:cs="Times New Roman"/>
                      <w:color w:val="auto"/>
                      <w:sz w:val="21"/>
                      <w:szCs w:val="24"/>
                    </w:rPr>
                    <w:t>以上开始逐渐分解生成碳酸钠、二氧化碳和水，</w:t>
                  </w:r>
                  <w:r>
                    <w:rPr>
                      <w:rFonts w:hint="default" w:ascii="Times New Roman" w:hAnsi="Times New Roman" w:eastAsia="TimesNewRomanPSMT" w:cs="Times New Roman"/>
                      <w:color w:val="auto"/>
                      <w:sz w:val="21"/>
                      <w:szCs w:val="24"/>
                    </w:rPr>
                    <w:t>270℃</w:t>
                  </w:r>
                  <w:r>
                    <w:rPr>
                      <w:rFonts w:hint="default" w:ascii="Times New Roman" w:hAnsi="Times New Roman" w:eastAsia="宋体" w:cs="Times New Roman"/>
                      <w:color w:val="auto"/>
                      <w:sz w:val="21"/>
                      <w:szCs w:val="24"/>
                    </w:rPr>
                    <w:t>时完全分解。</w:t>
                  </w:r>
                </w:p>
              </w:tc>
            </w:tr>
          </w:tbl>
          <w:p w14:paraId="0E6200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9</w:t>
            </w:r>
            <w:r>
              <w:rPr>
                <w:rFonts w:hint="default" w:ascii="Times New Roman" w:hAnsi="Times New Roman" w:eastAsia="宋体" w:cs="Times New Roman"/>
                <w:b/>
                <w:bCs/>
                <w:color w:val="auto"/>
                <w:sz w:val="21"/>
                <w:szCs w:val="21"/>
                <w:vertAlign w:val="baseline"/>
                <w:lang w:val="en-US" w:eastAsia="zh-CN"/>
              </w:rPr>
              <w:t xml:space="preserve"> 原辅材料成分、性质一览表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3877"/>
              <w:gridCol w:w="3322"/>
            </w:tblGrid>
            <w:tr w14:paraId="75D7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0754B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311" w:type="pct"/>
                  <w:vAlign w:val="center"/>
                </w:tcPr>
                <w:p w14:paraId="22A04E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钻井液</w:t>
                  </w:r>
                </w:p>
              </w:tc>
              <w:tc>
                <w:tcPr>
                  <w:tcW w:w="1980" w:type="pct"/>
                  <w:vAlign w:val="center"/>
                </w:tcPr>
                <w:p w14:paraId="35FF01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压裂液</w:t>
                  </w:r>
                </w:p>
              </w:tc>
            </w:tr>
            <w:tr w14:paraId="23B8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03D191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成分配方比</w:t>
                  </w:r>
                </w:p>
              </w:tc>
              <w:tc>
                <w:tcPr>
                  <w:tcW w:w="2311" w:type="pct"/>
                  <w:vAlign w:val="center"/>
                </w:tcPr>
                <w:p w14:paraId="614C58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膨润土：6~8%</w:t>
                  </w:r>
                </w:p>
                <w:p w14:paraId="19F0DE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纯碱：0.3~0.5%</w:t>
                  </w:r>
                </w:p>
                <w:p w14:paraId="4C599A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CMC：0.05~0.1%</w:t>
                  </w:r>
                </w:p>
                <w:p w14:paraId="48C32C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聚丙烯酰胺：0~0.5%</w:t>
                  </w:r>
                </w:p>
                <w:p w14:paraId="2BE905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水：90.9~93.65%</w:t>
                  </w:r>
                </w:p>
              </w:tc>
              <w:tc>
                <w:tcPr>
                  <w:tcW w:w="1980" w:type="pct"/>
                  <w:vAlign w:val="center"/>
                </w:tcPr>
                <w:p w14:paraId="7375A256">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主要由稠化剂、交联剂、高温稳定剂、破胶剂等一些助剂组成。稠化剂是压裂液主要成分，约占总体系的0.1～1％</w:t>
                  </w:r>
                </w:p>
              </w:tc>
            </w:tr>
            <w:tr w14:paraId="50E4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60F71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性质作用</w:t>
                  </w:r>
                </w:p>
              </w:tc>
              <w:tc>
                <w:tcPr>
                  <w:tcW w:w="2311" w:type="pct"/>
                  <w:vAlign w:val="center"/>
                </w:tcPr>
                <w:p w14:paraId="6B022A95">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膨润土是一种以蒙脱石矿物为主要成分的粘性土，水化能力强，膨胀性大，分散性高。泥浆中注入4-8％的膨润土钻井液，具有良好的流变性能固定颗粒含量少，称为低固相优质固壁泥浆，其特点有：1、泥浆比重小，可泵及净化性能好，适用于反循环钻进工艺。2、失水量小，形成的泥皮薄而有韧，固壁效果好。3、具有良好的流变性能，悬浮携带钻碴能力强，利于提高钻进效率。4、省电、省工和省时，机械磨损小，可降低工程成本。</w:t>
                  </w:r>
                </w:p>
              </w:tc>
              <w:tc>
                <w:tcPr>
                  <w:tcW w:w="1980" w:type="pct"/>
                  <w:vAlign w:val="center"/>
                </w:tcPr>
                <w:p w14:paraId="7A99EA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液是在钻井中将地面所形成的高压传递到下层中去，使得地层造成新的裂缝，撑开或扩大地层原有裂缝，同时把支撑剂带到裂缝中去。压裂液选用的性能要求：黏度高，润滑性好，滤失量小，低摩阻，对被压裂的流体层无堵塞及损害，对流体矿无污染，热稳定性及剪切稳定性能好、低残渣、配伍性好、破胶迅速、货源广，便于配置，经济合理</w:t>
                  </w:r>
                </w:p>
              </w:tc>
            </w:tr>
            <w:tr w14:paraId="7B29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77BDEC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临时储存环保要求</w:t>
                  </w:r>
                </w:p>
              </w:tc>
              <w:tc>
                <w:tcPr>
                  <w:tcW w:w="2311" w:type="pct"/>
                  <w:vAlign w:val="center"/>
                </w:tcPr>
                <w:p w14:paraId="324F188D">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钻井液原料和处理剂的存放，应采取“防雨、防潮、防晒、防冻”等措施；钻井液材料应有详细记录，存放位置有明显标志。钻井液材料堆放台或架应高于地面100mm以上，并加设顶篷，防治雨水淋沥、浸泡造成污染。</w:t>
                  </w:r>
                </w:p>
              </w:tc>
              <w:tc>
                <w:tcPr>
                  <w:tcW w:w="1980" w:type="pct"/>
                  <w:vAlign w:val="center"/>
                </w:tcPr>
                <w:p w14:paraId="32FCA6F4">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储存于压裂液储罐内，储区应做好防渗措施，四周设置围堰。</w:t>
                  </w:r>
                </w:p>
              </w:tc>
            </w:tr>
          </w:tbl>
          <w:p w14:paraId="5EB72B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在钻井一开、二开过程中需要注入钻井液（俗称泥浆），钻井液是钻探过程中，孔内使用的循环冲洗介质，主要功用是：①冷却钻头、清净孔底、带出岩屑；②润滑钻具；③停钻时悬浮岩屑，保护孔壁防止坍塌，平衡地层压力、压住高压油气水层；④输送岩心，为孔底动力机传递破碎孔底岩石需要的动力等。</w:t>
            </w:r>
          </w:p>
          <w:p w14:paraId="63F6C733">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钻井液配置过程为：确定钻井液配比→加入按比例称取的水和膨润土→加入其他成分→利用烧碱调pH→倒入高速搅拌机搅拌→钻井液陈化→使用。钻井液配置过程中，为防止泄露对地下水及土壤影响，采取相应的环保措施</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cs="Times New Roman"/>
                <w:color w:val="auto"/>
                <w:sz w:val="24"/>
                <w:szCs w:val="24"/>
                <w:highlight w:val="none"/>
                <w:lang w:val="en-US" w:eastAsia="zh-CN" w:bidi="ar"/>
              </w:rPr>
              <w:t>钻井液</w:t>
            </w:r>
            <w:r>
              <w:rPr>
                <w:rFonts w:hint="eastAsia" w:ascii="Times New Roman" w:hAnsi="Times New Roman" w:eastAsia="宋体" w:cs="Times New Roman"/>
                <w:color w:val="auto"/>
                <w:sz w:val="24"/>
                <w:szCs w:val="24"/>
                <w:highlight w:val="none"/>
                <w:lang w:val="en-US" w:eastAsia="zh-CN" w:bidi="ar"/>
              </w:rPr>
              <w:t>配置</w:t>
            </w:r>
            <w:r>
              <w:rPr>
                <w:rFonts w:hint="eastAsia" w:ascii="Times New Roman" w:hAnsi="Times New Roman" w:cs="Times New Roman"/>
                <w:color w:val="auto"/>
                <w:sz w:val="24"/>
                <w:szCs w:val="24"/>
                <w:highlight w:val="none"/>
                <w:lang w:val="en-US" w:eastAsia="zh-CN" w:bidi="ar"/>
              </w:rPr>
              <w:t>在钻井液材料库内进行，其余药品存放在材料库。钻井液材料库内</w:t>
            </w:r>
            <w:r>
              <w:rPr>
                <w:rFonts w:hint="eastAsia" w:ascii="Times New Roman" w:hAnsi="Times New Roman" w:eastAsia="宋体" w:cs="Times New Roman"/>
                <w:color w:val="auto"/>
                <w:sz w:val="24"/>
                <w:szCs w:val="24"/>
                <w:highlight w:val="none"/>
                <w:lang w:val="en-US" w:eastAsia="zh-CN" w:bidi="ar"/>
              </w:rPr>
              <w:t>采取重点防渗，地面连同四周的</w:t>
            </w:r>
            <w:r>
              <w:rPr>
                <w:rFonts w:hint="eastAsia" w:ascii="Times New Roman" w:hAnsi="Times New Roman" w:cs="Times New Roman"/>
                <w:color w:val="auto"/>
                <w:sz w:val="24"/>
                <w:szCs w:val="24"/>
                <w:highlight w:val="none"/>
                <w:lang w:val="en-US" w:eastAsia="zh-CN" w:bidi="ar"/>
              </w:rPr>
              <w:t>裙角</w:t>
            </w:r>
            <w:r>
              <w:rPr>
                <w:rFonts w:hint="eastAsia" w:ascii="Times New Roman" w:hAnsi="Times New Roman" w:eastAsia="宋体" w:cs="Times New Roman"/>
                <w:color w:val="auto"/>
                <w:sz w:val="24"/>
                <w:szCs w:val="24"/>
                <w:highlight w:val="none"/>
                <w:lang w:val="en-US" w:eastAsia="zh-CN" w:bidi="ar"/>
              </w:rPr>
              <w:t>铺设防渗材料（HDPE膜，厚膜不少于2mm）</w:t>
            </w:r>
            <w:r>
              <w:rPr>
                <w:rFonts w:hint="eastAsia" w:ascii="Times New Roman" w:hAnsi="Times New Roman" w:cs="Times New Roman"/>
                <w:color w:val="auto"/>
                <w:sz w:val="24"/>
                <w:szCs w:val="24"/>
                <w:highlight w:val="none"/>
                <w:lang w:val="en-US" w:eastAsia="zh-CN" w:bidi="ar"/>
              </w:rPr>
              <w:t>，材料库采取一般防渗</w:t>
            </w:r>
            <w:r>
              <w:rPr>
                <w:rFonts w:hint="eastAsia" w:ascii="Times New Roman" w:hAnsi="Times New Roman" w:eastAsia="宋体" w:cs="Times New Roman"/>
                <w:color w:val="auto"/>
                <w:sz w:val="24"/>
                <w:szCs w:val="24"/>
                <w:highlight w:val="none"/>
                <w:lang w:val="en-US" w:eastAsia="zh-CN" w:bidi="ar"/>
              </w:rPr>
              <w:t>。</w:t>
            </w:r>
          </w:p>
          <w:p w14:paraId="7EE6A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七</w:t>
            </w:r>
            <w:r>
              <w:rPr>
                <w:rFonts w:hint="default" w:ascii="Times New Roman" w:hAnsi="Times New Roman" w:eastAsia="宋体" w:cs="Times New Roman"/>
                <w:b/>
                <w:bCs/>
                <w:color w:val="auto"/>
                <w:sz w:val="24"/>
                <w:szCs w:val="24"/>
                <w:vertAlign w:val="baseline"/>
                <w:lang w:val="en-US" w:eastAsia="zh-CN"/>
              </w:rPr>
              <w:t>、公用工程</w:t>
            </w:r>
          </w:p>
          <w:p w14:paraId="67937C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1、给水</w:t>
            </w:r>
          </w:p>
          <w:p w14:paraId="0DAF0C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项目用水包括生活用水和生产用水两部分，由罐车拉运至井场。</w:t>
            </w:r>
          </w:p>
          <w:p w14:paraId="2DAC43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（1）生活用水</w:t>
            </w:r>
          </w:p>
          <w:p w14:paraId="1233B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项目</w:t>
            </w:r>
            <w:r>
              <w:rPr>
                <w:rFonts w:hint="default" w:ascii="Times New Roman" w:hAnsi="Times New Roman" w:eastAsia="宋体" w:cs="Times New Roman"/>
                <w:b w:val="0"/>
                <w:bCs w:val="0"/>
                <w:color w:val="auto"/>
                <w:sz w:val="24"/>
                <w:szCs w:val="24"/>
                <w:vertAlign w:val="baseline"/>
                <w:lang w:val="en-US" w:eastAsia="zh-CN"/>
              </w:rPr>
              <w:t>劳动定员35人，根据《陕西省行业用水定额》（DB61/T943-2020）中相关要求，生活用水量按65L/人·天考虑，勘探期预计</w:t>
            </w:r>
            <w:r>
              <w:rPr>
                <w:rFonts w:hint="eastAsia" w:ascii="Times New Roman" w:hAnsi="Times New Roman" w:eastAsia="宋体"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天，则项目施工期用水总量为</w:t>
            </w:r>
            <w:r>
              <w:rPr>
                <w:rFonts w:hint="eastAsia" w:ascii="Times New Roman" w:hAnsi="Times New Roman" w:eastAsia="宋体" w:cs="Times New Roman"/>
                <w:b w:val="0"/>
                <w:bCs w:val="0"/>
                <w:color w:val="auto"/>
                <w:sz w:val="24"/>
                <w:szCs w:val="24"/>
                <w:vertAlign w:val="baseline"/>
                <w:lang w:val="en-US" w:eastAsia="zh-CN"/>
              </w:rPr>
              <w:t>113.75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702EF5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（2）钻井用水</w:t>
            </w:r>
          </w:p>
          <w:p w14:paraId="363814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根据《陕西省行业用水定额》（DB61/T943-2020），常规钻井阶段平均每米进尺用水量约0.25m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，项目</w:t>
            </w:r>
            <w:r>
              <w:rPr>
                <w:rFonts w:hint="eastAsia" w:ascii="Times New Roman" w:hAnsi="Times New Roman" w:eastAsia="宋体" w:cs="Times New Roman"/>
                <w:b w:val="0"/>
                <w:bCs w:val="0"/>
                <w:color w:val="auto"/>
                <w:sz w:val="24"/>
                <w:szCs w:val="24"/>
                <w:vertAlign w:val="baseline"/>
                <w:lang w:val="en-US" w:eastAsia="zh-CN"/>
              </w:rPr>
              <w:t>米107-3MH钻井深度为2750m，米107-3MH单井钻井所需水为</w:t>
            </w:r>
            <w:r>
              <w:rPr>
                <w:rFonts w:hint="eastAsia" w:ascii="Times New Roman" w:hAnsi="Times New Roman" w:eastAsia="宋体" w:cs="Times New Roman"/>
                <w:b w:val="0"/>
                <w:bCs w:val="0"/>
                <w:color w:val="auto"/>
                <w:sz w:val="24"/>
                <w:szCs w:val="24"/>
                <w:highlight w:val="none"/>
                <w:vertAlign w:val="baseline"/>
                <w:lang w:val="en-US" w:eastAsia="zh-CN"/>
              </w:rPr>
              <w:t>687.5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p>
          <w:p w14:paraId="1ADAEE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（3）洗井用水</w:t>
            </w:r>
          </w:p>
          <w:p w14:paraId="1DF90E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根据建设单位实际建设经验和统计数据，</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洗井用水量为</w:t>
            </w:r>
            <w:r>
              <w:rPr>
                <w:rFonts w:hint="eastAsia" w:ascii="Times New Roman" w:hAnsi="Times New Roman" w:eastAsia="宋体"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，废水</w:t>
            </w:r>
            <w:r>
              <w:rPr>
                <w:rFonts w:hint="default" w:ascii="Times New Roman" w:hAnsi="Times New Roman" w:eastAsia="宋体" w:cs="Times New Roman"/>
                <w:b w:val="0"/>
                <w:bCs w:val="0"/>
                <w:color w:val="auto"/>
                <w:sz w:val="24"/>
                <w:szCs w:val="24"/>
                <w:vertAlign w:val="baseline"/>
                <w:lang w:val="en-US" w:eastAsia="zh-CN"/>
              </w:rPr>
              <w:t>产生量约为用水量的</w:t>
            </w:r>
            <w:r>
              <w:rPr>
                <w:rFonts w:hint="eastAsia" w:ascii="Times New Roman" w:hAnsi="Times New Roman" w:eastAsia="宋体" w:cs="Times New Roman"/>
                <w:b w:val="0"/>
                <w:bCs w:val="0"/>
                <w:color w:val="auto"/>
                <w:sz w:val="24"/>
                <w:szCs w:val="24"/>
                <w:vertAlign w:val="baseline"/>
                <w:lang w:val="en-US" w:eastAsia="zh-CN"/>
              </w:rPr>
              <w:t>9</w:t>
            </w:r>
            <w:r>
              <w:rPr>
                <w:rFonts w:hint="default" w:ascii="Times New Roman" w:hAnsi="Times New Roman" w:eastAsia="宋体" w:cs="Times New Roman"/>
                <w:b w:val="0"/>
                <w:bCs w:val="0"/>
                <w:color w:val="auto"/>
                <w:sz w:val="24"/>
                <w:szCs w:val="24"/>
                <w:vertAlign w:val="baseline"/>
                <w:lang w:val="en-US" w:eastAsia="zh-CN"/>
              </w:rPr>
              <w:t>0%，则洗井废水产生量为</w:t>
            </w:r>
            <w:r>
              <w:rPr>
                <w:rFonts w:hint="eastAsia" w:ascii="Times New Roman" w:hAnsi="Times New Roman" w:eastAsia="宋体" w:cs="Times New Roman"/>
                <w:b w:val="0"/>
                <w:bCs w:val="0"/>
                <w:color w:val="auto"/>
                <w:sz w:val="24"/>
                <w:szCs w:val="24"/>
                <w:vertAlign w:val="baseline"/>
                <w:lang w:val="en-US" w:eastAsia="zh-CN"/>
              </w:rPr>
              <w:t>45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558D8E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（4）压裂用水</w:t>
            </w:r>
          </w:p>
          <w:p w14:paraId="0ED6FA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压裂用水量为</w:t>
            </w:r>
            <w:r>
              <w:rPr>
                <w:rFonts w:hint="eastAsia" w:ascii="Times New Roman" w:hAnsi="Times New Roman" w:eastAsia="宋体" w:cs="Times New Roman"/>
                <w:b w:val="0"/>
                <w:bCs w:val="0"/>
                <w:color w:val="auto"/>
                <w:sz w:val="24"/>
                <w:szCs w:val="24"/>
                <w:vertAlign w:val="baseline"/>
                <w:lang w:val="en-US" w:eastAsia="zh-CN"/>
              </w:rPr>
              <w:t>300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（压裂液为现场自行配置）</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项目压裂</w:t>
            </w:r>
            <w:r>
              <w:rPr>
                <w:rFonts w:hint="eastAsia" w:ascii="Times New Roman" w:hAnsi="Times New Roman" w:eastAsia="宋体" w:cs="Times New Roman"/>
                <w:b w:val="0"/>
                <w:bCs w:val="0"/>
                <w:color w:val="auto"/>
                <w:sz w:val="24"/>
                <w:szCs w:val="24"/>
                <w:vertAlign w:val="baseline"/>
                <w:lang w:val="en-US" w:eastAsia="zh-CN"/>
              </w:rPr>
              <w:t>总</w:t>
            </w:r>
            <w:r>
              <w:rPr>
                <w:rFonts w:hint="default" w:ascii="Times New Roman" w:hAnsi="Times New Roman" w:eastAsia="宋体" w:cs="Times New Roman"/>
                <w:b w:val="0"/>
                <w:bCs w:val="0"/>
                <w:color w:val="auto"/>
                <w:sz w:val="24"/>
                <w:szCs w:val="24"/>
                <w:vertAlign w:val="baseline"/>
                <w:lang w:val="en-US" w:eastAsia="zh-CN"/>
              </w:rPr>
              <w:t>用水量为</w:t>
            </w:r>
            <w:r>
              <w:rPr>
                <w:rFonts w:hint="eastAsia" w:ascii="Times New Roman" w:hAnsi="Times New Roman" w:eastAsia="宋体" w:cs="Times New Roman"/>
                <w:b w:val="0"/>
                <w:bCs w:val="0"/>
                <w:color w:val="auto"/>
                <w:sz w:val="24"/>
                <w:szCs w:val="24"/>
                <w:vertAlign w:val="baseline"/>
                <w:lang w:val="en-US" w:eastAsia="zh-CN"/>
              </w:rPr>
              <w:t>300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6250BC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2、排水</w:t>
            </w:r>
          </w:p>
          <w:p w14:paraId="2DEC9E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（1）生活污水</w:t>
            </w:r>
          </w:p>
          <w:p w14:paraId="32B714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生活污水产生量按照用量的80%计，项目生活污水产生量为</w:t>
            </w:r>
            <w:r>
              <w:rPr>
                <w:rFonts w:hint="eastAsia" w:ascii="Times New Roman" w:hAnsi="Times New Roman" w:eastAsia="宋体" w:cs="Times New Roman"/>
                <w:b w:val="0"/>
                <w:bCs w:val="0"/>
                <w:color w:val="auto"/>
                <w:sz w:val="24"/>
                <w:szCs w:val="24"/>
                <w:vertAlign w:val="baseline"/>
                <w:lang w:val="en-US" w:eastAsia="zh-CN"/>
              </w:rPr>
              <w:t>91</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，项目井场内设置旱厕，</w:t>
            </w:r>
            <w:r>
              <w:rPr>
                <w:rFonts w:hint="eastAsia" w:ascii="Times New Roman" w:hAnsi="Times New Roman" w:eastAsia="宋体" w:cs="Times New Roman"/>
                <w:b w:val="0"/>
                <w:bCs w:val="0"/>
                <w:color w:val="auto"/>
                <w:sz w:val="24"/>
                <w:szCs w:val="24"/>
                <w:vertAlign w:val="baseline"/>
                <w:lang w:val="en-US" w:eastAsia="zh-CN"/>
              </w:rPr>
              <w:t>部分</w:t>
            </w:r>
            <w:r>
              <w:rPr>
                <w:rFonts w:hint="default" w:ascii="Times New Roman" w:hAnsi="Times New Roman" w:eastAsia="宋体" w:cs="Times New Roman"/>
                <w:b w:val="0"/>
                <w:bCs w:val="0"/>
                <w:color w:val="auto"/>
                <w:sz w:val="24"/>
                <w:szCs w:val="24"/>
                <w:vertAlign w:val="baseline"/>
                <w:lang w:val="en-US" w:eastAsia="zh-CN"/>
              </w:rPr>
              <w:t>生活污水排至旱厕，用于周围植被施肥</w:t>
            </w:r>
            <w:r>
              <w:rPr>
                <w:rFonts w:hint="eastAsia" w:ascii="Times New Roman" w:hAnsi="Times New Roman" w:eastAsia="宋体" w:cs="Times New Roman"/>
                <w:b w:val="0"/>
                <w:bCs w:val="0"/>
                <w:color w:val="auto"/>
                <w:sz w:val="24"/>
                <w:szCs w:val="24"/>
                <w:vertAlign w:val="baseline"/>
                <w:lang w:val="en-US" w:eastAsia="zh-CN"/>
              </w:rPr>
              <w:t>；部分盥洗废水经沉淀罐沉淀后用于井场洒水抑尘</w:t>
            </w:r>
            <w:r>
              <w:rPr>
                <w:rFonts w:hint="default" w:ascii="Times New Roman" w:hAnsi="Times New Roman" w:eastAsia="宋体" w:cs="Times New Roman"/>
                <w:b w:val="0"/>
                <w:bCs w:val="0"/>
                <w:color w:val="auto"/>
                <w:sz w:val="24"/>
                <w:szCs w:val="24"/>
                <w:vertAlign w:val="baseline"/>
                <w:lang w:val="en-US" w:eastAsia="zh-CN"/>
              </w:rPr>
              <w:t>。</w:t>
            </w:r>
          </w:p>
          <w:p w14:paraId="17E6FF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（2）生产废水</w:t>
            </w:r>
          </w:p>
          <w:p w14:paraId="443F6AE4">
            <w:pPr>
              <w:pStyle w:val="26"/>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钻井废水经泥浆水循环系统处理后优先作为钻井液配水回用，钻井结束后，不能回用的钻井废水委托陕西榆佳环保科技有限公司外运处理。</w:t>
            </w:r>
          </w:p>
          <w:p w14:paraId="34A1A2F1">
            <w:pPr>
              <w:pStyle w:val="26"/>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洗井废水临时收集贮存于洗井废水储罐，委托陕西榆佳环保科技有限公司外运处理。</w:t>
            </w:r>
          </w:p>
          <w:p w14:paraId="616B1A22">
            <w:pPr>
              <w:pStyle w:val="26"/>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压裂返排液临时收集贮存于压裂返排液储罐，委托陕西榆佳环保科技有限公司外运处理。</w:t>
            </w:r>
          </w:p>
          <w:p w14:paraId="6D0353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10</w:t>
            </w:r>
            <w:r>
              <w:rPr>
                <w:rFonts w:hint="default" w:ascii="Times New Roman" w:hAnsi="Times New Roman" w:eastAsia="宋体" w:cs="Times New Roman"/>
                <w:b/>
                <w:bCs/>
                <w:color w:val="auto"/>
                <w:sz w:val="21"/>
                <w:szCs w:val="21"/>
                <w:vertAlign w:val="baseline"/>
                <w:lang w:val="en-US" w:eastAsia="zh-CN"/>
              </w:rPr>
              <w:t xml:space="preserve">   本项目用水、排水量一览表（单位：m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/井）</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735"/>
              <w:gridCol w:w="1660"/>
              <w:gridCol w:w="1448"/>
              <w:gridCol w:w="1342"/>
              <w:gridCol w:w="1509"/>
            </w:tblGrid>
            <w:tr w14:paraId="32D4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024AE5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735" w:type="dxa"/>
                  <w:vAlign w:val="center"/>
                </w:tcPr>
                <w:p w14:paraId="029FD9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1660" w:type="dxa"/>
                  <w:vAlign w:val="center"/>
                </w:tcPr>
                <w:p w14:paraId="10D58A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规模</w:t>
                  </w:r>
                </w:p>
              </w:tc>
              <w:tc>
                <w:tcPr>
                  <w:tcW w:w="1448" w:type="dxa"/>
                  <w:vAlign w:val="center"/>
                </w:tcPr>
                <w:p w14:paraId="768444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新鲜用水量（m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1342" w:type="dxa"/>
                  <w:vAlign w:val="center"/>
                </w:tcPr>
                <w:p w14:paraId="41C07B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损耗量（m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1509" w:type="dxa"/>
                  <w:vAlign w:val="center"/>
                </w:tcPr>
                <w:p w14:paraId="7E1E88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废水产生量（m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14:paraId="3470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455599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735" w:type="dxa"/>
                  <w:vAlign w:val="center"/>
                </w:tcPr>
                <w:p w14:paraId="6D1A39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米107-3MH</w:t>
                  </w:r>
                  <w:r>
                    <w:rPr>
                      <w:rFonts w:hint="default" w:ascii="Times New Roman" w:hAnsi="Times New Roman" w:eastAsia="宋体" w:cs="Times New Roman"/>
                      <w:b w:val="0"/>
                      <w:bCs w:val="0"/>
                      <w:color w:val="auto"/>
                      <w:sz w:val="21"/>
                      <w:szCs w:val="21"/>
                      <w:vertAlign w:val="baseline"/>
                      <w:lang w:val="en-US" w:eastAsia="zh-CN"/>
                    </w:rPr>
                    <w:t>钻井</w:t>
                  </w:r>
                </w:p>
              </w:tc>
              <w:tc>
                <w:tcPr>
                  <w:tcW w:w="1660" w:type="dxa"/>
                  <w:vAlign w:val="center"/>
                </w:tcPr>
                <w:p w14:paraId="05941F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2750</w:t>
                  </w:r>
                  <w:r>
                    <w:rPr>
                      <w:rFonts w:hint="default" w:ascii="Times New Roman" w:hAnsi="Times New Roman" w:eastAsia="宋体" w:cs="Times New Roman"/>
                      <w:b w:val="0"/>
                      <w:bCs w:val="0"/>
                      <w:color w:val="auto"/>
                      <w:sz w:val="21"/>
                      <w:szCs w:val="21"/>
                      <w:vertAlign w:val="baseline"/>
                      <w:lang w:val="en-US" w:eastAsia="zh-CN"/>
                    </w:rPr>
                    <w:t>m</w:t>
                  </w:r>
                </w:p>
              </w:tc>
              <w:tc>
                <w:tcPr>
                  <w:tcW w:w="1448" w:type="dxa"/>
                  <w:vAlign w:val="center"/>
                </w:tcPr>
                <w:p w14:paraId="01340A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687.5</w:t>
                  </w:r>
                </w:p>
              </w:tc>
              <w:tc>
                <w:tcPr>
                  <w:tcW w:w="1342" w:type="dxa"/>
                  <w:vAlign w:val="center"/>
                </w:tcPr>
                <w:p w14:paraId="32A2A1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137.5</w:t>
                  </w:r>
                </w:p>
              </w:tc>
              <w:tc>
                <w:tcPr>
                  <w:tcW w:w="1509" w:type="dxa"/>
                  <w:vAlign w:val="center"/>
                </w:tcPr>
                <w:p w14:paraId="016596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550</w:t>
                  </w:r>
                </w:p>
              </w:tc>
            </w:tr>
            <w:tr w14:paraId="031A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7146F3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735" w:type="dxa"/>
                  <w:vAlign w:val="center"/>
                </w:tcPr>
                <w:p w14:paraId="0C7A38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米107-3MH</w:t>
                  </w:r>
                  <w:r>
                    <w:rPr>
                      <w:rFonts w:hint="default" w:ascii="Times New Roman" w:hAnsi="Times New Roman" w:eastAsia="宋体" w:cs="Times New Roman"/>
                      <w:b w:val="0"/>
                      <w:bCs w:val="0"/>
                      <w:color w:val="auto"/>
                      <w:sz w:val="21"/>
                      <w:szCs w:val="21"/>
                      <w:vertAlign w:val="baseline"/>
                      <w:lang w:val="en-US" w:eastAsia="zh-CN"/>
                    </w:rPr>
                    <w:t>洗井</w:t>
                  </w:r>
                </w:p>
              </w:tc>
              <w:tc>
                <w:tcPr>
                  <w:tcW w:w="1660" w:type="dxa"/>
                  <w:vAlign w:val="center"/>
                </w:tcPr>
                <w:p w14:paraId="7E77A4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2750</w:t>
                  </w:r>
                  <w:r>
                    <w:rPr>
                      <w:rFonts w:hint="default" w:ascii="Times New Roman" w:hAnsi="Times New Roman" w:eastAsia="宋体" w:cs="Times New Roman"/>
                      <w:b w:val="0"/>
                      <w:bCs w:val="0"/>
                      <w:color w:val="auto"/>
                      <w:sz w:val="21"/>
                      <w:szCs w:val="21"/>
                      <w:vertAlign w:val="baseline"/>
                      <w:lang w:val="en-US" w:eastAsia="zh-CN"/>
                    </w:rPr>
                    <w:t>m</w:t>
                  </w:r>
                </w:p>
              </w:tc>
              <w:tc>
                <w:tcPr>
                  <w:tcW w:w="1448" w:type="dxa"/>
                  <w:vAlign w:val="center"/>
                </w:tcPr>
                <w:p w14:paraId="4E17CB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c>
                <w:tcPr>
                  <w:tcW w:w="1342" w:type="dxa"/>
                  <w:vAlign w:val="center"/>
                </w:tcPr>
                <w:p w14:paraId="3A6D16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1509" w:type="dxa"/>
                  <w:vAlign w:val="center"/>
                </w:tcPr>
                <w:p w14:paraId="25D9FB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p>
              </w:tc>
            </w:tr>
            <w:tr w14:paraId="1116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0C45FB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1735" w:type="dxa"/>
                  <w:vAlign w:val="center"/>
                </w:tcPr>
                <w:p w14:paraId="32091E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米107-3MH压裂</w:t>
                  </w:r>
                </w:p>
              </w:tc>
              <w:tc>
                <w:tcPr>
                  <w:tcW w:w="1660" w:type="dxa"/>
                  <w:vAlign w:val="center"/>
                </w:tcPr>
                <w:p w14:paraId="330F47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2750</w:t>
                  </w:r>
                  <w:r>
                    <w:rPr>
                      <w:rFonts w:hint="default" w:ascii="Times New Roman" w:hAnsi="Times New Roman" w:eastAsia="宋体" w:cs="Times New Roman"/>
                      <w:b w:val="0"/>
                      <w:bCs w:val="0"/>
                      <w:color w:val="auto"/>
                      <w:sz w:val="21"/>
                      <w:szCs w:val="21"/>
                      <w:vertAlign w:val="baseline"/>
                      <w:lang w:val="en-US" w:eastAsia="zh-CN"/>
                    </w:rPr>
                    <w:t>m</w:t>
                  </w:r>
                </w:p>
              </w:tc>
              <w:tc>
                <w:tcPr>
                  <w:tcW w:w="1448" w:type="dxa"/>
                  <w:vAlign w:val="center"/>
                </w:tcPr>
                <w:p w14:paraId="1A193A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300</w:t>
                  </w:r>
                </w:p>
              </w:tc>
              <w:tc>
                <w:tcPr>
                  <w:tcW w:w="1342" w:type="dxa"/>
                  <w:vAlign w:val="center"/>
                </w:tcPr>
                <w:p w14:paraId="1DE972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w:t>
                  </w:r>
                </w:p>
              </w:tc>
              <w:tc>
                <w:tcPr>
                  <w:tcW w:w="1509" w:type="dxa"/>
                  <w:vAlign w:val="center"/>
                </w:tcPr>
                <w:p w14:paraId="228307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240</w:t>
                  </w:r>
                </w:p>
              </w:tc>
            </w:tr>
            <w:tr w14:paraId="3A27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0E4DEC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1735" w:type="dxa"/>
                  <w:vAlign w:val="center"/>
                </w:tcPr>
                <w:p w14:paraId="528283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生活用排水</w:t>
                  </w:r>
                </w:p>
              </w:tc>
              <w:tc>
                <w:tcPr>
                  <w:tcW w:w="1660" w:type="dxa"/>
                  <w:vAlign w:val="center"/>
                </w:tcPr>
                <w:p w14:paraId="2D3BCE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35人</w:t>
                  </w:r>
                </w:p>
              </w:tc>
              <w:tc>
                <w:tcPr>
                  <w:tcW w:w="1448" w:type="dxa"/>
                  <w:vAlign w:val="center"/>
                </w:tcPr>
                <w:p w14:paraId="467680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113.75</w:t>
                  </w:r>
                </w:p>
              </w:tc>
              <w:tc>
                <w:tcPr>
                  <w:tcW w:w="1342" w:type="dxa"/>
                  <w:vAlign w:val="center"/>
                </w:tcPr>
                <w:p w14:paraId="5B942D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22.75</w:t>
                  </w:r>
                </w:p>
              </w:tc>
              <w:tc>
                <w:tcPr>
                  <w:tcW w:w="1509" w:type="dxa"/>
                  <w:vAlign w:val="center"/>
                </w:tcPr>
                <w:p w14:paraId="652CAE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91</w:t>
                  </w:r>
                </w:p>
              </w:tc>
            </w:tr>
            <w:tr w14:paraId="6567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2FBF2E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1735" w:type="dxa"/>
                  <w:vAlign w:val="center"/>
                </w:tcPr>
                <w:p w14:paraId="5E31437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合计</w:t>
                  </w:r>
                </w:p>
              </w:tc>
              <w:tc>
                <w:tcPr>
                  <w:tcW w:w="1660" w:type="dxa"/>
                  <w:vAlign w:val="center"/>
                </w:tcPr>
                <w:p w14:paraId="74E63D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448" w:type="dxa"/>
                  <w:vAlign w:val="center"/>
                </w:tcPr>
                <w:p w14:paraId="092248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1151.25</w:t>
                  </w:r>
                </w:p>
              </w:tc>
              <w:tc>
                <w:tcPr>
                  <w:tcW w:w="1342" w:type="dxa"/>
                  <w:vAlign w:val="center"/>
                </w:tcPr>
                <w:p w14:paraId="1BEFBB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225.25</w:t>
                  </w:r>
                </w:p>
              </w:tc>
              <w:tc>
                <w:tcPr>
                  <w:tcW w:w="1509" w:type="dxa"/>
                  <w:vAlign w:val="center"/>
                </w:tcPr>
                <w:p w14:paraId="75D9CC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926</w:t>
                  </w:r>
                </w:p>
              </w:tc>
            </w:tr>
          </w:tbl>
          <w:p w14:paraId="57BB44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object>
                <v:shape id="_x0000_i1025" o:spt="75" type="#_x0000_t75" style="height:260.05pt;width:377.8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505E7A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w:t>
            </w:r>
            <w:r>
              <w:rPr>
                <w:rFonts w:hint="eastAsia" w:ascii="Times New Roman" w:hAnsi="Times New Roman" w:eastAsia="宋体" w:cs="Times New Roman"/>
                <w:b/>
                <w:bCs/>
                <w:color w:val="auto"/>
                <w:sz w:val="21"/>
                <w:szCs w:val="21"/>
                <w:vertAlign w:val="baseline"/>
                <w:lang w:val="en-US" w:eastAsia="zh-CN"/>
              </w:rPr>
              <w:t>2</w:t>
            </w:r>
            <w:r>
              <w:rPr>
                <w:rFonts w:hint="default" w:ascii="Times New Roman" w:hAnsi="Times New Roman" w:eastAsia="宋体" w:cs="Times New Roman"/>
                <w:b/>
                <w:bCs/>
                <w:color w:val="auto"/>
                <w:sz w:val="21"/>
                <w:szCs w:val="21"/>
                <w:vertAlign w:val="baseline"/>
                <w:lang w:val="en-US" w:eastAsia="zh-CN"/>
              </w:rPr>
              <w:t xml:space="preserve"> 项目水平衡图（单位：m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p w14:paraId="40D0D6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3、供电</w:t>
            </w:r>
          </w:p>
          <w:p w14:paraId="796F65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项目供电来源为</w:t>
            </w:r>
            <w:r>
              <w:rPr>
                <w:rFonts w:hint="eastAsia" w:ascii="Times New Roman" w:hAnsi="Times New Roman" w:eastAsia="宋体" w:cs="Times New Roman"/>
                <w:b w:val="0"/>
                <w:bCs w:val="0"/>
                <w:color w:val="auto"/>
                <w:sz w:val="24"/>
                <w:szCs w:val="24"/>
                <w:vertAlign w:val="baseline"/>
                <w:lang w:val="en-US" w:eastAsia="zh-CN"/>
              </w:rPr>
              <w:t>市政供电</w:t>
            </w:r>
            <w:r>
              <w:rPr>
                <w:rFonts w:hint="default" w:ascii="Times New Roman" w:hAnsi="Times New Roman" w:eastAsia="宋体" w:cs="Times New Roman"/>
                <w:b w:val="0"/>
                <w:bCs w:val="0"/>
                <w:color w:val="auto"/>
                <w:sz w:val="24"/>
                <w:szCs w:val="24"/>
                <w:vertAlign w:val="baseline"/>
                <w:lang w:val="en-US" w:eastAsia="zh-CN"/>
              </w:rPr>
              <w:t>。</w:t>
            </w:r>
          </w:p>
          <w:p w14:paraId="7E6988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4、供暖</w:t>
            </w:r>
          </w:p>
          <w:p w14:paraId="7138AB69">
            <w:pPr>
              <w:pStyle w:val="26"/>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color w:val="auto"/>
                <w:lang w:val="en-US" w:eastAsia="zh-CN"/>
              </w:rPr>
              <w:t>项目冬季不施工，不涉及供暖。</w:t>
            </w:r>
          </w:p>
          <w:p w14:paraId="6E5FD4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5、天然气组分</w:t>
            </w:r>
          </w:p>
          <w:p w14:paraId="044721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由于本项目勘探层位为新层位</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二叠系下统太原组</w:t>
            </w:r>
            <w:r>
              <w:rPr>
                <w:rFonts w:hint="default" w:ascii="Times New Roman" w:hAnsi="Times New Roman" w:eastAsia="宋体" w:cs="Times New Roman"/>
                <w:b w:val="0"/>
                <w:bCs w:val="0"/>
                <w:color w:val="auto"/>
                <w:sz w:val="24"/>
                <w:szCs w:val="24"/>
                <w:vertAlign w:val="baseline"/>
                <w:lang w:val="en-US" w:eastAsia="zh-CN"/>
              </w:rPr>
              <w:t>）加密勘探</w:t>
            </w:r>
            <w:r>
              <w:rPr>
                <w:rFonts w:hint="eastAsia" w:ascii="Times New Roman" w:hAnsi="Times New Roman" w:eastAsia="宋体" w:cs="Times New Roman"/>
                <w:b w:val="0"/>
                <w:bCs w:val="0"/>
                <w:color w:val="auto"/>
                <w:sz w:val="24"/>
                <w:szCs w:val="24"/>
                <w:vertAlign w:val="baseline"/>
                <w:lang w:val="en-US" w:eastAsia="zh-CN"/>
              </w:rPr>
              <w:t>，与原有层位不同，新层位还未进行天然气组成分析检测，待本项目</w:t>
            </w:r>
            <w:r>
              <w:rPr>
                <w:rFonts w:hint="default" w:ascii="Times New Roman" w:hAnsi="Times New Roman" w:eastAsia="Calibri" w:cs="Times New Roman"/>
                <w:color w:val="auto"/>
                <w:kern w:val="0"/>
                <w:sz w:val="24"/>
                <w:szCs w:val="21"/>
                <w:lang w:val="en-US" w:eastAsia="zh-CN" w:bidi="ar"/>
              </w:rPr>
              <w:t>钻探期间发现天然气</w:t>
            </w:r>
            <w:r>
              <w:rPr>
                <w:rFonts w:hint="eastAsia" w:ascii="Times New Roman" w:hAnsi="Times New Roman" w:eastAsia="Calibri" w:cs="Times New Roman"/>
                <w:color w:val="auto"/>
                <w:kern w:val="0"/>
                <w:sz w:val="24"/>
                <w:szCs w:val="21"/>
                <w:lang w:val="en-US" w:eastAsia="zh-CN" w:bidi="ar"/>
              </w:rPr>
              <w:t>后</w:t>
            </w:r>
            <w:r>
              <w:rPr>
                <w:rFonts w:hint="eastAsia" w:ascii="Times New Roman" w:hAnsi="Times New Roman" w:eastAsia="宋体" w:cs="Times New Roman"/>
                <w:b w:val="0"/>
                <w:bCs w:val="0"/>
                <w:color w:val="auto"/>
                <w:sz w:val="24"/>
                <w:szCs w:val="24"/>
                <w:vertAlign w:val="baseline"/>
                <w:lang w:val="en-US" w:eastAsia="zh-CN"/>
              </w:rPr>
              <w:t>，后期建设单位应对本次新开采层位进行天然气组成分析检测。</w:t>
            </w:r>
          </w:p>
          <w:p w14:paraId="781300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八</w:t>
            </w:r>
            <w:r>
              <w:rPr>
                <w:rFonts w:hint="default" w:ascii="Times New Roman" w:hAnsi="Times New Roman" w:eastAsia="宋体" w:cs="Times New Roman"/>
                <w:b/>
                <w:bCs/>
                <w:color w:val="auto"/>
                <w:sz w:val="24"/>
                <w:szCs w:val="24"/>
                <w:vertAlign w:val="baseline"/>
                <w:lang w:val="en-US" w:eastAsia="zh-CN"/>
              </w:rPr>
              <w:t>、劳动定员及工作制度</w:t>
            </w:r>
          </w:p>
          <w:p w14:paraId="0596E5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钻井期间施工人数35人，每天连续工作24小时，三班两倒</w:t>
            </w:r>
            <w:r>
              <w:rPr>
                <w:rFonts w:hint="eastAsia" w:ascii="Times New Roman" w:hAnsi="Times New Roman" w:eastAsia="宋体" w:cs="Times New Roman"/>
                <w:b w:val="0"/>
                <w:bCs w:val="0"/>
                <w:color w:val="auto"/>
                <w:sz w:val="24"/>
                <w:szCs w:val="24"/>
                <w:vertAlign w:val="baseline"/>
                <w:lang w:val="en-US" w:eastAsia="zh-CN"/>
              </w:rPr>
              <w:t>，工期为50天。</w:t>
            </w:r>
          </w:p>
        </w:tc>
      </w:tr>
      <w:tr w14:paraId="57D0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45734AC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总平面及现场布置</w:t>
            </w:r>
          </w:p>
        </w:tc>
        <w:tc>
          <w:tcPr>
            <w:tcW w:w="8597" w:type="dxa"/>
            <w:vAlign w:val="center"/>
          </w:tcPr>
          <w:p w14:paraId="7B8D9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1、工程布局</w:t>
            </w:r>
          </w:p>
          <w:p w14:paraId="339F7FA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工程主要由钻前工程和钻井工程两大部分组成。井场主要设备设施包括井口、钻井工作区、储罐区、材料区等。整个厂区以钻井工作区和井口为中心，</w:t>
            </w:r>
            <w:r>
              <w:rPr>
                <w:rFonts w:hint="default" w:ascii="Times New Roman" w:hAnsi="Times New Roman" w:cs="Times New Roman"/>
                <w:color w:val="auto"/>
                <w:sz w:val="24"/>
                <w:szCs w:val="24"/>
                <w:highlight w:val="none"/>
                <w:lang w:val="en-US" w:eastAsia="zh-CN"/>
              </w:rPr>
              <w:t>钻井工作区的北侧为临时停车场和临时旱厕，东侧为钻井液值班房和钻井液材料房，南侧为储罐区，主要为泥饼和岩屑储罐、洗井废水储罐和压裂返排液储罐；西侧为修理房、材料房、综合房和井控房。</w:t>
            </w:r>
            <w:r>
              <w:rPr>
                <w:rFonts w:hint="default" w:ascii="Times New Roman" w:hAnsi="Times New Roman" w:cs="Times New Roman"/>
                <w:color w:val="auto"/>
                <w:sz w:val="24"/>
                <w:szCs w:val="24"/>
                <w:lang w:val="en-US" w:eastAsia="zh-CN"/>
              </w:rPr>
              <w:t>整体布置符合《钻前工程及井场布置技术要求》（SY/T5466-2013）。井场平面布置见附图。</w:t>
            </w:r>
          </w:p>
          <w:p w14:paraId="40DC54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2、施工布置</w:t>
            </w:r>
          </w:p>
          <w:p w14:paraId="73BB08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（1）项目占地</w:t>
            </w:r>
          </w:p>
          <w:p w14:paraId="34DC8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探井项目现阶段为临时占地。若探井有开采价值应办理临时借地转征手续；若无开采价值，应及时办理土地复垦手续。项目占地类型主要为园地</w:t>
            </w:r>
            <w:r>
              <w:rPr>
                <w:rFonts w:hint="eastAsia" w:ascii="Times New Roman" w:hAnsi="Times New Roman" w:eastAsia="宋体" w:cs="Times New Roman"/>
                <w:b w:val="0"/>
                <w:bCs w:val="0"/>
                <w:color w:val="auto"/>
                <w:sz w:val="24"/>
                <w:szCs w:val="24"/>
                <w:highlight w:val="none"/>
                <w:vertAlign w:val="baseline"/>
                <w:lang w:val="en-US" w:eastAsia="zh-CN"/>
              </w:rPr>
              <w:t>、林地及草地</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米107-3MH井场新建进场道路250m，道路宽度为4m</w:t>
            </w:r>
            <w:r>
              <w:rPr>
                <w:rFonts w:hint="default" w:ascii="Times New Roman" w:hAnsi="Times New Roman" w:eastAsia="宋体" w:cs="Times New Roman"/>
                <w:b w:val="0"/>
                <w:bCs w:val="0"/>
                <w:color w:val="auto"/>
                <w:sz w:val="24"/>
                <w:szCs w:val="24"/>
                <w:highlight w:val="none"/>
                <w:vertAlign w:val="baseline"/>
                <w:lang w:val="en-US" w:eastAsia="zh-CN"/>
              </w:rPr>
              <w:t>。</w:t>
            </w:r>
          </w:p>
          <w:p w14:paraId="7F58E6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（2）项目土石方平衡</w:t>
            </w:r>
          </w:p>
          <w:p w14:paraId="294C78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本项目涉及的土方项目主要为井场施工</w:t>
            </w:r>
            <w:r>
              <w:rPr>
                <w:rFonts w:hint="eastAsia" w:ascii="Times New Roman" w:hAnsi="Times New Roman" w:eastAsia="宋体" w:cs="Times New Roman"/>
                <w:b w:val="0"/>
                <w:bCs w:val="0"/>
                <w:color w:val="auto"/>
                <w:sz w:val="24"/>
                <w:szCs w:val="24"/>
                <w:vertAlign w:val="baseline"/>
                <w:lang w:val="en-US" w:eastAsia="zh-CN"/>
              </w:rPr>
              <w:t>、井场平整、施工生活区及进场道路</w:t>
            </w:r>
            <w:r>
              <w:rPr>
                <w:rFonts w:hint="default" w:ascii="Times New Roman" w:hAnsi="Times New Roman" w:eastAsia="宋体" w:cs="Times New Roman"/>
                <w:b w:val="0"/>
                <w:bCs w:val="0"/>
                <w:color w:val="auto"/>
                <w:sz w:val="24"/>
                <w:szCs w:val="24"/>
                <w:vertAlign w:val="baseline"/>
                <w:lang w:val="en-US" w:eastAsia="zh-CN"/>
              </w:rPr>
              <w:t>。平整后场地标高</w:t>
            </w:r>
            <w:r>
              <w:rPr>
                <w:rFonts w:hint="eastAsia" w:ascii="Times New Roman" w:hAnsi="Times New Roman" w:eastAsia="宋体" w:cs="Times New Roman"/>
                <w:b w:val="0"/>
                <w:bCs w:val="0"/>
                <w:color w:val="auto"/>
                <w:sz w:val="24"/>
                <w:szCs w:val="24"/>
                <w:vertAlign w:val="baseline"/>
                <w:lang w:val="en-US" w:eastAsia="zh-CN"/>
              </w:rPr>
              <w:t>米107-3MH</w:t>
            </w:r>
            <w:r>
              <w:rPr>
                <w:rFonts w:hint="default" w:ascii="Times New Roman" w:hAnsi="Times New Roman" w:eastAsia="宋体" w:cs="Times New Roman"/>
                <w:b w:val="0"/>
                <w:bCs w:val="0"/>
                <w:color w:val="auto"/>
                <w:sz w:val="24"/>
                <w:szCs w:val="24"/>
                <w:highlight w:val="none"/>
                <w:vertAlign w:val="baseline"/>
                <w:lang w:val="en-US" w:eastAsia="zh-CN"/>
              </w:rPr>
              <w:t>井约为1</w:t>
            </w:r>
            <w:r>
              <w:rPr>
                <w:rFonts w:hint="eastAsia" w:ascii="Times New Roman" w:hAnsi="Times New Roman" w:eastAsia="宋体" w:cs="Times New Roman"/>
                <w:b w:val="0"/>
                <w:bCs w:val="0"/>
                <w:color w:val="auto"/>
                <w:sz w:val="24"/>
                <w:szCs w:val="24"/>
                <w:highlight w:val="none"/>
                <w:vertAlign w:val="baseline"/>
                <w:lang w:val="en-US" w:eastAsia="zh-CN"/>
              </w:rPr>
              <w:t>083.56</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项目土石方量见下表：</w:t>
            </w:r>
          </w:p>
          <w:p w14:paraId="7BA579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表2-11 项目土石方平衡（不含表土）</w:t>
            </w:r>
          </w:p>
          <w:tbl>
            <w:tblPr>
              <w:tblStyle w:val="19"/>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02"/>
              <w:gridCol w:w="1637"/>
              <w:gridCol w:w="1639"/>
              <w:gridCol w:w="1409"/>
              <w:gridCol w:w="1410"/>
            </w:tblGrid>
            <w:tr w14:paraId="44D04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0BB12">
                  <w:pPr>
                    <w:jc w:val="center"/>
                    <w:rPr>
                      <w:rFonts w:hint="default" w:ascii="Times New Roman" w:hAnsi="Times New Roman" w:eastAsia="宋体" w:cs="Times New Roman"/>
                      <w:b/>
                      <w:bCs/>
                      <w:i w:val="0"/>
                      <w:iCs w:val="0"/>
                      <w:color w:val="auto"/>
                      <w:sz w:val="22"/>
                      <w:szCs w:val="22"/>
                      <w:u w:val="none"/>
                      <w:lang w:val="en-US" w:eastAsia="zh-CN"/>
                    </w:rPr>
                  </w:pPr>
                  <w:r>
                    <w:rPr>
                      <w:rFonts w:hint="default" w:ascii="Times New Roman" w:hAnsi="Times New Roman" w:eastAsia="宋体" w:cs="Times New Roman"/>
                      <w:b/>
                      <w:bCs/>
                      <w:i w:val="0"/>
                      <w:iCs w:val="0"/>
                      <w:color w:val="auto"/>
                      <w:sz w:val="22"/>
                      <w:szCs w:val="22"/>
                      <w:u w:val="none"/>
                      <w:lang w:val="en-US" w:eastAsia="zh-CN"/>
                    </w:rPr>
                    <w:t>分区</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30A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挖方</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2192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填方</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442C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借方</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103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弃方</w:t>
                  </w:r>
                </w:p>
              </w:tc>
            </w:tr>
            <w:tr w14:paraId="032A2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70"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4F692D5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米107-3MH</w:t>
                  </w:r>
                </w:p>
              </w:tc>
              <w:tc>
                <w:tcPr>
                  <w:tcW w:w="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CDF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12801.6</w:t>
                  </w:r>
                </w:p>
              </w:tc>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A7F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12801.6</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85E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EFA5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0</w:t>
                  </w:r>
                </w:p>
              </w:tc>
            </w:tr>
          </w:tbl>
          <w:p w14:paraId="5FDE71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项目井场在开挖地表、平整土地时，</w:t>
            </w:r>
            <w:r>
              <w:rPr>
                <w:rFonts w:hint="eastAsia" w:ascii="Times New Roman" w:hAnsi="Times New Roman" w:eastAsia="宋体" w:cs="Times New Roman"/>
                <w:b w:val="0"/>
                <w:bCs w:val="0"/>
                <w:color w:val="auto"/>
                <w:sz w:val="24"/>
                <w:szCs w:val="24"/>
                <w:vertAlign w:val="baseline"/>
                <w:lang w:val="en-US" w:eastAsia="zh-CN"/>
              </w:rPr>
              <w:t>在</w:t>
            </w:r>
            <w:r>
              <w:rPr>
                <w:rFonts w:hint="default" w:ascii="Times New Roman" w:hAnsi="Times New Roman" w:eastAsia="宋体" w:cs="Times New Roman"/>
                <w:b w:val="0"/>
                <w:bCs w:val="0"/>
                <w:color w:val="auto"/>
                <w:sz w:val="24"/>
                <w:szCs w:val="24"/>
                <w:vertAlign w:val="baseline"/>
                <w:lang w:val="en-US" w:eastAsia="zh-CN"/>
              </w:rPr>
              <w:t>施工场地的征地范围内设置表土堆场，表土厚度为0.</w:t>
            </w:r>
            <w:r>
              <w:rPr>
                <w:rFonts w:hint="eastAsia" w:ascii="Times New Roman" w:hAnsi="Times New Roman" w:eastAsia="宋体" w:cs="Times New Roman"/>
                <w:b w:val="0"/>
                <w:bCs w:val="0"/>
                <w:color w:val="auto"/>
                <w:sz w:val="24"/>
                <w:szCs w:val="24"/>
                <w:vertAlign w:val="baseline"/>
                <w:lang w:val="en-US" w:eastAsia="zh-CN"/>
              </w:rPr>
              <w:t>3</w:t>
            </w:r>
            <w:r>
              <w:rPr>
                <w:rFonts w:hint="default" w:ascii="Times New Roman" w:hAnsi="Times New Roman" w:eastAsia="宋体" w:cs="Times New Roman"/>
                <w:b w:val="0"/>
                <w:bCs w:val="0"/>
                <w:color w:val="auto"/>
                <w:sz w:val="24"/>
                <w:szCs w:val="24"/>
                <w:vertAlign w:val="baseline"/>
                <w:lang w:val="en-US" w:eastAsia="zh-CN"/>
              </w:rPr>
              <w:t>m，</w:t>
            </w:r>
            <w:r>
              <w:rPr>
                <w:rFonts w:hint="eastAsia" w:ascii="Times New Roman" w:hAnsi="Times New Roman" w:eastAsia="宋体" w:cs="Times New Roman"/>
                <w:b w:val="0"/>
                <w:bCs w:val="0"/>
                <w:color w:val="auto"/>
                <w:sz w:val="24"/>
                <w:szCs w:val="24"/>
                <w:vertAlign w:val="baseline"/>
                <w:lang w:val="en-US" w:eastAsia="zh-CN"/>
              </w:rPr>
              <w:t>米107-3MH井</w:t>
            </w:r>
            <w:r>
              <w:rPr>
                <w:rFonts w:hint="default" w:ascii="Times New Roman" w:hAnsi="Times New Roman" w:eastAsia="宋体" w:cs="Times New Roman"/>
                <w:b w:val="0"/>
                <w:bCs w:val="0"/>
                <w:color w:val="auto"/>
                <w:sz w:val="24"/>
                <w:szCs w:val="24"/>
                <w:vertAlign w:val="baseline"/>
                <w:lang w:val="en-US" w:eastAsia="zh-CN"/>
              </w:rPr>
              <w:t>表土剥离量约为</w:t>
            </w:r>
            <w:r>
              <w:rPr>
                <w:rFonts w:hint="eastAsia" w:ascii="Times New Roman" w:hAnsi="Times New Roman" w:eastAsia="宋体" w:cs="Times New Roman"/>
                <w:b w:val="0"/>
                <w:bCs w:val="0"/>
                <w:color w:val="auto"/>
                <w:sz w:val="24"/>
                <w:szCs w:val="24"/>
                <w:vertAlign w:val="baseline"/>
                <w:lang w:val="en-US" w:eastAsia="zh-CN"/>
              </w:rPr>
              <w:t>3840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对表土进行单独堆放并苫盖</w:t>
            </w:r>
            <w:r>
              <w:rPr>
                <w:rFonts w:hint="default" w:ascii="Times New Roman" w:hAnsi="Times New Roman" w:eastAsia="宋体" w:cs="Times New Roman"/>
                <w:b w:val="0"/>
                <w:bCs w:val="0"/>
                <w:color w:val="auto"/>
                <w:sz w:val="24"/>
                <w:szCs w:val="24"/>
                <w:vertAlign w:val="baseline"/>
                <w:lang w:val="en-US" w:eastAsia="zh-CN"/>
              </w:rPr>
              <w:t>并</w:t>
            </w:r>
            <w:r>
              <w:rPr>
                <w:rFonts w:hint="eastAsia" w:ascii="Times New Roman" w:hAnsi="Times New Roman" w:eastAsia="宋体" w:cs="Times New Roman"/>
                <w:b w:val="0"/>
                <w:bCs w:val="0"/>
                <w:color w:val="auto"/>
                <w:sz w:val="24"/>
                <w:szCs w:val="24"/>
                <w:vertAlign w:val="baseline"/>
                <w:lang w:val="en-US" w:eastAsia="zh-CN"/>
              </w:rPr>
              <w:t>采用密目网</w:t>
            </w:r>
            <w:r>
              <w:rPr>
                <w:rFonts w:hint="default" w:ascii="Times New Roman" w:hAnsi="Times New Roman" w:eastAsia="宋体" w:cs="Times New Roman"/>
                <w:b w:val="0"/>
                <w:bCs w:val="0"/>
                <w:color w:val="auto"/>
                <w:sz w:val="24"/>
                <w:szCs w:val="24"/>
                <w:vertAlign w:val="baseline"/>
                <w:lang w:val="en-US" w:eastAsia="zh-CN"/>
              </w:rPr>
              <w:t>苫盖</w:t>
            </w:r>
            <w:r>
              <w:rPr>
                <w:rFonts w:hint="default" w:ascii="Times New Roman" w:hAnsi="Times New Roman" w:eastAsia="宋体" w:cs="Times New Roman"/>
                <w:b w:val="0"/>
                <w:bCs w:val="0"/>
                <w:color w:val="auto"/>
                <w:sz w:val="24"/>
                <w:szCs w:val="24"/>
                <w:vertAlign w:val="baseline"/>
                <w:lang w:val="en-US" w:eastAsia="zh-CN"/>
              </w:rPr>
              <w:t>，一般土石方随挖随填，不在井场内长期堆放；施工完毕，应尽快整理施工现场，将表土覆盖在原地表，对临时占地进行植被恢复，恢复原有用地性质。</w:t>
            </w:r>
          </w:p>
          <w:p w14:paraId="4269F5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w:t>
            </w:r>
            <w:r>
              <w:rPr>
                <w:rFonts w:hint="eastAsia" w:ascii="Times New Roman" w:hAnsi="Times New Roman" w:eastAsia="宋体" w:cs="Times New Roman"/>
                <w:b w:val="0"/>
                <w:bCs w:val="0"/>
                <w:color w:val="auto"/>
                <w:sz w:val="24"/>
                <w:szCs w:val="24"/>
                <w:vertAlign w:val="baseline"/>
                <w:lang w:val="en-US" w:eastAsia="zh-CN"/>
              </w:rPr>
              <w:t>米107-3MH</w:t>
            </w:r>
            <w:r>
              <w:rPr>
                <w:rFonts w:hint="default" w:ascii="Times New Roman" w:hAnsi="Times New Roman" w:eastAsia="宋体" w:cs="Times New Roman"/>
                <w:b w:val="0"/>
                <w:bCs w:val="0"/>
                <w:color w:val="auto"/>
                <w:sz w:val="24"/>
                <w:szCs w:val="24"/>
                <w:vertAlign w:val="baseline"/>
                <w:lang w:val="en-US" w:eastAsia="zh-CN"/>
              </w:rPr>
              <w:t>井场内设置1座表土堆场</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采用密目网苫盖，由于本项目土石方平衡，场地平整、罐体基础施工结束后其他土石方堆场中不再存放土石方，表土堆场位于井场西南侧，待封井后用于场地绿化恢复。</w:t>
            </w:r>
          </w:p>
          <w:p w14:paraId="0F428C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井场内按照</w:t>
            </w:r>
            <w:r>
              <w:rPr>
                <w:rFonts w:hint="default" w:ascii="Times New Roman" w:hAnsi="Times New Roman" w:eastAsia="宋体" w:cs="Times New Roman"/>
                <w:b w:val="0"/>
                <w:bCs w:val="0"/>
                <w:color w:val="auto"/>
                <w:sz w:val="24"/>
                <w:szCs w:val="24"/>
                <w:vertAlign w:val="baseline"/>
                <w:lang w:val="en-US" w:eastAsia="zh-CN"/>
              </w:rPr>
              <w:t>《钻前工程及井场布置技术要求》（SY/T5466-20</w:t>
            </w:r>
            <w:r>
              <w:rPr>
                <w:rFonts w:hint="eastAsia" w:ascii="Times New Roman" w:hAnsi="Times New Roman" w:eastAsia="宋体" w:cs="Times New Roman"/>
                <w:b w:val="0"/>
                <w:bCs w:val="0"/>
                <w:color w:val="auto"/>
                <w:sz w:val="24"/>
                <w:szCs w:val="24"/>
                <w:vertAlign w:val="baseline"/>
                <w:lang w:val="en-US" w:eastAsia="zh-CN"/>
              </w:rPr>
              <w:t>13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进行设施设备布局，</w:t>
            </w:r>
            <w:r>
              <w:rPr>
                <w:rFonts w:hint="default" w:ascii="Times New Roman" w:hAnsi="Times New Roman" w:eastAsia="宋体" w:cs="Times New Roman"/>
                <w:b w:val="0"/>
                <w:bCs w:val="0"/>
                <w:color w:val="auto"/>
                <w:sz w:val="24"/>
                <w:szCs w:val="24"/>
                <w:vertAlign w:val="baseline"/>
                <w:lang w:val="en-US" w:eastAsia="zh-CN"/>
              </w:rPr>
              <w:t>钻井平台、泥浆不落地系统区、泥浆储罐区、污水罐区、储液罐等</w:t>
            </w:r>
            <w:r>
              <w:rPr>
                <w:rFonts w:hint="eastAsia" w:ascii="Times New Roman" w:hAnsi="Times New Roman" w:eastAsia="宋体" w:cs="Times New Roman"/>
                <w:b w:val="0"/>
                <w:bCs w:val="0"/>
                <w:color w:val="auto"/>
                <w:sz w:val="24"/>
                <w:szCs w:val="24"/>
                <w:vertAlign w:val="baseline"/>
                <w:lang w:val="en-US" w:eastAsia="zh-CN"/>
              </w:rPr>
              <w:t>均为地面设施或设备</w:t>
            </w:r>
            <w:r>
              <w:rPr>
                <w:rFonts w:hint="default" w:ascii="Times New Roman" w:hAnsi="Times New Roman" w:eastAsia="宋体" w:cs="Times New Roman"/>
                <w:b w:val="0"/>
                <w:bCs w:val="0"/>
                <w:color w:val="auto"/>
                <w:sz w:val="24"/>
                <w:szCs w:val="24"/>
                <w:vertAlign w:val="baseline"/>
                <w:lang w:val="en-US" w:eastAsia="zh-CN"/>
              </w:rPr>
              <w:t>。井场内其他构筑物采用活动板房结构，设置均为撬装，生活区设置移动式</w:t>
            </w:r>
            <w:r>
              <w:rPr>
                <w:rFonts w:hint="eastAsia" w:ascii="Times New Roman" w:hAnsi="Times New Roman" w:eastAsia="宋体" w:cs="Times New Roman"/>
                <w:b w:val="0"/>
                <w:bCs w:val="0"/>
                <w:color w:val="auto"/>
                <w:sz w:val="24"/>
                <w:szCs w:val="24"/>
                <w:vertAlign w:val="baseline"/>
                <w:lang w:val="en-US" w:eastAsia="zh-CN"/>
              </w:rPr>
              <w:t>卫生旱厕</w:t>
            </w:r>
            <w:r>
              <w:rPr>
                <w:rFonts w:hint="default" w:ascii="Times New Roman" w:hAnsi="Times New Roman" w:eastAsia="宋体" w:cs="Times New Roman"/>
                <w:b w:val="0"/>
                <w:bCs w:val="0"/>
                <w:color w:val="auto"/>
                <w:sz w:val="24"/>
                <w:szCs w:val="24"/>
                <w:vertAlign w:val="baseline"/>
                <w:lang w:val="en-US" w:eastAsia="zh-CN"/>
              </w:rPr>
              <w:t>和垃圾收集</w:t>
            </w:r>
            <w:r>
              <w:rPr>
                <w:rFonts w:hint="eastAsia" w:ascii="Times New Roman" w:hAnsi="Times New Roman" w:eastAsia="宋体" w:cs="Times New Roman"/>
                <w:b w:val="0"/>
                <w:bCs w:val="0"/>
                <w:color w:val="auto"/>
                <w:sz w:val="24"/>
                <w:szCs w:val="24"/>
                <w:vertAlign w:val="baseline"/>
                <w:lang w:val="en-US" w:eastAsia="zh-CN"/>
              </w:rPr>
              <w:t>桶</w:t>
            </w:r>
            <w:r>
              <w:rPr>
                <w:rFonts w:hint="default" w:ascii="Times New Roman" w:hAnsi="Times New Roman" w:eastAsia="宋体" w:cs="Times New Roman"/>
                <w:b w:val="0"/>
                <w:bCs w:val="0"/>
                <w:color w:val="auto"/>
                <w:sz w:val="24"/>
                <w:szCs w:val="24"/>
                <w:vertAlign w:val="baseline"/>
                <w:lang w:val="en-US" w:eastAsia="zh-CN"/>
              </w:rPr>
              <w:t>。</w:t>
            </w:r>
          </w:p>
        </w:tc>
      </w:tr>
      <w:tr w14:paraId="255A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337D9C3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施工方案</w:t>
            </w:r>
          </w:p>
        </w:tc>
        <w:tc>
          <w:tcPr>
            <w:tcW w:w="8597" w:type="dxa"/>
            <w:vAlign w:val="center"/>
          </w:tcPr>
          <w:p w14:paraId="668E19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本次评价仅涉及天然气井的勘探过程，不涉及天然气的开采和集输。</w:t>
            </w:r>
          </w:p>
          <w:p w14:paraId="50D1B1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1、钻井工程及产污特点</w:t>
            </w:r>
          </w:p>
          <w:p w14:paraId="04CDE777">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项目建设内容包括钻前工程、钻井、试井、完井封井。</w:t>
            </w:r>
          </w:p>
          <w:p w14:paraId="3E91A922">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包括井场平整、设备基础、活动房搭建等；钻井工程包括设备安装、钻井、完井三部分；试井包括试井设备安装及试井两部分；完井测试结果若表明勘探井有工业开采的价值，拆除与采气无关的设备，剩余临时占地恢复为原有地貌、进行完井搬迁。若完井测试后勘探井不产天然气或所产天然气不具有工业开采价值，则用水泥封井后搬迁，将放弃的井场临时占地恢复为原有地貌。</w:t>
            </w:r>
          </w:p>
          <w:p w14:paraId="522AE648">
            <w:pPr>
              <w:spacing w:line="360" w:lineRule="auto"/>
              <w:ind w:firstLine="480" w:firstLineChars="20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4"/>
                <w:szCs w:val="24"/>
                <w:lang w:eastAsia="zh-CN"/>
              </w:rPr>
              <w:t>项目主要流程及产污环节见图2-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14:paraId="352E80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drawing>
                <wp:inline distT="0" distB="0" distL="114300" distR="114300">
                  <wp:extent cx="4514850" cy="5086350"/>
                  <wp:effectExtent l="0" t="0" r="0" b="0"/>
                  <wp:docPr id="12" name="图片 12" descr="6c178254ea7f5e3012b25c4e6620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c178254ea7f5e3012b25c4e6620d14"/>
                          <pic:cNvPicPr>
                            <a:picLocks noChangeAspect="1"/>
                          </pic:cNvPicPr>
                        </pic:nvPicPr>
                        <pic:blipFill>
                          <a:blip r:embed="rId11"/>
                          <a:stretch>
                            <a:fillRect/>
                          </a:stretch>
                        </pic:blipFill>
                        <pic:spPr>
                          <a:xfrm>
                            <a:off x="0" y="0"/>
                            <a:ext cx="4514850" cy="5086350"/>
                          </a:xfrm>
                          <a:prstGeom prst="rect">
                            <a:avLst/>
                          </a:prstGeom>
                        </pic:spPr>
                      </pic:pic>
                    </a:graphicData>
                  </a:graphic>
                </wp:inline>
              </w:drawing>
            </w:r>
          </w:p>
          <w:p w14:paraId="738633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val="en-US" w:eastAsia="zh-CN"/>
              </w:rPr>
              <w:t xml:space="preserve"> 项目主要工艺流程及产污环节图</w:t>
            </w:r>
          </w:p>
          <w:p w14:paraId="0AE904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2、施工工艺过程</w:t>
            </w:r>
          </w:p>
          <w:p w14:paraId="7D1DCFED">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钻前工程满足钻井作业要求时，各类作业车辆将各类设备逐步运至井场进行安装，通过检查满足钻井要求时开始进行钻井作业。</w:t>
            </w:r>
          </w:p>
          <w:p w14:paraId="6AE03302">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钻井作业均包括钻进、钻进辅助作业、固井、完井测试等过程。钻井过程中均使用水基泥浆体系。钻进由起下钻、接单根、钻进等作业组成；钻进辅助作业由电测井、取</w:t>
            </w:r>
            <w:r>
              <w:rPr>
                <w:rFonts w:hint="eastAsia" w:ascii="Times New Roman" w:hAnsi="Times New Roman" w:eastAsia="宋体" w:cs="Times New Roman"/>
                <w:color w:val="auto"/>
                <w:sz w:val="24"/>
                <w:szCs w:val="24"/>
                <w:lang w:val="en-US" w:eastAsia="zh-CN"/>
              </w:rPr>
              <w:t>芯</w:t>
            </w:r>
            <w:r>
              <w:rPr>
                <w:rFonts w:hint="default" w:ascii="Times New Roman" w:hAnsi="Times New Roman" w:eastAsia="宋体" w:cs="Times New Roman"/>
                <w:color w:val="auto"/>
                <w:sz w:val="24"/>
                <w:szCs w:val="24"/>
                <w:lang w:eastAsia="zh-CN"/>
              </w:rPr>
              <w:t>钻进、综合录井、中途测试等作业组成；固井由下套管和水泥固井两个过程组成。</w:t>
            </w:r>
          </w:p>
          <w:p w14:paraId="15EB77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①钻井</w:t>
            </w:r>
          </w:p>
          <w:p w14:paraId="45070A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钻前工程完成后，进入钻井工程。项目钻井采用直井钻探，预计勘探深度</w:t>
            </w:r>
            <w:r>
              <w:rPr>
                <w:rFonts w:hint="eastAsia" w:ascii="Times New Roman" w:hAnsi="Times New Roman" w:eastAsia="宋体" w:cs="Times New Roman"/>
                <w:b w:val="0"/>
                <w:bCs w:val="0"/>
                <w:color w:val="auto"/>
                <w:sz w:val="24"/>
                <w:szCs w:val="24"/>
                <w:highlight w:val="none"/>
                <w:vertAlign w:val="baseline"/>
                <w:lang w:val="en-US" w:eastAsia="zh-CN"/>
              </w:rPr>
              <w:t>米107-3MH井</w:t>
            </w:r>
            <w:r>
              <w:rPr>
                <w:rFonts w:hint="default" w:ascii="Times New Roman" w:hAnsi="Times New Roman" w:eastAsia="宋体" w:cs="Times New Roman"/>
                <w:b w:val="0"/>
                <w:bCs w:val="0"/>
                <w:color w:val="auto"/>
                <w:sz w:val="24"/>
                <w:szCs w:val="24"/>
                <w:highlight w:val="none"/>
                <w:vertAlign w:val="baseline"/>
                <w:lang w:val="en-US" w:eastAsia="zh-CN"/>
              </w:rPr>
              <w:t>身为</w:t>
            </w:r>
            <w:r>
              <w:rPr>
                <w:rFonts w:hint="eastAsia" w:ascii="Times New Roman" w:hAnsi="Times New Roman" w:eastAsia="宋体" w:cs="Times New Roman"/>
                <w:b w:val="0"/>
                <w:bCs w:val="0"/>
                <w:color w:val="auto"/>
                <w:sz w:val="24"/>
                <w:szCs w:val="24"/>
                <w:highlight w:val="none"/>
                <w:vertAlign w:val="baseline"/>
                <w:lang w:val="en-US" w:eastAsia="zh-CN"/>
              </w:rPr>
              <w:t>2750m</w:t>
            </w:r>
            <w:r>
              <w:rPr>
                <w:rFonts w:hint="default" w:ascii="Times New Roman" w:hAnsi="Times New Roman" w:eastAsia="宋体" w:cs="Times New Roman"/>
                <w:b w:val="0"/>
                <w:bCs w:val="0"/>
                <w:color w:val="auto"/>
                <w:sz w:val="24"/>
                <w:szCs w:val="24"/>
                <w:highlight w:val="none"/>
                <w:vertAlign w:val="baseline"/>
                <w:lang w:val="en-US" w:eastAsia="zh-CN"/>
              </w:rPr>
              <w:t>。钻井工程分为一开和二开钻井工程。</w:t>
            </w:r>
            <w:r>
              <w:rPr>
                <w:rFonts w:hint="default" w:ascii="Times New Roman" w:hAnsi="Times New Roman" w:eastAsia="宋体" w:cs="Times New Roman"/>
                <w:b w:val="0"/>
                <w:bCs w:val="0"/>
                <w:color w:val="auto"/>
                <w:sz w:val="24"/>
                <w:szCs w:val="24"/>
                <w:highlight w:val="none"/>
                <w:vertAlign w:val="baseline"/>
                <w:lang w:val="en-US" w:eastAsia="zh-CN"/>
              </w:rPr>
              <w:t>一开包括下标称套管</w:t>
            </w:r>
            <w:r>
              <w:rPr>
                <w:rFonts w:hint="eastAsia" w:ascii="Times New Roman" w:hAnsi="Times New Roman" w:eastAsia="宋体" w:cs="Times New Roman"/>
                <w:b w:val="0"/>
                <w:bCs w:val="0"/>
                <w:color w:val="auto"/>
                <w:sz w:val="24"/>
                <w:szCs w:val="24"/>
                <w:highlight w:val="none"/>
                <w:vertAlign w:val="baseline"/>
                <w:lang w:val="en-US" w:eastAsia="zh-CN"/>
              </w:rPr>
              <w:t>600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baseline"/>
                <w:lang w:val="en-US" w:eastAsia="zh-CN"/>
              </w:rPr>
              <w:t>，固表层套管，套管口径273.1mm，此阶段采用清水泥浆（泥浆配方：清水+0.2-0.3%Na</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CO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+6-7%）迅速钻井，在套管的保护下能有效的保护浅层地下水；二开包括下气层套管、固气层套管，为生产、后期改造做好准备。二开</w:t>
            </w:r>
            <w:r>
              <w:rPr>
                <w:rFonts w:hint="eastAsia" w:ascii="Times New Roman" w:hAnsi="Times New Roman" w:eastAsia="宋体" w:cs="Times New Roman"/>
                <w:b w:val="0"/>
                <w:bCs w:val="0"/>
                <w:color w:val="auto"/>
                <w:sz w:val="24"/>
                <w:szCs w:val="24"/>
                <w:highlight w:val="none"/>
                <w:vertAlign w:val="baseline"/>
                <w:lang w:val="en-US" w:eastAsia="zh-CN"/>
              </w:rPr>
              <w:t>米107-3MH井至2750m处</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套管口径</w:t>
            </w:r>
            <w:r>
              <w:rPr>
                <w:rFonts w:hint="eastAsia" w:ascii="Times New Roman" w:hAnsi="Times New Roman" w:eastAsia="宋体" w:cs="Times New Roman"/>
                <w:b w:val="0"/>
                <w:bCs w:val="0"/>
                <w:color w:val="auto"/>
                <w:sz w:val="24"/>
                <w:szCs w:val="24"/>
                <w:vertAlign w:val="baseline"/>
                <w:lang w:val="en-US" w:eastAsia="zh-CN"/>
              </w:rPr>
              <w:t>219.1</w:t>
            </w:r>
            <w:r>
              <w:rPr>
                <w:rFonts w:hint="default" w:ascii="Times New Roman" w:hAnsi="Times New Roman" w:eastAsia="宋体" w:cs="Times New Roman"/>
                <w:b w:val="0"/>
                <w:bCs w:val="0"/>
                <w:color w:val="auto"/>
                <w:sz w:val="24"/>
                <w:szCs w:val="24"/>
                <w:vertAlign w:val="baseline"/>
                <w:lang w:val="en-US" w:eastAsia="zh-CN"/>
              </w:rPr>
              <w:t>mm。主要的工序简述如下：</w:t>
            </w:r>
          </w:p>
          <w:p w14:paraId="48483D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即钻头破碎岩石并通过钻井液带出岩屑并形成井筒的过程。钻井作业时，依靠钻机动力带动钻杆和钻头旋转，钻头逐次向下破碎岩层，同时通过空心钻杆向地下注入钻井液，将破碎岩屑通过循环钻井液带到地面形成返排液。地面设置泥浆循环系统将返排液中的岩屑清除后，将钻井液再次打入井内循环使用。</w:t>
            </w:r>
          </w:p>
          <w:p w14:paraId="51181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泥浆循环系统是钻井工程的核心部分，主要包括钻井液振动筛、真空除气器、除砂器、除泥器、搅拌器、泵及泥浆罐等设备。将返排液通过泥浆管输入振动筛进行固液分离，将泥浆中粒径大于0.1mm的固相物质留于筛上，振动筛筛下的液相进入循环罐暂存，再依次通过除砂器、除泥器分离出粒径大于0.01mm的固相物质后，用于钻井作业和后续的配浆作业。</w:t>
            </w:r>
          </w:p>
          <w:p w14:paraId="62C76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施工结束后无法回用的废弃泥浆通过压滤机处理后，上清液暂存于钻井废水储存罐，完井后由罐车</w:t>
            </w:r>
            <w:r>
              <w:rPr>
                <w:rFonts w:hint="default" w:ascii="Times New Roman" w:hAnsi="Times New Roman" w:eastAsia="宋体" w:cs="Times New Roman"/>
                <w:b w:val="0"/>
                <w:bCs w:val="0"/>
                <w:color w:val="auto"/>
                <w:sz w:val="24"/>
                <w:szCs w:val="24"/>
                <w:highlight w:val="none"/>
                <w:vertAlign w:val="baseline"/>
                <w:lang w:val="en-US" w:eastAsia="zh-CN"/>
              </w:rPr>
              <w:t>送有</w:t>
            </w:r>
            <w:r>
              <w:rPr>
                <w:rFonts w:hint="eastAsia" w:ascii="Times New Roman" w:hAnsi="Times New Roman" w:eastAsia="宋体" w:cs="Times New Roman"/>
                <w:b w:val="0"/>
                <w:bCs w:val="0"/>
                <w:color w:val="auto"/>
                <w:sz w:val="24"/>
                <w:szCs w:val="24"/>
                <w:highlight w:val="none"/>
                <w:vertAlign w:val="baseline"/>
                <w:lang w:val="en-US" w:eastAsia="zh-CN"/>
              </w:rPr>
              <w:t>能力</w:t>
            </w:r>
            <w:r>
              <w:rPr>
                <w:rFonts w:hint="default" w:ascii="Times New Roman" w:hAnsi="Times New Roman" w:eastAsia="宋体" w:cs="Times New Roman"/>
                <w:b w:val="0"/>
                <w:bCs w:val="0"/>
                <w:color w:val="auto"/>
                <w:sz w:val="24"/>
                <w:szCs w:val="24"/>
                <w:highlight w:val="none"/>
                <w:vertAlign w:val="baseline"/>
                <w:lang w:val="en-US" w:eastAsia="zh-CN"/>
              </w:rPr>
              <w:t>单位处置</w:t>
            </w:r>
            <w:r>
              <w:rPr>
                <w:rFonts w:hint="default" w:ascii="Times New Roman" w:hAnsi="Times New Roman" w:eastAsia="宋体" w:cs="Times New Roman"/>
                <w:b w:val="0"/>
                <w:bCs w:val="0"/>
                <w:color w:val="auto"/>
                <w:sz w:val="24"/>
                <w:szCs w:val="24"/>
                <w:vertAlign w:val="baseline"/>
                <w:lang w:val="en-US" w:eastAsia="zh-CN"/>
              </w:rPr>
              <w:t>；压滤后的泥饼暂存于固渣储存罐中；振动筛、除砂器、除泥器、离心机分离出的固相物质即岩屑，暂存于固渣储存罐中，施工结束后委托</w:t>
            </w:r>
            <w:r>
              <w:rPr>
                <w:rFonts w:hint="default" w:ascii="Times New Roman" w:hAnsi="Times New Roman" w:eastAsia="宋体" w:cs="Times New Roman"/>
                <w:b w:val="0"/>
                <w:bCs w:val="0"/>
                <w:color w:val="auto"/>
                <w:sz w:val="24"/>
                <w:szCs w:val="24"/>
                <w:highlight w:val="none"/>
                <w:vertAlign w:val="baseline"/>
                <w:lang w:val="en-US" w:eastAsia="zh-CN"/>
              </w:rPr>
              <w:t>陕西德禾鑫盛环保科技有限公司处置。</w:t>
            </w:r>
          </w:p>
          <w:p w14:paraId="7E2FD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②录井、测井</w:t>
            </w:r>
          </w:p>
          <w:p w14:paraId="535467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录井：按设计要求进行地质录井、钻时录井、岩屑录井、岩心录井、钻井液录井等。</w:t>
            </w:r>
          </w:p>
          <w:p w14:paraId="599F2A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井：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23AFB8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③固井</w:t>
            </w:r>
          </w:p>
          <w:p w14:paraId="79123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固井是钻井达到预定深度后，下入套管并注入水泥浆，封固套管和井壁之间环形空间的作业。固井的主要目的是封隔疏松的易塌易漏地层，封隔油、气、水层，防止互相串漏，以保证安全继续钻进下一段井眼的工艺过程。固井水泥的返高也是封隔井筒与地下水的主要措施，本项目导管和一开固井水泥均返高至地面，可以多层防护与隔绝井内流体与含水层之间的联系。</w:t>
            </w:r>
          </w:p>
          <w:p w14:paraId="1C4AA0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④取芯工艺</w:t>
            </w:r>
          </w:p>
          <w:p w14:paraId="04B5C3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天然气埋藏在地下有孔隙裂缝的岩石中。为</w:t>
            </w:r>
            <w:r>
              <w:rPr>
                <w:rFonts w:hint="eastAsia" w:ascii="Times New Roman" w:hAnsi="Times New Roman" w:eastAsia="宋体" w:cs="Times New Roman"/>
                <w:b w:val="0"/>
                <w:bCs w:val="0"/>
                <w:color w:val="auto"/>
                <w:sz w:val="24"/>
                <w:szCs w:val="24"/>
                <w:vertAlign w:val="baseline"/>
                <w:lang w:val="en-US" w:eastAsia="zh-CN"/>
              </w:rPr>
              <w:t>了</w:t>
            </w:r>
            <w:r>
              <w:rPr>
                <w:rFonts w:hint="default" w:ascii="Times New Roman" w:hAnsi="Times New Roman" w:eastAsia="宋体" w:cs="Times New Roman"/>
                <w:b w:val="0"/>
                <w:bCs w:val="0"/>
                <w:color w:val="auto"/>
                <w:sz w:val="24"/>
                <w:szCs w:val="24"/>
                <w:vertAlign w:val="baseline"/>
                <w:lang w:val="en-US" w:eastAsia="zh-CN"/>
              </w:rPr>
              <w:t>了解地层中油气的真实面貌本项目采取常规钻并进行钻井取芯。</w:t>
            </w:r>
          </w:p>
          <w:p w14:paraId="7DF32F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取芯时，要在下入井内钻柱的最下端，接上一套特制的取工具，取态钻头在垂直载荷和扭矩的联合作用下，对并底的岩石进行环形破碎，中间保留圆柱状岩芯进入岩芯筒。当钻进取芯到一定长度后，采用与工具相匹配的方法和措施，将钻头端部的岩芯割断后起钻，取工具与钻具一起提出地面，即可取出岩芯筒内的岩芯。钻并取芯可以充分满足地质家对岩芯进行多种项目的化验和测试，是对获取地下储层岩性、物性和储层评价有重要意义的手段。</w:t>
            </w:r>
            <w:r>
              <w:rPr>
                <w:rFonts w:hint="eastAsia" w:ascii="Times New Roman" w:hAnsi="Times New Roman" w:eastAsia="宋体" w:cs="Times New Roman"/>
                <w:b w:val="0"/>
                <w:bCs w:val="0"/>
                <w:color w:val="auto"/>
                <w:sz w:val="24"/>
                <w:szCs w:val="24"/>
                <w:vertAlign w:val="baseline"/>
                <w:lang w:val="en-US" w:eastAsia="zh-CN"/>
              </w:rPr>
              <w:t>根据建设单位提供资料，岩芯用于产气量气密性研究，研究完后的废弃岩芯作为固废委托陕西德禾鑫盛环保科技有限公司处理</w:t>
            </w:r>
            <w:r>
              <w:rPr>
                <w:rFonts w:hint="default" w:ascii="Times New Roman" w:hAnsi="Times New Roman" w:eastAsia="宋体" w:cs="Times New Roman"/>
                <w:b w:val="0"/>
                <w:bCs w:val="0"/>
                <w:color w:val="auto"/>
                <w:sz w:val="24"/>
                <w:szCs w:val="24"/>
                <w:vertAlign w:val="baseline"/>
                <w:lang w:val="en-US" w:eastAsia="zh-CN"/>
              </w:rPr>
              <w:t>。</w:t>
            </w:r>
          </w:p>
          <w:p w14:paraId="0ED79E7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drawing>
                <wp:inline distT="0" distB="0" distL="114300" distR="114300">
                  <wp:extent cx="5321300" cy="2965450"/>
                  <wp:effectExtent l="0" t="0" r="12700" b="6350"/>
                  <wp:docPr id="3" name="图片 3" descr="171939110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391105229"/>
                          <pic:cNvPicPr>
                            <a:picLocks noChangeAspect="1"/>
                          </pic:cNvPicPr>
                        </pic:nvPicPr>
                        <pic:blipFill>
                          <a:blip r:embed="rId12"/>
                          <a:stretch>
                            <a:fillRect/>
                          </a:stretch>
                        </pic:blipFill>
                        <pic:spPr>
                          <a:xfrm>
                            <a:off x="0" y="0"/>
                            <a:ext cx="5321300" cy="2965450"/>
                          </a:xfrm>
                          <a:prstGeom prst="rect">
                            <a:avLst/>
                          </a:prstGeom>
                        </pic:spPr>
                      </pic:pic>
                    </a:graphicData>
                  </a:graphic>
                </wp:inline>
              </w:drawing>
            </w:r>
          </w:p>
          <w:p w14:paraId="57E638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图2-4 一开、二开井口示意图</w:t>
            </w:r>
          </w:p>
          <w:p w14:paraId="5AC1DE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（3）压裂工程</w:t>
            </w:r>
          </w:p>
          <w:p w14:paraId="260BDF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后，为了消除井筒附近地层渗透率低的不良影响，以达到增产的目的，需进行压裂作业，主要是通过向井下注入压裂液进行压裂。压裂改造过程中，大量压裂液将进入地层进行储层改造，压裂结束后，需要快速的排液。</w:t>
            </w:r>
          </w:p>
          <w:p w14:paraId="232E3B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压裂后需要关井一段时间，使压裂裂缝闭合，施工造成的压力波在地层中有逐步扩散，液体逐渐水化。压裂放喷一般分为两个阶段。第一阶段：压裂后，由于地层弹性能量较足，井筒可实现自喷；第二阶段：关放排液，压裂后第一次放喷连续2～3小时不出液后，即可以关井，等压力恢复起来后再放喷，往复关放直至彻底不出液后关井。</w:t>
            </w:r>
          </w:p>
          <w:p w14:paraId="7907C3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（4）完井测试</w:t>
            </w:r>
          </w:p>
          <w:p w14:paraId="125F81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0B38FF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①</w:t>
            </w:r>
            <w:r>
              <w:rPr>
                <w:rFonts w:hint="default" w:ascii="Times New Roman" w:hAnsi="Times New Roman" w:eastAsia="宋体" w:cs="Times New Roman"/>
                <w:b w:val="0"/>
                <w:bCs w:val="0"/>
                <w:color w:val="auto"/>
                <w:sz w:val="24"/>
                <w:szCs w:val="24"/>
                <w:vertAlign w:val="baseline"/>
                <w:lang w:val="en-US" w:eastAsia="zh-CN"/>
              </w:rPr>
              <w:t>洗井</w:t>
            </w:r>
          </w:p>
          <w:p w14:paraId="7680CD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项目完钻后开展洗井作业，采用清水清洗套管。洗井废水从井口返排进入专用收集罐中，</w:t>
            </w:r>
            <w:r>
              <w:rPr>
                <w:rFonts w:hint="eastAsia" w:ascii="Times New Roman" w:hAnsi="Times New Roman" w:eastAsia="宋体" w:cs="Times New Roman"/>
                <w:b w:val="0"/>
                <w:bCs w:val="0"/>
                <w:color w:val="auto"/>
                <w:sz w:val="24"/>
                <w:szCs w:val="24"/>
                <w:vertAlign w:val="baseline"/>
                <w:lang w:val="en-US" w:eastAsia="zh-CN"/>
              </w:rPr>
              <w:t>洗井废水循环使用，剩余未利用部分委托</w:t>
            </w:r>
            <w:r>
              <w:rPr>
                <w:rFonts w:hint="default" w:ascii="Times New Roman" w:hAnsi="Times New Roman" w:eastAsia="宋体" w:cs="Times New Roman"/>
                <w:b w:val="0"/>
                <w:bCs w:val="0"/>
                <w:color w:val="auto"/>
                <w:sz w:val="24"/>
                <w:szCs w:val="24"/>
                <w:vertAlign w:val="baseline"/>
                <w:lang w:val="en-US" w:eastAsia="zh-CN"/>
              </w:rPr>
              <w:t>陕西</w:t>
            </w:r>
            <w:r>
              <w:rPr>
                <w:rFonts w:hint="eastAsia" w:ascii="Times New Roman" w:hAnsi="Times New Roman" w:eastAsia="宋体" w:cs="Times New Roman"/>
                <w:b w:val="0"/>
                <w:bCs w:val="0"/>
                <w:color w:val="auto"/>
                <w:sz w:val="24"/>
                <w:szCs w:val="24"/>
                <w:vertAlign w:val="baseline"/>
                <w:lang w:val="en-US" w:eastAsia="zh-CN"/>
              </w:rPr>
              <w:t>榆佳环保科技有限公司外运处理。</w:t>
            </w:r>
          </w:p>
          <w:p w14:paraId="1DB359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②</w:t>
            </w:r>
            <w:r>
              <w:rPr>
                <w:rFonts w:hint="default" w:ascii="Times New Roman" w:hAnsi="Times New Roman" w:eastAsia="宋体" w:cs="Times New Roman"/>
                <w:b w:val="0"/>
                <w:bCs w:val="0"/>
                <w:color w:val="auto"/>
                <w:sz w:val="24"/>
                <w:szCs w:val="24"/>
                <w:vertAlign w:val="baseline"/>
                <w:lang w:val="en-US" w:eastAsia="zh-CN"/>
              </w:rPr>
              <w:t>射孔</w:t>
            </w:r>
          </w:p>
          <w:p w14:paraId="689A92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本项目采用射孔完井方式。射孔完井是指下入</w:t>
            </w:r>
            <w:r>
              <w:rPr>
                <w:rFonts w:hint="eastAsia" w:ascii="Times New Roman" w:hAnsi="Times New Roman" w:eastAsia="宋体" w:cs="Times New Roman"/>
                <w:b w:val="0"/>
                <w:bCs w:val="0"/>
                <w:color w:val="auto"/>
                <w:sz w:val="24"/>
                <w:szCs w:val="24"/>
                <w:vertAlign w:val="baseline"/>
                <w:lang w:val="en-US" w:eastAsia="zh-CN"/>
              </w:rPr>
              <w:t>气</w:t>
            </w:r>
            <w:r>
              <w:rPr>
                <w:rFonts w:hint="default" w:ascii="Times New Roman" w:hAnsi="Times New Roman" w:eastAsia="宋体" w:cs="Times New Roman"/>
                <w:b w:val="0"/>
                <w:bCs w:val="0"/>
                <w:color w:val="auto"/>
                <w:sz w:val="24"/>
                <w:szCs w:val="24"/>
                <w:vertAlign w:val="baseline"/>
                <w:lang w:val="en-US" w:eastAsia="zh-CN"/>
              </w:rPr>
              <w:t>层套管封固产层后再用电缆射孔将套管、水泥环、部分产层射穿，形成气流通道。射穿产层后</w:t>
            </w:r>
            <w:r>
              <w:rPr>
                <w:rFonts w:hint="eastAsia" w:ascii="Times New Roman" w:hAnsi="Times New Roman" w:eastAsia="宋体" w:cs="Times New Roman"/>
                <w:b w:val="0"/>
                <w:bCs w:val="0"/>
                <w:color w:val="auto"/>
                <w:sz w:val="24"/>
                <w:szCs w:val="24"/>
                <w:vertAlign w:val="baseline"/>
                <w:lang w:val="en-US" w:eastAsia="zh-CN"/>
              </w:rPr>
              <w:t>气</w:t>
            </w:r>
            <w:r>
              <w:rPr>
                <w:rFonts w:hint="default" w:ascii="Times New Roman" w:hAnsi="Times New Roman" w:eastAsia="宋体" w:cs="Times New Roman"/>
                <w:b w:val="0"/>
                <w:bCs w:val="0"/>
                <w:color w:val="auto"/>
                <w:sz w:val="24"/>
                <w:szCs w:val="24"/>
                <w:vertAlign w:val="baseline"/>
                <w:lang w:val="en-US" w:eastAsia="zh-CN"/>
              </w:rPr>
              <w:t>井的生产能力受产层压力、产层性质、射孔参数及质量影响。根据建设单位以往经验，项目单井射孔一般需要射孔液36m³。射孔液主要成分为无机盐类（KCl、NaCl）水溶液加适量粘土稳定剂。</w:t>
            </w:r>
          </w:p>
          <w:p w14:paraId="1EA29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（5）试气</w:t>
            </w:r>
          </w:p>
          <w:p w14:paraId="5A5A06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为了解气井的产气量，在完井及压裂后，需进行测试放喷。测试放喷是在固井、压裂作业后，利用测试放喷专用管线将井内天然气引至</w:t>
            </w:r>
            <w:r>
              <w:rPr>
                <w:rFonts w:hint="eastAsia" w:ascii="Times New Roman" w:hAnsi="Times New Roman" w:eastAsia="宋体" w:cs="Times New Roman"/>
                <w:b w:val="0"/>
                <w:bCs w:val="0"/>
                <w:color w:val="auto"/>
                <w:sz w:val="24"/>
                <w:szCs w:val="24"/>
                <w:vertAlign w:val="baseline"/>
                <w:lang w:val="en-US" w:eastAsia="zh-CN"/>
              </w:rPr>
              <w:t>放喷池内</w:t>
            </w:r>
            <w:r>
              <w:rPr>
                <w:rFonts w:hint="default" w:ascii="Times New Roman" w:hAnsi="Times New Roman" w:eastAsia="宋体" w:cs="Times New Roman"/>
                <w:b w:val="0"/>
                <w:bCs w:val="0"/>
                <w:color w:val="auto"/>
                <w:sz w:val="24"/>
                <w:szCs w:val="24"/>
                <w:vertAlign w:val="baseline"/>
                <w:lang w:val="en-US" w:eastAsia="zh-CN"/>
              </w:rPr>
              <w:t>点火燃烧对天然气产量进行测试的过程，放喷前需接一条可测试流量的专用管线。依据测试气量，采用间歇性放喷，每次放喷时间约4～6h，废气排放属不连续排放。</w:t>
            </w:r>
          </w:p>
          <w:p w14:paraId="04B92D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（6）完井搬迁</w:t>
            </w:r>
          </w:p>
          <w:p w14:paraId="03BAC5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本项目主要进行预探井的勘探开发，通过完井后</w:t>
            </w:r>
            <w:r>
              <w:rPr>
                <w:rFonts w:hint="eastAsia" w:ascii="Times New Roman" w:hAnsi="Times New Roman" w:eastAsia="宋体" w:cs="Times New Roman"/>
                <w:b w:val="0"/>
                <w:bCs w:val="0"/>
                <w:color w:val="auto"/>
                <w:sz w:val="24"/>
                <w:szCs w:val="24"/>
                <w:vertAlign w:val="baseline"/>
                <w:lang w:val="en-US" w:eastAsia="zh-CN"/>
              </w:rPr>
              <w:t>试气</w:t>
            </w:r>
            <w:r>
              <w:rPr>
                <w:rFonts w:hint="default" w:ascii="Times New Roman" w:hAnsi="Times New Roman" w:eastAsia="宋体" w:cs="Times New Roman"/>
                <w:b w:val="0"/>
                <w:bCs w:val="0"/>
                <w:color w:val="auto"/>
                <w:sz w:val="24"/>
                <w:szCs w:val="24"/>
                <w:vertAlign w:val="baseline"/>
                <w:lang w:val="en-US" w:eastAsia="zh-CN"/>
              </w:rPr>
              <w:t>测试评价情况，若完井或良好产量则临时封井后期转为生产井（另行办理相应的环评手续，完善永久征地手续），若未获得可利用的资源则永久封井处理（无永久占地，临时占地恢复原貌）。</w:t>
            </w:r>
          </w:p>
          <w:p w14:paraId="4870D6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①临时封井：在</w:t>
            </w:r>
            <w:r>
              <w:rPr>
                <w:rFonts w:hint="eastAsia" w:ascii="Times New Roman" w:hAnsi="Times New Roman" w:eastAsia="宋体" w:cs="Times New Roman"/>
                <w:b w:val="0"/>
                <w:bCs w:val="0"/>
                <w:color w:val="auto"/>
                <w:sz w:val="24"/>
                <w:szCs w:val="24"/>
                <w:vertAlign w:val="baseline"/>
                <w:lang w:val="en-US" w:eastAsia="zh-CN"/>
              </w:rPr>
              <w:t>试气</w:t>
            </w:r>
            <w:r>
              <w:rPr>
                <w:rFonts w:hint="default" w:ascii="Times New Roman" w:hAnsi="Times New Roman" w:eastAsia="宋体" w:cs="Times New Roman"/>
                <w:b w:val="0"/>
                <w:bCs w:val="0"/>
                <w:color w:val="auto"/>
                <w:sz w:val="24"/>
                <w:szCs w:val="24"/>
                <w:vertAlign w:val="baseline"/>
                <w:lang w:val="en-US" w:eastAsia="zh-CN"/>
              </w:rPr>
              <w:t>获得相关参数后，进行临时封井在井下50-100m注入水泥形成水泥塞，水泥塞试压合格后完成临时封井。</w:t>
            </w:r>
          </w:p>
          <w:p w14:paraId="20CB2E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永久封井：首先，利用钻井过程中套管及套管壁用水泥固封防止天然气窜入地层，同时在射孔段的上部往水泥形成水泥塞面封隔气层;其次，回填并做碉堡(边2m、高2.2m的三角形)和标识，设置醒目的警示标志。永久封井后应保证该井眼无遗留风险。</w:t>
            </w:r>
          </w:p>
          <w:p w14:paraId="462A4216">
            <w:pPr>
              <w:spacing w:line="360" w:lineRule="auto"/>
              <w:ind w:firstLine="440" w:firstLineChars="200"/>
              <w:jc w:val="center"/>
              <w:rPr>
                <w:rFonts w:hint="default" w:ascii="Times New Roman" w:hAnsi="Times New Roman" w:eastAsia="宋体" w:cs="Times New Roman"/>
                <w:color w:val="auto"/>
                <w:sz w:val="24"/>
                <w:szCs w:val="24"/>
                <w:lang w:eastAsia="zh-CN"/>
              </w:rPr>
            </w:pPr>
            <w:r>
              <w:rPr>
                <w:color w:val="auto"/>
              </w:rPr>
              <w:drawing>
                <wp:inline distT="0" distB="0" distL="114300" distR="114300">
                  <wp:extent cx="2781300" cy="2547620"/>
                  <wp:effectExtent l="0" t="0" r="0"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2781300" cy="2547620"/>
                          </a:xfrm>
                          <a:prstGeom prst="rect">
                            <a:avLst/>
                          </a:prstGeom>
                          <a:noFill/>
                          <a:ln>
                            <a:noFill/>
                          </a:ln>
                        </pic:spPr>
                      </pic:pic>
                    </a:graphicData>
                  </a:graphic>
                </wp:inline>
              </w:drawing>
            </w:r>
          </w:p>
          <w:p w14:paraId="265A2696">
            <w:pPr>
              <w:spacing w:line="360" w:lineRule="auto"/>
              <w:ind w:firstLine="442" w:firstLineChars="20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lang w:val="en-US" w:eastAsia="zh-CN"/>
              </w:rPr>
              <w:t>图2-</w:t>
            </w:r>
            <w:r>
              <w:rPr>
                <w:rFonts w:hint="eastAsia"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lang w:val="en-US" w:eastAsia="zh-CN"/>
              </w:rPr>
              <w:t xml:space="preserve">  封井示意图</w:t>
            </w:r>
          </w:p>
          <w:p w14:paraId="7E5BFC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完井搬迁主要包括设备和设施的拆除和搬迁，钻井机、泥浆循环系统等设备和生活设施拆除后搬迁至周边其他井场继续使用。搬迁完成后即对场内基础设施进行拆除，如清除场地碎石、拆除硬化地面等。根据钻井作业规范和钻井环保管理规定，钻井液全部回收，不得遗弃在井场，废水和固体废物须交有</w:t>
            </w:r>
            <w:r>
              <w:rPr>
                <w:rFonts w:hint="eastAsia" w:ascii="Times New Roman" w:hAnsi="Times New Roman" w:eastAsia="宋体" w:cs="Times New Roman"/>
                <w:color w:val="auto"/>
                <w:sz w:val="24"/>
                <w:szCs w:val="24"/>
                <w:lang w:val="en-US" w:eastAsia="zh-CN"/>
              </w:rPr>
              <w:t>能力</w:t>
            </w:r>
            <w:r>
              <w:rPr>
                <w:rFonts w:hint="default" w:ascii="Times New Roman" w:hAnsi="Times New Roman" w:eastAsia="宋体" w:cs="Times New Roman"/>
                <w:color w:val="auto"/>
                <w:sz w:val="24"/>
                <w:szCs w:val="24"/>
                <w:lang w:eastAsia="zh-CN"/>
              </w:rPr>
              <w:t>单位处置，做到“工完、料尽、场地清”，并办理竣工环保验收合格后方可交井。</w:t>
            </w:r>
          </w:p>
          <w:p w14:paraId="3A4719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3、泥浆不落地措施</w:t>
            </w:r>
          </w:p>
          <w:p w14:paraId="3499B7D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泥浆处理过程中严格执行“泥浆不落地”措施，采用振动筛、除泥除沙器离心机、螺旋输送机、缓冲罐、泥浆</w:t>
            </w:r>
            <w:r>
              <w:rPr>
                <w:rFonts w:hint="eastAsia" w:ascii="Times New Roman" w:hAnsi="Times New Roman" w:eastAsia="宋体" w:cs="Times New Roman"/>
                <w:b w:val="0"/>
                <w:bCs w:val="0"/>
                <w:color w:val="auto"/>
                <w:sz w:val="24"/>
                <w:szCs w:val="24"/>
                <w:vertAlign w:val="baseline"/>
                <w:lang w:val="en-US" w:eastAsia="zh-CN"/>
              </w:rPr>
              <w:t>循环</w:t>
            </w:r>
            <w:r>
              <w:rPr>
                <w:rFonts w:hint="default" w:ascii="Times New Roman" w:hAnsi="Times New Roman" w:eastAsia="宋体" w:cs="Times New Roman"/>
                <w:b w:val="0"/>
                <w:bCs w:val="0"/>
                <w:color w:val="auto"/>
                <w:sz w:val="24"/>
                <w:szCs w:val="24"/>
                <w:vertAlign w:val="baseline"/>
                <w:lang w:val="en-US" w:eastAsia="zh-CN"/>
              </w:rPr>
              <w:t>罐等设备。钻井泥浆</w:t>
            </w:r>
            <w:r>
              <w:rPr>
                <w:rFonts w:hint="eastAsia" w:ascii="Times New Roman" w:hAnsi="Times New Roman" w:eastAsia="宋体" w:cs="Times New Roman"/>
                <w:b w:val="0"/>
                <w:bCs w:val="0"/>
                <w:color w:val="auto"/>
                <w:sz w:val="24"/>
                <w:szCs w:val="24"/>
                <w:vertAlign w:val="baseline"/>
                <w:lang w:val="en-US" w:eastAsia="zh-CN"/>
              </w:rPr>
              <w:t>经</w:t>
            </w:r>
            <w:r>
              <w:rPr>
                <w:rFonts w:hint="default" w:ascii="Times New Roman" w:hAnsi="Times New Roman" w:eastAsia="宋体" w:cs="Times New Roman"/>
                <w:b w:val="0"/>
                <w:bCs w:val="0"/>
                <w:color w:val="auto"/>
                <w:sz w:val="24"/>
                <w:szCs w:val="24"/>
                <w:vertAlign w:val="baseline"/>
                <w:lang w:val="en-US" w:eastAsia="zh-CN"/>
              </w:rPr>
              <w:t>岩屑</w:t>
            </w:r>
            <w:r>
              <w:rPr>
                <w:rFonts w:hint="eastAsia" w:ascii="Times New Roman" w:hAnsi="Times New Roman" w:eastAsia="宋体" w:cs="Times New Roman"/>
                <w:b w:val="0"/>
                <w:bCs w:val="0"/>
                <w:color w:val="auto"/>
                <w:sz w:val="24"/>
                <w:szCs w:val="24"/>
                <w:vertAlign w:val="baseline"/>
                <w:lang w:val="en-US" w:eastAsia="zh-CN"/>
              </w:rPr>
              <w:t>收集罐</w:t>
            </w:r>
            <w:r>
              <w:rPr>
                <w:rFonts w:hint="default" w:ascii="Times New Roman" w:hAnsi="Times New Roman" w:eastAsia="宋体" w:cs="Times New Roman"/>
                <w:b w:val="0"/>
                <w:bCs w:val="0"/>
                <w:color w:val="auto"/>
                <w:sz w:val="24"/>
                <w:szCs w:val="24"/>
                <w:vertAlign w:val="baseline"/>
                <w:lang w:val="en-US" w:eastAsia="zh-CN"/>
              </w:rPr>
              <w:t>装置，固液混合收集入罐，在罐内进行破胶脱稳后实现固液分类，分离后的固相经板框压滤机进一步脱水，上清液同洗井废水、</w:t>
            </w:r>
            <w:r>
              <w:rPr>
                <w:rFonts w:hint="eastAsia" w:ascii="Times New Roman" w:hAnsi="Times New Roman" w:eastAsia="宋体" w:cs="Times New Roman"/>
                <w:b w:val="0"/>
                <w:bCs w:val="0"/>
                <w:color w:val="auto"/>
                <w:sz w:val="24"/>
                <w:szCs w:val="24"/>
                <w:vertAlign w:val="baseline"/>
                <w:lang w:val="en-US" w:eastAsia="zh-CN"/>
              </w:rPr>
              <w:t>压裂</w:t>
            </w:r>
            <w:r>
              <w:rPr>
                <w:rFonts w:hint="default" w:ascii="Times New Roman" w:hAnsi="Times New Roman" w:eastAsia="宋体" w:cs="Times New Roman"/>
                <w:b w:val="0"/>
                <w:bCs w:val="0"/>
                <w:color w:val="auto"/>
                <w:sz w:val="24"/>
                <w:szCs w:val="24"/>
                <w:highlight w:val="none"/>
                <w:vertAlign w:val="baseline"/>
                <w:lang w:val="en-US" w:eastAsia="zh-CN"/>
              </w:rPr>
              <w:t>反排液委托陕西榆佳环保科技有限公司外单位处置。</w:t>
            </w:r>
            <w:r>
              <w:rPr>
                <w:rFonts w:hint="default" w:ascii="Times New Roman" w:hAnsi="Times New Roman" w:eastAsia="宋体" w:cs="Times New Roman"/>
                <w:b w:val="0"/>
                <w:bCs w:val="0"/>
                <w:color w:val="auto"/>
                <w:sz w:val="24"/>
                <w:szCs w:val="24"/>
                <w:vertAlign w:val="baseline"/>
                <w:lang w:val="en-US" w:eastAsia="zh-CN"/>
              </w:rPr>
              <w:t>处理后的固相在施工结束后交有</w:t>
            </w:r>
            <w:r>
              <w:rPr>
                <w:rFonts w:hint="eastAsia" w:ascii="Times New Roman" w:hAnsi="Times New Roman" w:eastAsia="宋体" w:cs="Times New Roman"/>
                <w:b w:val="0"/>
                <w:bCs w:val="0"/>
                <w:color w:val="auto"/>
                <w:sz w:val="24"/>
                <w:szCs w:val="24"/>
                <w:vertAlign w:val="baseline"/>
                <w:lang w:val="en-US" w:eastAsia="zh-CN"/>
              </w:rPr>
              <w:t>能力</w:t>
            </w:r>
            <w:r>
              <w:rPr>
                <w:rFonts w:hint="default" w:ascii="Times New Roman" w:hAnsi="Times New Roman" w:eastAsia="宋体" w:cs="Times New Roman"/>
                <w:b w:val="0"/>
                <w:bCs w:val="0"/>
                <w:color w:val="auto"/>
                <w:sz w:val="24"/>
                <w:szCs w:val="24"/>
                <w:vertAlign w:val="baseline"/>
                <w:lang w:val="en-US" w:eastAsia="zh-CN"/>
              </w:rPr>
              <w:t>单位处置</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对于临时存放的固相，暂存时间不得超过1个月，应在施工结束后及时拉运；堆放点要采取“三防”措施，采用四周围堰和“</w:t>
            </w:r>
            <w:r>
              <w:rPr>
                <w:rFonts w:hint="eastAsia" w:ascii="Times New Roman" w:hAnsi="Times New Roman" w:eastAsia="宋体" w:cs="Times New Roman"/>
                <w:b w:val="0"/>
                <w:bCs w:val="0"/>
                <w:color w:val="auto"/>
                <w:sz w:val="24"/>
                <w:szCs w:val="24"/>
                <w:vertAlign w:val="baseline"/>
                <w:lang w:val="en-US" w:eastAsia="zh-CN"/>
              </w:rPr>
              <w:t>下铺上盖</w:t>
            </w:r>
            <w:r>
              <w:rPr>
                <w:rFonts w:hint="default" w:ascii="Times New Roman" w:hAnsi="Times New Roman" w:eastAsia="宋体" w:cs="Times New Roman"/>
                <w:b w:val="0"/>
                <w:bCs w:val="0"/>
                <w:color w:val="auto"/>
                <w:sz w:val="24"/>
                <w:szCs w:val="24"/>
                <w:vertAlign w:val="baseline"/>
                <w:lang w:val="en-US" w:eastAsia="zh-CN"/>
              </w:rPr>
              <w:t>”的防渗防尘技术要求。防渗满足一般防渗区要求，铺设HDPE土工膜进行防渗处理。</w:t>
            </w:r>
          </w:p>
          <w:p w14:paraId="1B6427FA">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2、施工时序</w:t>
            </w:r>
          </w:p>
          <w:p w14:paraId="799B3B31">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施工时尽可能保证施工连续、均衡和经济，对工程具有控制作用的项目节点作为重点，予以优先安排。施工时首先进行地面平整、井场设施安装，接着完成钻井和固井，钻井分为一开、二开，在每个工段先钻井再下管套然后固井，最后洗井，再根据勘探情况考虑封井或者弃井。本项目安排1个钻井队接续施工，单个井场施工时间为50d。具体施工方式由建设单位统筹安排。</w:t>
            </w:r>
          </w:p>
          <w:p w14:paraId="7D92193F">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3、建设周期</w:t>
            </w:r>
          </w:p>
          <w:p w14:paraId="7E0986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eastAsiaTheme="minorHAnsi"/>
                <w:color w:val="auto"/>
                <w:kern w:val="0"/>
                <w:sz w:val="24"/>
                <w:szCs w:val="21"/>
                <w:lang w:val="en-US" w:eastAsia="en-US" w:bidi="ar-SA"/>
              </w:rPr>
              <w:t>本项目计划开工时间为202</w:t>
            </w:r>
            <w:r>
              <w:rPr>
                <w:rFonts w:hint="eastAsia" w:ascii="Times New Roman" w:hAnsi="Times New Roman" w:cs="Times New Roman" w:eastAsiaTheme="minorHAnsi"/>
                <w:color w:val="auto"/>
                <w:kern w:val="0"/>
                <w:sz w:val="24"/>
                <w:szCs w:val="21"/>
                <w:lang w:val="en-US" w:eastAsia="zh-CN" w:bidi="ar-SA"/>
              </w:rPr>
              <w:t>5</w:t>
            </w:r>
            <w:r>
              <w:rPr>
                <w:rFonts w:hint="default" w:ascii="Times New Roman" w:hAnsi="Times New Roman" w:cs="Times New Roman" w:eastAsiaTheme="minorHAnsi"/>
                <w:color w:val="auto"/>
                <w:kern w:val="0"/>
                <w:sz w:val="24"/>
                <w:szCs w:val="21"/>
                <w:lang w:val="en-US" w:eastAsia="en-US" w:bidi="ar-SA"/>
              </w:rPr>
              <w:t>年</w:t>
            </w:r>
            <w:r>
              <w:rPr>
                <w:rFonts w:hint="eastAsia" w:ascii="Times New Roman" w:hAnsi="Times New Roman" w:cs="Times New Roman"/>
                <w:color w:val="auto"/>
                <w:kern w:val="0"/>
                <w:sz w:val="24"/>
                <w:szCs w:val="21"/>
                <w:lang w:val="en-US" w:eastAsia="zh-CN" w:bidi="ar-SA"/>
              </w:rPr>
              <w:t>6</w:t>
            </w:r>
            <w:r>
              <w:rPr>
                <w:rFonts w:hint="default" w:ascii="Times New Roman" w:hAnsi="Times New Roman" w:cs="Times New Roman" w:eastAsiaTheme="minorHAnsi"/>
                <w:color w:val="auto"/>
                <w:kern w:val="0"/>
                <w:sz w:val="24"/>
                <w:szCs w:val="21"/>
                <w:lang w:val="en-US" w:eastAsia="en-US" w:bidi="ar-SA"/>
              </w:rPr>
              <w:t>月，施工期约</w:t>
            </w:r>
            <w:r>
              <w:rPr>
                <w:rFonts w:hint="eastAsia" w:ascii="Times New Roman" w:hAnsi="Times New Roman" w:cs="Times New Roman"/>
                <w:color w:val="auto"/>
                <w:kern w:val="0"/>
                <w:sz w:val="24"/>
                <w:szCs w:val="21"/>
                <w:lang w:val="en-US" w:eastAsia="zh-CN" w:bidi="ar-SA"/>
              </w:rPr>
              <w:t>50</w:t>
            </w:r>
            <w:r>
              <w:rPr>
                <w:rFonts w:hint="default" w:ascii="Times New Roman" w:hAnsi="Times New Roman" w:cs="Times New Roman" w:eastAsiaTheme="minorHAnsi"/>
                <w:color w:val="auto"/>
                <w:kern w:val="0"/>
                <w:sz w:val="24"/>
                <w:szCs w:val="21"/>
                <w:lang w:val="en-US" w:eastAsia="en-US" w:bidi="ar-SA"/>
              </w:rPr>
              <w:t>d。</w:t>
            </w:r>
          </w:p>
        </w:tc>
      </w:tr>
      <w:tr w14:paraId="322A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46E0180B">
            <w:pPr>
              <w:numPr>
                <w:ilvl w:val="0"/>
                <w:numId w:val="0"/>
              </w:numPr>
              <w:jc w:val="center"/>
              <w:rPr>
                <w:rFonts w:hint="default" w:ascii="Times New Roman" w:hAnsi="Times New Roman" w:cs="Times New Roman" w:eastAsiaTheme="minorHAnsi"/>
                <w:color w:val="auto"/>
                <w:kern w:val="0"/>
                <w:sz w:val="24"/>
                <w:szCs w:val="21"/>
                <w:lang w:val="en-US" w:eastAsia="zh-CN" w:bidi="ar-SA"/>
              </w:rPr>
            </w:pPr>
            <w:r>
              <w:rPr>
                <w:rFonts w:hint="default" w:ascii="Times New Roman" w:hAnsi="Times New Roman" w:cs="Times New Roman" w:eastAsiaTheme="minorHAnsi"/>
                <w:color w:val="auto"/>
                <w:kern w:val="0"/>
                <w:sz w:val="24"/>
                <w:szCs w:val="21"/>
                <w:lang w:val="en-US" w:eastAsia="zh-CN" w:bidi="ar-SA"/>
              </w:rPr>
              <w:t>其他</w:t>
            </w:r>
          </w:p>
        </w:tc>
        <w:tc>
          <w:tcPr>
            <w:tcW w:w="8597" w:type="dxa"/>
            <w:vAlign w:val="center"/>
          </w:tcPr>
          <w:p w14:paraId="78942C88">
            <w:pPr>
              <w:numPr>
                <w:ilvl w:val="0"/>
                <w:numId w:val="0"/>
              </w:numPr>
              <w:ind w:firstLine="480" w:firstLineChars="200"/>
              <w:jc w:val="center"/>
              <w:rPr>
                <w:rFonts w:hint="default" w:ascii="Times New Roman" w:hAnsi="Times New Roman" w:cs="Times New Roman" w:eastAsiaTheme="minorHAnsi"/>
                <w:color w:val="auto"/>
                <w:kern w:val="0"/>
                <w:sz w:val="24"/>
                <w:szCs w:val="21"/>
                <w:lang w:val="en-US" w:eastAsia="zh-CN" w:bidi="ar-SA"/>
              </w:rPr>
            </w:pPr>
          </w:p>
          <w:p w14:paraId="5C37B88B">
            <w:pPr>
              <w:numPr>
                <w:ilvl w:val="0"/>
                <w:numId w:val="0"/>
              </w:numPr>
              <w:jc w:val="both"/>
              <w:rPr>
                <w:rFonts w:hint="default" w:ascii="Times New Roman" w:hAnsi="Times New Roman" w:cs="Times New Roman" w:eastAsiaTheme="minorHAnsi"/>
                <w:color w:val="auto"/>
                <w:kern w:val="0"/>
                <w:sz w:val="24"/>
                <w:szCs w:val="21"/>
                <w:lang w:val="en-US" w:eastAsia="zh-CN" w:bidi="ar-SA"/>
              </w:rPr>
            </w:pPr>
          </w:p>
          <w:p w14:paraId="7DD01CCA">
            <w:pPr>
              <w:numPr>
                <w:ilvl w:val="0"/>
                <w:numId w:val="0"/>
              </w:numPr>
              <w:ind w:firstLine="480" w:firstLineChars="200"/>
              <w:jc w:val="center"/>
              <w:rPr>
                <w:rFonts w:hint="default" w:ascii="Times New Roman" w:hAnsi="Times New Roman" w:cs="Times New Roman" w:eastAsiaTheme="minorHAnsi"/>
                <w:color w:val="auto"/>
                <w:kern w:val="0"/>
                <w:sz w:val="24"/>
                <w:szCs w:val="21"/>
                <w:lang w:val="en-US" w:eastAsia="zh-CN" w:bidi="ar-SA"/>
              </w:rPr>
            </w:pPr>
          </w:p>
          <w:p w14:paraId="69B026E0">
            <w:pPr>
              <w:numPr>
                <w:ilvl w:val="0"/>
                <w:numId w:val="0"/>
              </w:numPr>
              <w:ind w:firstLine="480" w:firstLineChars="200"/>
              <w:jc w:val="center"/>
              <w:rPr>
                <w:rFonts w:hint="default" w:ascii="Times New Roman" w:hAnsi="Times New Roman" w:cs="Times New Roman" w:eastAsiaTheme="minorHAnsi"/>
                <w:color w:val="auto"/>
                <w:kern w:val="0"/>
                <w:sz w:val="24"/>
                <w:szCs w:val="21"/>
                <w:lang w:val="en-US" w:eastAsia="zh-CN" w:bidi="ar-SA"/>
              </w:rPr>
            </w:pPr>
            <w:r>
              <w:rPr>
                <w:rFonts w:hint="default" w:ascii="Times New Roman" w:hAnsi="Times New Roman" w:cs="Times New Roman" w:eastAsiaTheme="minorHAnsi"/>
                <w:color w:val="auto"/>
                <w:kern w:val="0"/>
                <w:sz w:val="24"/>
                <w:szCs w:val="21"/>
                <w:lang w:val="en-US" w:eastAsia="zh-CN" w:bidi="ar-SA"/>
              </w:rPr>
              <w:t>本项目无其他比选方案。</w:t>
            </w:r>
          </w:p>
          <w:p w14:paraId="412E2A46">
            <w:pPr>
              <w:pStyle w:val="7"/>
              <w:jc w:val="both"/>
              <w:rPr>
                <w:rFonts w:hint="default" w:ascii="Times New Roman" w:hAnsi="Times New Roman" w:cs="Times New Roman" w:eastAsiaTheme="minorHAnsi"/>
                <w:color w:val="auto"/>
                <w:kern w:val="0"/>
                <w:sz w:val="24"/>
                <w:szCs w:val="21"/>
                <w:lang w:val="en-US" w:eastAsia="zh-CN" w:bidi="ar-SA"/>
              </w:rPr>
            </w:pPr>
          </w:p>
          <w:p w14:paraId="24B83420">
            <w:pPr>
              <w:pStyle w:val="9"/>
              <w:jc w:val="both"/>
              <w:rPr>
                <w:rFonts w:hint="default"/>
                <w:color w:val="auto"/>
                <w:lang w:val="en-US" w:eastAsia="zh-CN"/>
              </w:rPr>
            </w:pPr>
          </w:p>
          <w:p w14:paraId="064A1A50">
            <w:pPr>
              <w:numPr>
                <w:ilvl w:val="0"/>
                <w:numId w:val="0"/>
              </w:numPr>
              <w:jc w:val="both"/>
              <w:rPr>
                <w:rFonts w:hint="default" w:ascii="Times New Roman" w:hAnsi="Times New Roman" w:cs="Times New Roman" w:eastAsiaTheme="minorHAnsi"/>
                <w:color w:val="auto"/>
                <w:kern w:val="0"/>
                <w:sz w:val="24"/>
                <w:szCs w:val="21"/>
                <w:lang w:val="en-US" w:eastAsia="zh-CN" w:bidi="ar-SA"/>
              </w:rPr>
            </w:pPr>
          </w:p>
        </w:tc>
      </w:tr>
    </w:tbl>
    <w:p w14:paraId="67ABF4C0">
      <w:pPr>
        <w:numPr>
          <w:ilvl w:val="0"/>
          <w:numId w:val="0"/>
        </w:numPr>
        <w:jc w:val="both"/>
        <w:rPr>
          <w:rFonts w:hint="default" w:ascii="Times New Roman" w:hAnsi="Times New Roman" w:eastAsia="黑体" w:cs="Times New Roman"/>
          <w:b w:val="0"/>
          <w:bCs w:val="0"/>
          <w:color w:val="auto"/>
          <w:sz w:val="28"/>
          <w:szCs w:val="28"/>
          <w:lang w:val="en-US" w:eastAsia="zh-CN"/>
        </w:rPr>
        <w:sectPr>
          <w:footerReference r:id="rId5" w:type="default"/>
          <w:pgSz w:w="11906" w:h="16838"/>
          <w:pgMar w:top="1417" w:right="1417" w:bottom="1417" w:left="1417" w:header="992" w:footer="896" w:gutter="0"/>
          <w:pgBorders>
            <w:top w:val="none" w:sz="0" w:space="0"/>
            <w:left w:val="none" w:sz="0" w:space="0"/>
            <w:bottom w:val="none" w:sz="0" w:space="0"/>
            <w:right w:val="none" w:sz="0" w:space="0"/>
          </w:pgBorders>
          <w:pgNumType w:fmt="decimal" w:start="1"/>
          <w:cols w:space="0" w:num="1"/>
          <w:rtlGutter w:val="0"/>
          <w:docGrid w:type="lines" w:linePitch="318" w:charSpace="0"/>
        </w:sectPr>
      </w:pPr>
    </w:p>
    <w:p w14:paraId="68C24F04">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生态环境现状、保护目标及评价标准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521"/>
      </w:tblGrid>
      <w:tr w14:paraId="420C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2DEB7A5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生态环境现状</w:t>
            </w:r>
          </w:p>
        </w:tc>
        <w:tc>
          <w:tcPr>
            <w:tcW w:w="8521" w:type="dxa"/>
            <w:vAlign w:val="center"/>
          </w:tcPr>
          <w:p w14:paraId="551057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一、生态环境现状</w:t>
            </w:r>
          </w:p>
          <w:p w14:paraId="75AC81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1、主体功能区划和生态功能区划</w:t>
            </w:r>
          </w:p>
          <w:p w14:paraId="7D73F3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根据《陕西省主体功能区划》中陕西省重点开发区域分布图，项目位于国家层面限制开发区域（重点生态功能区）。具体见图3-1。</w:t>
            </w:r>
          </w:p>
          <w:p w14:paraId="78F810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生态功能区划》，本项目位于陕西省生态功能区中黄土高原农牧生态区（一级区）、黄土丘陵沟壑水土流失控制生态功能区（二级区）、黄土峁状丘陵沟壑水土流失控制区（三级区）。该区生态敏感性特征为：沟壑纵横，土壤侵蚀极敏感-高度敏感，土壤保持功能极重要。建立基本农田，坡地退耕还林还草，开展流域综合治理，控制水土流失。本项目为陆地矿产资源地质勘察类项目，运行期产生的主要污染物为员工生活污水及生活垃圾，均不外排，不会对当地土壤造成影响，且项目会采取设置排水沟、集水池、临时占用的草地会在施工结束后及时恢复等水土保持措施，因此对当地的水土流失影响较小，因此与《陕西省生态功能区划》相符。</w:t>
            </w:r>
          </w:p>
          <w:p w14:paraId="778937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生态功能区划图见图3-2。</w:t>
            </w:r>
          </w:p>
          <w:p w14:paraId="1BA633A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color w:val="auto"/>
                <w:sz w:val="22"/>
              </w:rPr>
              <mc:AlternateContent>
                <mc:Choice Requires="wps">
                  <w:drawing>
                    <wp:anchor distT="0" distB="0" distL="114300" distR="114300" simplePos="0" relativeHeight="251663360" behindDoc="0" locked="0" layoutInCell="1" allowOverlap="1">
                      <wp:simplePos x="0" y="0"/>
                      <wp:positionH relativeFrom="column">
                        <wp:posOffset>3834130</wp:posOffset>
                      </wp:positionH>
                      <wp:positionV relativeFrom="paragraph">
                        <wp:posOffset>1440815</wp:posOffset>
                      </wp:positionV>
                      <wp:extent cx="234315" cy="205105"/>
                      <wp:effectExtent l="20955" t="19050" r="30480" b="23495"/>
                      <wp:wrapNone/>
                      <wp:docPr id="9" name="五角星 9"/>
                      <wp:cNvGraphicFramePr/>
                      <a:graphic xmlns:a="http://schemas.openxmlformats.org/drawingml/2006/main">
                        <a:graphicData uri="http://schemas.microsoft.com/office/word/2010/wordprocessingShape">
                          <wps:wsp>
                            <wps:cNvSpPr/>
                            <wps:spPr>
                              <a:xfrm>
                                <a:off x="3212465" y="3749675"/>
                                <a:ext cx="234315" cy="205105"/>
                              </a:xfrm>
                              <a:prstGeom prst="star5">
                                <a:avLst/>
                              </a:prstGeom>
                              <a:solidFill>
                                <a:srgbClr val="FF0000"/>
                              </a:solidFill>
                              <a:ln>
                                <a:solidFill>
                                  <a:schemeClr val="tx1">
                                    <a:lumMod val="95000"/>
                                    <a:lumOff val="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1.9pt;margin-top:113.45pt;height:16.15pt;width:18.45pt;z-index:251663360;v-text-anchor:middle;mso-width-relative:page;mso-height-relative:page;" fillcolor="#FF0000" filled="t" stroked="t" coordsize="234315,205105" o:gfxdata="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Btnm3ZAAAACwEAAA8AAAAAAAAAAQAgAAAAIgAAAGRycy9kb3ducmV2LnhtbFBL&#10;AQIUABQAAAAIAIdO4kAJZ1YIoAIAADsFAAAOAAAAAAAAAAEAIAAAACgBAABkcnMvZTJvRG9jLnht&#10;bFBLBQYAAAAABgAGAFkBAAA6BgAAAAA=&#10;" path="m0,78342l89500,78343,117157,0,144814,78343,234314,78342,161906,126761,189564,205104,117157,156685,44750,205104,72408,126761xe">
                      <v:path o:connectlocs="117157,0;0,78342;44750,205104;189564,205104;234314,78342" o:connectangles="247,164,82,82,0"/>
                      <v:fill on="t" focussize="0,0"/>
                      <v:stroke weight="1pt" color="#0D0D0D [3069]" miterlimit="8" joinstyle="miter"/>
                      <v:imagedata o:title=""/>
                      <o:lock v:ext="edit" aspectratio="f"/>
                    </v:shape>
                  </w:pict>
                </mc:Fallback>
              </mc:AlternateContent>
            </w:r>
            <w:r>
              <w:rPr>
                <w:color w:val="auto"/>
                <w:sz w:val="22"/>
              </w:rPr>
              <mc:AlternateContent>
                <mc:Choice Requires="wps">
                  <w:drawing>
                    <wp:anchor distT="0" distB="0" distL="114300" distR="114300" simplePos="0" relativeHeight="251664384" behindDoc="0" locked="0" layoutInCell="1" allowOverlap="1">
                      <wp:simplePos x="0" y="0"/>
                      <wp:positionH relativeFrom="column">
                        <wp:posOffset>2942590</wp:posOffset>
                      </wp:positionH>
                      <wp:positionV relativeFrom="paragraph">
                        <wp:posOffset>526415</wp:posOffset>
                      </wp:positionV>
                      <wp:extent cx="930910" cy="358140"/>
                      <wp:effectExtent l="6350" t="6350" r="53340" b="683260"/>
                      <wp:wrapNone/>
                      <wp:docPr id="21" name="圆角矩形标注 21"/>
                      <wp:cNvGraphicFramePr/>
                      <a:graphic xmlns:a="http://schemas.openxmlformats.org/drawingml/2006/main">
                        <a:graphicData uri="http://schemas.microsoft.com/office/word/2010/wordprocessingShape">
                          <wps:wsp>
                            <wps:cNvSpPr/>
                            <wps:spPr>
                              <a:xfrm>
                                <a:off x="2633345" y="3385820"/>
                                <a:ext cx="930910" cy="358140"/>
                              </a:xfrm>
                              <a:prstGeom prst="wedgeRoundRectCallout">
                                <a:avLst>
                                  <a:gd name="adj1" fmla="val 52609"/>
                                  <a:gd name="adj2" fmla="val 227295"/>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2EA386">
                                  <w:pPr>
                                    <w:jc w:val="center"/>
                                    <w:rPr>
                                      <w:rFonts w:hint="default" w:eastAsia="宋体"/>
                                      <w:b/>
                                      <w:bCs/>
                                      <w:color w:val="FF0000"/>
                                      <w:lang w:val="en-US" w:eastAsia="zh-CN"/>
                                    </w:rPr>
                                  </w:pPr>
                                  <w:r>
                                    <w:rPr>
                                      <w:rFonts w:hint="eastAsia" w:eastAsia="宋体"/>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1.7pt;margin-top:41.45pt;height:28.2pt;width:73.3pt;z-index:251664384;v-text-anchor:middle;mso-width-relative:page;mso-height-relative:page;" filled="f" stroked="t" coordsize="21600,21600" o:gfxdata="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82z&#10;4NgAAAAKAQAADwAAAAAAAAABACAAAAAiAAAAZHJzL2Rvd25yZXYueG1sUEsBAhQAFAAAAAgAh07i&#10;QIgSXsnNAgAAdgUAAA4AAAAAAAAAAQAgAAAAJwEAAGRycy9lMm9Eb2MueG1sUEsFBgAAAAAGAAYA&#10;WQEAAGYGAAAAAA==&#10;" adj="22164,59896,14400">
                      <v:fill on="f" focussize="0,0"/>
                      <v:stroke weight="1pt" color="#FF0000 [2404]" miterlimit="8" joinstyle="miter"/>
                      <v:imagedata o:title=""/>
                      <o:lock v:ext="edit" aspectratio="f"/>
                      <v:textbox>
                        <w:txbxContent>
                          <w:p w14:paraId="412EA386">
                            <w:pPr>
                              <w:jc w:val="center"/>
                              <w:rPr>
                                <w:rFonts w:hint="default" w:eastAsia="宋体"/>
                                <w:b/>
                                <w:bCs/>
                                <w:color w:val="FF0000"/>
                                <w:lang w:val="en-US" w:eastAsia="zh-CN"/>
                              </w:rPr>
                            </w:pPr>
                            <w:r>
                              <w:rPr>
                                <w:rFonts w:hint="eastAsia" w:eastAsia="宋体"/>
                                <w:b/>
                                <w:bCs/>
                                <w:color w:val="FF0000"/>
                                <w:lang w:val="en-US" w:eastAsia="zh-CN"/>
                              </w:rPr>
                              <w:t>项目位置</w:t>
                            </w:r>
                          </w:p>
                        </w:txbxContent>
                      </v:textbox>
                    </v:shape>
                  </w:pict>
                </mc:Fallback>
              </mc:AlternateContent>
            </w:r>
            <w:r>
              <w:rPr>
                <w:rFonts w:hint="default" w:ascii="Times New Roman" w:hAnsi="Times New Roman" w:cs="Times New Roman"/>
                <w:color w:val="auto"/>
              </w:rPr>
              <w:drawing>
                <wp:inline distT="0" distB="0" distL="114300" distR="114300">
                  <wp:extent cx="4754880" cy="6735445"/>
                  <wp:effectExtent l="9525" t="9525" r="17145" b="17780"/>
                  <wp:docPr id="17" name="图片 4" descr="78f3d18833ce67903d4d2bb064f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78f3d18833ce67903d4d2bb064fe325"/>
                          <pic:cNvPicPr>
                            <a:picLocks noChangeAspect="1"/>
                          </pic:cNvPicPr>
                        </pic:nvPicPr>
                        <pic:blipFill>
                          <a:blip r:embed="rId14"/>
                          <a:srcRect b="-408"/>
                          <a:stretch>
                            <a:fillRect/>
                          </a:stretch>
                        </pic:blipFill>
                        <pic:spPr>
                          <a:xfrm>
                            <a:off x="0" y="0"/>
                            <a:ext cx="4754880" cy="6735445"/>
                          </a:xfrm>
                          <a:prstGeom prst="rect">
                            <a:avLst/>
                          </a:prstGeom>
                          <a:noFill/>
                          <a:ln>
                            <a:solidFill>
                              <a:schemeClr val="tx1"/>
                            </a:solidFill>
                          </a:ln>
                        </pic:spPr>
                      </pic:pic>
                    </a:graphicData>
                  </a:graphic>
                </wp:inline>
              </w:drawing>
            </w:r>
          </w:p>
          <w:p w14:paraId="6E3FFB0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图3-1 陕西省主体功能区划图</w:t>
            </w:r>
          </w:p>
          <w:p w14:paraId="174828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生态功能区划图见图3-2。</w:t>
            </w:r>
          </w:p>
          <w:p w14:paraId="485580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3638550</wp:posOffset>
                      </wp:positionH>
                      <wp:positionV relativeFrom="paragraph">
                        <wp:posOffset>797560</wp:posOffset>
                      </wp:positionV>
                      <wp:extent cx="948690" cy="403860"/>
                      <wp:effectExtent l="6350" t="6350" r="16510" b="599440"/>
                      <wp:wrapNone/>
                      <wp:docPr id="20" name="圆角矩形标注 20"/>
                      <wp:cNvGraphicFramePr/>
                      <a:graphic xmlns:a="http://schemas.openxmlformats.org/drawingml/2006/main">
                        <a:graphicData uri="http://schemas.microsoft.com/office/word/2010/wordprocessingShape">
                          <wps:wsp>
                            <wps:cNvSpPr/>
                            <wps:spPr>
                              <a:xfrm>
                                <a:off x="0" y="0"/>
                                <a:ext cx="948690" cy="403860"/>
                              </a:xfrm>
                              <a:prstGeom prst="wedgeRoundRectCallout">
                                <a:avLst>
                                  <a:gd name="adj1" fmla="val 35809"/>
                                  <a:gd name="adj2" fmla="val 186949"/>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AF79759">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6.5pt;margin-top:62.8pt;height:31.8pt;width:74.7pt;z-index:251662336;v-text-anchor:middle;mso-width-relative:page;mso-height-relative:page;" filled="f" stroked="t" coordsize="21600,21600" o:gfxdata="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7LY+3aAAAACwEAAA8A&#10;AAAAAAAAAQAgAAAAIgAAAGRycy9kb3ducmV2LnhtbFBLAQIUABQAAAAIAIdO4kAGOdGJwAIAAGoF&#10;AAAOAAAAAAAAAAEAIAAAACkBAABkcnMvZTJvRG9jLnhtbFBLBQYAAAAABgAGAFkBAABbBgAAAAA=&#10;" adj="18535,51181,14400">
                      <v:fill on="f" focussize="0,0"/>
                      <v:stroke weight="1pt" color="#FF0000 [2404]" miterlimit="8" joinstyle="miter"/>
                      <v:imagedata o:title=""/>
                      <o:lock v:ext="edit" aspectratio="f"/>
                      <v:textbox>
                        <w:txbxContent>
                          <w:p w14:paraId="7AF79759">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v:textbox>
                    </v:shape>
                  </w:pict>
                </mc:Fallback>
              </mc:AlternateContent>
            </w:r>
            <w:r>
              <w:rPr>
                <w:rFonts w:hint="default" w:ascii="Times New Roman" w:hAnsi="Times New Roman" w:cs="Times New Roman"/>
                <w:color w:val="auto"/>
                <w:sz w:val="22"/>
              </w:rPr>
              <mc:AlternateContent>
                <mc:Choice Requires="wps">
                  <w:drawing>
                    <wp:anchor distT="0" distB="0" distL="114300" distR="114300" simplePos="0" relativeHeight="251661312" behindDoc="0" locked="0" layoutInCell="1" allowOverlap="1">
                      <wp:simplePos x="0" y="0"/>
                      <wp:positionH relativeFrom="column">
                        <wp:posOffset>4382770</wp:posOffset>
                      </wp:positionH>
                      <wp:positionV relativeFrom="paragraph">
                        <wp:posOffset>1670050</wp:posOffset>
                      </wp:positionV>
                      <wp:extent cx="263525" cy="248920"/>
                      <wp:effectExtent l="19685" t="20320" r="21590" b="16510"/>
                      <wp:wrapNone/>
                      <wp:docPr id="19" name="五角星 19"/>
                      <wp:cNvGraphicFramePr/>
                      <a:graphic xmlns:a="http://schemas.openxmlformats.org/drawingml/2006/main">
                        <a:graphicData uri="http://schemas.microsoft.com/office/word/2010/wordprocessingShape">
                          <wps:wsp>
                            <wps:cNvSpPr/>
                            <wps:spPr>
                              <a:xfrm>
                                <a:off x="5631180" y="2743200"/>
                                <a:ext cx="263525" cy="248920"/>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1pt;margin-top:131.5pt;height:19.6pt;width:20.75pt;z-index:251661312;v-text-anchor:middle;mso-width-relative:page;mso-height-relative:page;" fillcolor="#FF0000" filled="t" stroked="t" coordsize="263525,248920" o:gfxdata="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ki0eC2AAAAAsBAAAPAAAAAAAA&#10;AAEAIAAAACIAAABkcnMvZG93bnJldi54bWxQSwECFAAUAAAACACHTuJA6bA4VIQCAAAFBQAADgAA&#10;AAAAAAABACAAAAAnAQAAZHJzL2Uyb0RvYy54bWxQSwUGAAAAAAYABgBZAQAAHQYAAAAA&#10;" path="m0,95078l100658,95079,131762,0,162866,95079,263524,95078,182090,153840,213196,248919,131762,190156,50328,248919,81434,153840xe">
                      <v:path o:connectlocs="131762,0;0,95078;50328,248919;213196,248919;263524,95078" o:connectangles="247,164,82,82,0"/>
                      <v:fill on="t" focussize="0,0"/>
                      <v:stroke weight="1pt" color="#000000 [3213]" miterlimit="8" joinstyle="miter"/>
                      <v:imagedata o:title=""/>
                      <o:lock v:ext="edit" aspectratio="f"/>
                    </v:shape>
                  </w:pict>
                </mc:Fallback>
              </mc:AlternateContent>
            </w:r>
            <w:r>
              <w:rPr>
                <w:rFonts w:hint="default" w:ascii="Times New Roman" w:hAnsi="Times New Roman" w:cs="Times New Roman"/>
                <w:color w:val="auto"/>
              </w:rPr>
              <w:drawing>
                <wp:inline distT="0" distB="0" distL="114300" distR="114300">
                  <wp:extent cx="5372100" cy="6767830"/>
                  <wp:effectExtent l="9525" t="9525" r="9525" b="23495"/>
                  <wp:docPr id="18" name="图片 5" descr="65faaeef0722c45aed252ee0c1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65faaeef0722c45aed252ee0c126857"/>
                          <pic:cNvPicPr>
                            <a:picLocks noChangeAspect="1"/>
                          </pic:cNvPicPr>
                        </pic:nvPicPr>
                        <pic:blipFill>
                          <a:blip r:embed="rId15"/>
                          <a:stretch>
                            <a:fillRect/>
                          </a:stretch>
                        </pic:blipFill>
                        <pic:spPr>
                          <a:xfrm>
                            <a:off x="0" y="0"/>
                            <a:ext cx="5372100" cy="6767830"/>
                          </a:xfrm>
                          <a:prstGeom prst="rect">
                            <a:avLst/>
                          </a:prstGeom>
                          <a:noFill/>
                          <a:ln>
                            <a:solidFill>
                              <a:schemeClr val="tx1"/>
                            </a:solidFill>
                          </a:ln>
                        </pic:spPr>
                      </pic:pic>
                    </a:graphicData>
                  </a:graphic>
                </wp:inline>
              </w:drawing>
            </w:r>
          </w:p>
          <w:p w14:paraId="492074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图3-2 陕西省生态功能区划图</w:t>
            </w:r>
          </w:p>
          <w:p w14:paraId="62E48A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2、土地利用现状</w:t>
            </w:r>
          </w:p>
          <w:p w14:paraId="519B01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根据《榆林市投资项目选址“一张图”控制线检测报告》202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2297</w:t>
            </w:r>
            <w:r>
              <w:rPr>
                <w:rFonts w:hint="default" w:ascii="Times New Roman" w:hAnsi="Times New Roman" w:eastAsia="宋体" w:cs="Times New Roman"/>
                <w:b w:val="0"/>
                <w:bCs w:val="0"/>
                <w:color w:val="auto"/>
                <w:sz w:val="24"/>
                <w:szCs w:val="24"/>
                <w:vertAlign w:val="baseline"/>
                <w:lang w:val="en-US" w:eastAsia="zh-CN"/>
              </w:rPr>
              <w:t>）号，本项目土地利用类型为林地、草地、园地。</w:t>
            </w:r>
          </w:p>
          <w:p w14:paraId="6D3D66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项目土地利用现状图如下：</w:t>
            </w:r>
          </w:p>
          <w:p w14:paraId="4690D0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color w:val="auto"/>
              </w:rPr>
              <w:drawing>
                <wp:inline distT="0" distB="0" distL="114300" distR="114300">
                  <wp:extent cx="5269865" cy="6505575"/>
                  <wp:effectExtent l="0" t="0" r="698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269865" cy="6505575"/>
                          </a:xfrm>
                          <a:prstGeom prst="rect">
                            <a:avLst/>
                          </a:prstGeom>
                          <a:noFill/>
                          <a:ln>
                            <a:noFill/>
                          </a:ln>
                        </pic:spPr>
                      </pic:pic>
                    </a:graphicData>
                  </a:graphic>
                </wp:inline>
              </w:drawing>
            </w:r>
          </w:p>
          <w:p w14:paraId="2F65AD6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图3-3   </w:t>
            </w:r>
            <w:r>
              <w:rPr>
                <w:rFonts w:hint="eastAsia" w:ascii="Times New Roman" w:hAnsi="Times New Roman" w:eastAsia="宋体" w:cs="Times New Roman"/>
                <w:b/>
                <w:bCs/>
                <w:color w:val="auto"/>
                <w:sz w:val="21"/>
                <w:szCs w:val="21"/>
                <w:vertAlign w:val="baseline"/>
                <w:lang w:val="en-US" w:eastAsia="zh-CN"/>
              </w:rPr>
              <w:t>米107-3MH</w:t>
            </w:r>
            <w:r>
              <w:rPr>
                <w:rFonts w:hint="default" w:ascii="Times New Roman" w:hAnsi="Times New Roman" w:eastAsia="宋体" w:cs="Times New Roman"/>
                <w:b/>
                <w:bCs/>
                <w:color w:val="auto"/>
                <w:sz w:val="21"/>
                <w:szCs w:val="21"/>
                <w:vertAlign w:val="baseline"/>
                <w:lang w:val="en-US" w:eastAsia="zh-CN"/>
              </w:rPr>
              <w:t>井场土地利用现状图</w:t>
            </w:r>
          </w:p>
          <w:p w14:paraId="6F7A6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3、植被环境现状</w:t>
            </w:r>
          </w:p>
          <w:p w14:paraId="0BFCD9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植被类型及地理分布特征，佳县植被可分为三个区，即北部防风固沙林带区，西南丘陵沟壑农作物种植区，东南黄河沿岸土石天然草地和枣林区。项目所在地属北部防风固沙林带区，主要由乔木林地、灌木林地组成。</w:t>
            </w:r>
          </w:p>
          <w:p w14:paraId="5FD825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4、动物资源现状</w:t>
            </w:r>
          </w:p>
          <w:p w14:paraId="65C2DD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根据野外调查资料及现场调查，调查评价区未见珍稀、濒危野生动物和保护物种，小型野生动物较多，主要是松鼠、田鼠、草兔、蛇等。</w:t>
            </w:r>
          </w:p>
          <w:p w14:paraId="6C2248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二、环境空气现状</w:t>
            </w:r>
          </w:p>
          <w:p w14:paraId="07967E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1、大气环境</w:t>
            </w:r>
          </w:p>
          <w:p w14:paraId="5AA018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（1）区域现状评价</w:t>
            </w:r>
          </w:p>
          <w:p w14:paraId="594E41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本项目位于榆林市佳县，本次优先采用国家或地方生态环境主管部门公开发布的评价基准年环境质量公告或环境质量报告中的数据或结论。本次评价环境空气质量现状数据陕西省生态环境厅办公室202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年1月</w:t>
            </w:r>
            <w:r>
              <w:rPr>
                <w:rFonts w:hint="eastAsia" w:ascii="Times New Roman" w:hAnsi="Times New Roman" w:eastAsia="宋体" w:cs="Times New Roman"/>
                <w:b w:val="0"/>
                <w:bCs w:val="0"/>
                <w:color w:val="auto"/>
                <w:sz w:val="24"/>
                <w:szCs w:val="24"/>
                <w:vertAlign w:val="baseline"/>
                <w:lang w:val="en-US" w:eastAsia="zh-CN"/>
              </w:rPr>
              <w:t>21</w:t>
            </w:r>
            <w:r>
              <w:rPr>
                <w:rFonts w:hint="default" w:ascii="Times New Roman" w:hAnsi="Times New Roman" w:eastAsia="宋体" w:cs="Times New Roman"/>
                <w:b w:val="0"/>
                <w:bCs w:val="0"/>
                <w:color w:val="auto"/>
                <w:sz w:val="24"/>
                <w:szCs w:val="24"/>
                <w:vertAlign w:val="baseline"/>
                <w:lang w:val="en-US" w:eastAsia="zh-CN"/>
              </w:rPr>
              <w:t>日发布的环保快报《202</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年1～12月全省环境空气质量状况》中佳县环境空气质量监测数据对该项目空气质量进行评价，具体统计数据见表3-1。</w:t>
            </w:r>
          </w:p>
          <w:p w14:paraId="48FF46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表3-1   202</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年佳县环境空气质量状况统计表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070"/>
              <w:gridCol w:w="1530"/>
              <w:gridCol w:w="1130"/>
              <w:gridCol w:w="1500"/>
              <w:gridCol w:w="1165"/>
            </w:tblGrid>
            <w:tr w14:paraId="045E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150B88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2070" w:type="dxa"/>
                  <w:vAlign w:val="center"/>
                </w:tcPr>
                <w:p w14:paraId="77E685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年评价指标</w:t>
                  </w:r>
                </w:p>
              </w:tc>
              <w:tc>
                <w:tcPr>
                  <w:tcW w:w="1530" w:type="dxa"/>
                  <w:vAlign w:val="center"/>
                </w:tcPr>
                <w:p w14:paraId="25B7D3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现状浓度</w:t>
                  </w:r>
                </w:p>
              </w:tc>
              <w:tc>
                <w:tcPr>
                  <w:tcW w:w="1130" w:type="dxa"/>
                  <w:vAlign w:val="center"/>
                </w:tcPr>
                <w:p w14:paraId="2D6E8B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标准值</w:t>
                  </w:r>
                </w:p>
              </w:tc>
              <w:tc>
                <w:tcPr>
                  <w:tcW w:w="1500" w:type="dxa"/>
                  <w:vAlign w:val="center"/>
                </w:tcPr>
                <w:p w14:paraId="0B03B7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占标率</w:t>
                  </w:r>
                </w:p>
              </w:tc>
              <w:tc>
                <w:tcPr>
                  <w:tcW w:w="1165" w:type="dxa"/>
                  <w:vAlign w:val="center"/>
                </w:tcPr>
                <w:p w14:paraId="43046F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达标情况</w:t>
                  </w:r>
                </w:p>
              </w:tc>
            </w:tr>
            <w:tr w14:paraId="5EBE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E4F80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070" w:type="dxa"/>
                  <w:vAlign w:val="center"/>
                </w:tcPr>
                <w:p w14:paraId="106269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37A667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0915A8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3CC64A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13.33%</w:t>
                  </w:r>
                </w:p>
              </w:tc>
              <w:tc>
                <w:tcPr>
                  <w:tcW w:w="1165" w:type="dxa"/>
                  <w:vAlign w:val="center"/>
                </w:tcPr>
                <w:p w14:paraId="09F467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1464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9CEE7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2</w:t>
                  </w:r>
                </w:p>
              </w:tc>
              <w:tc>
                <w:tcPr>
                  <w:tcW w:w="2070" w:type="dxa"/>
                  <w:vAlign w:val="center"/>
                </w:tcPr>
                <w:p w14:paraId="12F19E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03D545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0</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719C50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05F528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036C45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618A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4C85A9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PM</w:t>
                  </w:r>
                  <w:r>
                    <w:rPr>
                      <w:rFonts w:hint="default" w:ascii="Times New Roman" w:hAnsi="Times New Roman" w:eastAsia="宋体" w:cs="Times New Roman"/>
                      <w:b w:val="0"/>
                      <w:bCs w:val="0"/>
                      <w:color w:val="auto"/>
                      <w:sz w:val="21"/>
                      <w:szCs w:val="21"/>
                      <w:vertAlign w:val="subscript"/>
                      <w:lang w:val="en-US" w:eastAsia="zh-CN"/>
                    </w:rPr>
                    <w:t>10</w:t>
                  </w:r>
                </w:p>
              </w:tc>
              <w:tc>
                <w:tcPr>
                  <w:tcW w:w="2070" w:type="dxa"/>
                  <w:vAlign w:val="center"/>
                </w:tcPr>
                <w:p w14:paraId="24EE2C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3A168E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3FAACE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69A7BA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57.14</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083975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79D5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5CCCE2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PM</w:t>
                  </w:r>
                  <w:r>
                    <w:rPr>
                      <w:rFonts w:hint="default" w:ascii="Times New Roman" w:hAnsi="Times New Roman" w:eastAsia="宋体" w:cs="Times New Roman"/>
                      <w:b w:val="0"/>
                      <w:bCs w:val="0"/>
                      <w:color w:val="auto"/>
                      <w:sz w:val="21"/>
                      <w:szCs w:val="21"/>
                      <w:vertAlign w:val="subscript"/>
                      <w:lang w:val="en-US" w:eastAsia="zh-CN"/>
                    </w:rPr>
                    <w:t>2.5</w:t>
                  </w:r>
                </w:p>
              </w:tc>
              <w:tc>
                <w:tcPr>
                  <w:tcW w:w="2070" w:type="dxa"/>
                  <w:vAlign w:val="center"/>
                </w:tcPr>
                <w:p w14:paraId="2A3504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4ACF0B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72332F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5EBF6F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71.43</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6DB279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2C76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2667E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w:t>
                  </w:r>
                </w:p>
              </w:tc>
              <w:tc>
                <w:tcPr>
                  <w:tcW w:w="2070" w:type="dxa"/>
                  <w:vAlign w:val="center"/>
                </w:tcPr>
                <w:p w14:paraId="26E0E3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第95百分位日平均质量浓度</w:t>
                  </w:r>
                </w:p>
              </w:tc>
              <w:tc>
                <w:tcPr>
                  <w:tcW w:w="1530" w:type="dxa"/>
                  <w:vAlign w:val="center"/>
                </w:tcPr>
                <w:p w14:paraId="31CD91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14527F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4mg/m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3EF0EC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370110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01EF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1C560F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O</w:t>
                  </w:r>
                  <w:r>
                    <w:rPr>
                      <w:rFonts w:hint="default" w:ascii="Times New Roman" w:hAnsi="Times New Roman" w:eastAsia="宋体" w:cs="Times New Roman"/>
                      <w:b w:val="0"/>
                      <w:bCs w:val="0"/>
                      <w:color w:val="auto"/>
                      <w:sz w:val="21"/>
                      <w:szCs w:val="21"/>
                      <w:vertAlign w:val="subscript"/>
                      <w:lang w:val="en-US" w:eastAsia="zh-CN"/>
                    </w:rPr>
                    <w:t>3</w:t>
                  </w:r>
                </w:p>
              </w:tc>
              <w:tc>
                <w:tcPr>
                  <w:tcW w:w="2070" w:type="dxa"/>
                  <w:vAlign w:val="center"/>
                </w:tcPr>
                <w:p w14:paraId="129C8A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第90百分位8h平均质量浓度</w:t>
                  </w:r>
                </w:p>
              </w:tc>
              <w:tc>
                <w:tcPr>
                  <w:tcW w:w="1530" w:type="dxa"/>
                  <w:vAlign w:val="center"/>
                </w:tcPr>
                <w:p w14:paraId="062523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64</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13C6E5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27E6CA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102.5</w:t>
                  </w:r>
                  <w:r>
                    <w:rPr>
                      <w:rFonts w:hint="default" w:ascii="Times New Roman" w:hAnsi="Times New Roman" w:eastAsia="宋体" w:cs="Times New Roman"/>
                      <w:b w:val="0"/>
                      <w:bCs w:val="0"/>
                      <w:color w:val="auto"/>
                      <w:sz w:val="21"/>
                      <w:szCs w:val="21"/>
                      <w:vertAlign w:val="baseline"/>
                      <w:lang w:val="en-US" w:eastAsia="zh-CN"/>
                    </w:rPr>
                    <w:t>%</w:t>
                  </w:r>
                </w:p>
              </w:tc>
              <w:tc>
                <w:tcPr>
                  <w:tcW w:w="1165" w:type="dxa"/>
                  <w:vAlign w:val="center"/>
                </w:tcPr>
                <w:p w14:paraId="46DC11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w:t>
                  </w:r>
                  <w:r>
                    <w:rPr>
                      <w:rFonts w:hint="default" w:ascii="Times New Roman" w:hAnsi="Times New Roman" w:eastAsia="宋体" w:cs="Times New Roman"/>
                      <w:b w:val="0"/>
                      <w:bCs w:val="0"/>
                      <w:color w:val="auto"/>
                      <w:sz w:val="21"/>
                      <w:szCs w:val="21"/>
                      <w:vertAlign w:val="baseline"/>
                      <w:lang w:val="en-US" w:eastAsia="zh-CN"/>
                    </w:rPr>
                    <w:t>达标</w:t>
                  </w:r>
                </w:p>
              </w:tc>
            </w:tr>
          </w:tbl>
          <w:p w14:paraId="2D217D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由表3-1可知，项目所在区域PM</w:t>
            </w:r>
            <w:r>
              <w:rPr>
                <w:rFonts w:hint="default" w:ascii="Times New Roman" w:hAnsi="Times New Roman" w:eastAsia="宋体" w:cs="Times New Roman"/>
                <w:b w:val="0"/>
                <w:bCs w:val="0"/>
                <w:color w:val="auto"/>
                <w:sz w:val="24"/>
                <w:szCs w:val="24"/>
                <w:vertAlign w:val="subscript"/>
                <w:lang w:val="en-US" w:eastAsia="zh-CN"/>
              </w:rPr>
              <w:t>10</w:t>
            </w:r>
            <w:r>
              <w:rPr>
                <w:rFonts w:hint="default" w:ascii="Times New Roman" w:hAnsi="Times New Roman" w:eastAsia="宋体" w:cs="Times New Roman"/>
                <w:b w:val="0"/>
                <w:bCs w:val="0"/>
                <w:color w:val="auto"/>
                <w:sz w:val="24"/>
                <w:szCs w:val="24"/>
                <w:vertAlign w:val="baseline"/>
                <w:lang w:val="en-US" w:eastAsia="zh-CN"/>
              </w:rPr>
              <w:t>年平均质量浓度、SO</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的年平均质量浓度、NO</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的年平均质量浓度、CO第95百分位浓度、PM</w:t>
            </w:r>
            <w:r>
              <w:rPr>
                <w:rFonts w:hint="default" w:ascii="Times New Roman" w:hAnsi="Times New Roman" w:eastAsia="宋体" w:cs="Times New Roman"/>
                <w:b w:val="0"/>
                <w:bCs w:val="0"/>
                <w:color w:val="auto"/>
                <w:sz w:val="24"/>
                <w:szCs w:val="24"/>
                <w:vertAlign w:val="subscript"/>
                <w:lang w:val="en-US" w:eastAsia="zh-CN"/>
              </w:rPr>
              <w:t>2.5</w:t>
            </w:r>
            <w:r>
              <w:rPr>
                <w:rFonts w:hint="default" w:ascii="Times New Roman" w:hAnsi="Times New Roman" w:eastAsia="宋体" w:cs="Times New Roman"/>
                <w:b w:val="0"/>
                <w:bCs w:val="0"/>
                <w:color w:val="auto"/>
                <w:sz w:val="24"/>
                <w:szCs w:val="24"/>
                <w:vertAlign w:val="baseline"/>
                <w:lang w:val="en-US" w:eastAsia="zh-CN"/>
              </w:rPr>
              <w:t>的年平均质量浓度符合《环境空气质量标准》（GB3095-2012）二级标准要求，O</w:t>
            </w:r>
            <w:r>
              <w:rPr>
                <w:rFonts w:hint="default" w:ascii="Times New Roman" w:hAnsi="Times New Roman" w:eastAsia="宋体" w:cs="Times New Roman"/>
                <w:b w:val="0"/>
                <w:bCs w:val="0"/>
                <w:color w:val="auto"/>
                <w:sz w:val="24"/>
                <w:szCs w:val="24"/>
                <w:vertAlign w:val="subscript"/>
                <w:lang w:val="en-US" w:eastAsia="zh-CN"/>
              </w:rPr>
              <w:t xml:space="preserve">3 </w:t>
            </w:r>
            <w:r>
              <w:rPr>
                <w:rFonts w:hint="default" w:ascii="Times New Roman" w:hAnsi="Times New Roman" w:eastAsia="宋体" w:cs="Times New Roman"/>
                <w:b w:val="0"/>
                <w:bCs w:val="0"/>
                <w:color w:val="auto"/>
                <w:sz w:val="24"/>
                <w:szCs w:val="24"/>
                <w:vertAlign w:val="baseline"/>
                <w:lang w:val="en-US" w:eastAsia="zh-CN"/>
              </w:rPr>
              <w:t>第90百分位浓度不符合《环境空气质量标准》（GB3095-2012）二级标准要求。</w:t>
            </w:r>
          </w:p>
          <w:p w14:paraId="67A86F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综上所述，项目所在区域为环境空气质量为不达标区。</w:t>
            </w:r>
          </w:p>
          <w:p w14:paraId="611070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2、声环境</w:t>
            </w:r>
          </w:p>
          <w:p w14:paraId="399C7B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项目场地外周边50m范围内不存在声环境保护目标，不需要开展声环境现状监测。</w:t>
            </w:r>
          </w:p>
          <w:p w14:paraId="5F7E17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3、地下水</w:t>
            </w:r>
          </w:p>
          <w:p w14:paraId="4F0BF5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依据建设项目环境影响报告表编制技术指南</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生态影响类</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试行</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中“水、生态、土壤等其他环境要素参照环境影响评价相关技术导则开展补充监测和调查”。对照《环境影响评价技术导则地下水环境》</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HJ610-2016</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项目行业类别为</w:t>
            </w:r>
            <w:r>
              <w:rPr>
                <w:rFonts w:hint="eastAsia" w:ascii="Times New Roman" w:hAnsi="Times New Roman" w:eastAsia="宋体" w:cs="Times New Roman"/>
                <w:b w:val="0"/>
                <w:bCs w:val="0"/>
                <w:color w:val="auto"/>
                <w:sz w:val="24"/>
                <w:szCs w:val="24"/>
                <w:vertAlign w:val="baseline"/>
                <w:lang w:val="en-US" w:eastAsia="zh-CN"/>
              </w:rPr>
              <w:t>“C</w:t>
            </w:r>
            <w:r>
              <w:rPr>
                <w:rFonts w:hint="default" w:ascii="Times New Roman" w:hAnsi="Times New Roman" w:eastAsia="宋体" w:cs="Times New Roman"/>
                <w:b w:val="0"/>
                <w:bCs w:val="0"/>
                <w:color w:val="auto"/>
                <w:sz w:val="24"/>
                <w:szCs w:val="24"/>
                <w:vertAlign w:val="baseline"/>
                <w:lang w:val="en-US" w:eastAsia="zh-CN"/>
              </w:rPr>
              <w:t>地质勘査 24 矿产资源地质勘查</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包括勘探活动</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，属于地下水Ⅳ类建设项目，</w:t>
            </w:r>
            <w:r>
              <w:rPr>
                <w:rFonts w:hint="eastAsia" w:ascii="Times New Roman" w:hAnsi="Times New Roman" w:eastAsia="宋体" w:cs="Times New Roman"/>
                <w:b w:val="0"/>
                <w:bCs w:val="0"/>
                <w:color w:val="auto"/>
                <w:sz w:val="24"/>
                <w:szCs w:val="24"/>
                <w:vertAlign w:val="baseline"/>
                <w:lang w:val="en-US" w:eastAsia="zh-CN"/>
              </w:rPr>
              <w:t>且</w:t>
            </w:r>
            <w:r>
              <w:rPr>
                <w:rFonts w:hint="default" w:ascii="Times New Roman" w:hAnsi="Times New Roman" w:eastAsia="宋体" w:cs="Times New Roman"/>
                <w:b w:val="0"/>
                <w:bCs w:val="0"/>
                <w:color w:val="auto"/>
                <w:sz w:val="24"/>
                <w:szCs w:val="24"/>
                <w:vertAlign w:val="baseline"/>
                <w:lang w:val="en-US" w:eastAsia="zh-CN"/>
              </w:rPr>
              <w:t>本项目地下水污染防治措施按照“源头控制、分区防治、污染监控、应急响应”相结合的原则，从污染物的产生、入渗、扩散、应急响应进行控制，项目占地区域采用分区防渗，可以避免发生地下水污染，因此不开展地下水环境质量现状调查。</w:t>
            </w:r>
          </w:p>
          <w:p w14:paraId="4B740D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4、土壤</w:t>
            </w:r>
          </w:p>
          <w:p w14:paraId="2480A5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依据建设项目环境影响报告表编制技术指南（生态影响类）（试行）中“水、生态、土壤等其他环境要素参照环境影响评价相关技术导则开展补充监测和调查”，根据《环境影响评价技术导则土壤环境（试行）》(HJ964-2018）附录A土壤环境影响评价行业分类表，本项目为天然气探井工程，属于“其他行业”，为土壤Ⅳ类建设项目，无需开展土壤环境质量现状调查。</w:t>
            </w:r>
          </w:p>
          <w:p w14:paraId="55D23A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本项目通过采取土壤环境污染防治措施后，不存在土壤污染途径，因此不开展土壤环境质量现状调查。</w:t>
            </w:r>
          </w:p>
        </w:tc>
      </w:tr>
      <w:tr w14:paraId="2F40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1650E56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与项目有关的原有环境污染和生态破坏问题</w:t>
            </w:r>
          </w:p>
        </w:tc>
        <w:tc>
          <w:tcPr>
            <w:tcW w:w="8521" w:type="dxa"/>
            <w:vAlign w:val="center"/>
          </w:tcPr>
          <w:p w14:paraId="531D39B4">
            <w:pPr>
              <w:numPr>
                <w:ilvl w:val="0"/>
                <w:numId w:val="0"/>
              </w:numPr>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p>
          <w:p w14:paraId="67FE911C">
            <w:pPr>
              <w:numPr>
                <w:ilvl w:val="0"/>
                <w:numId w:val="0"/>
              </w:numPr>
              <w:ind w:firstLine="480" w:firstLineChars="20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本项目为新建项目，不存在原有环境污染和生态破坏问题。</w:t>
            </w:r>
          </w:p>
        </w:tc>
      </w:tr>
      <w:tr w14:paraId="2AB3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7F796B5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生态环境保护目标</w:t>
            </w:r>
          </w:p>
        </w:tc>
        <w:tc>
          <w:tcPr>
            <w:tcW w:w="8521" w:type="dxa"/>
            <w:vAlign w:val="center"/>
          </w:tcPr>
          <w:p w14:paraId="00F628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本项目评价范围内不涉及森林公园、自然保护区、风景名胜区、世界文化和自然遗产地、文物古迹、饮用水源保护区等环境敏感区，不涉及生态红线保护区。</w:t>
            </w:r>
            <w:r>
              <w:rPr>
                <w:rFonts w:hint="eastAsia" w:ascii="Times New Roman" w:hAnsi="Times New Roman" w:eastAsia="宋体" w:cs="Times New Roman"/>
                <w:b w:val="0"/>
                <w:bCs w:val="0"/>
                <w:color w:val="auto"/>
                <w:sz w:val="24"/>
                <w:szCs w:val="24"/>
                <w:vertAlign w:val="baseline"/>
                <w:lang w:val="en-US" w:eastAsia="zh-CN"/>
              </w:rPr>
              <w:t>米107-3MH</w:t>
            </w:r>
            <w:r>
              <w:rPr>
                <w:rFonts w:hint="default" w:ascii="Times New Roman" w:hAnsi="Times New Roman" w:eastAsia="宋体" w:cs="Times New Roman"/>
                <w:b w:val="0"/>
                <w:bCs w:val="0"/>
                <w:color w:val="auto"/>
                <w:sz w:val="24"/>
                <w:szCs w:val="24"/>
                <w:vertAlign w:val="baseline"/>
                <w:lang w:val="en-US" w:eastAsia="zh-CN"/>
              </w:rPr>
              <w:t>井场</w:t>
            </w:r>
            <w:r>
              <w:rPr>
                <w:rFonts w:hint="eastAsia" w:ascii="Times New Roman" w:hAnsi="Times New Roman" w:eastAsia="宋体" w:cs="Times New Roman"/>
                <w:b w:val="0"/>
                <w:bCs w:val="0"/>
                <w:color w:val="auto"/>
                <w:sz w:val="24"/>
                <w:szCs w:val="24"/>
                <w:vertAlign w:val="baseline"/>
                <w:lang w:val="en-US" w:eastAsia="zh-CN"/>
              </w:rPr>
              <w:t>范围内均无大气环境保护目标</w:t>
            </w:r>
            <w:r>
              <w:rPr>
                <w:rFonts w:hint="default" w:ascii="Times New Roman" w:hAnsi="Times New Roman" w:eastAsia="宋体" w:cs="Times New Roman"/>
                <w:b w:val="0"/>
                <w:bCs w:val="0"/>
                <w:color w:val="auto"/>
                <w:sz w:val="24"/>
                <w:szCs w:val="24"/>
                <w:vertAlign w:val="baseline"/>
                <w:lang w:val="en-US" w:eastAsia="zh-CN"/>
              </w:rPr>
              <w:t>。50m范围内</w:t>
            </w:r>
            <w:r>
              <w:rPr>
                <w:rFonts w:hint="eastAsia" w:ascii="Times New Roman" w:hAnsi="Times New Roman" w:eastAsia="宋体" w:cs="Times New Roman"/>
                <w:b w:val="0"/>
                <w:bCs w:val="0"/>
                <w:color w:val="auto"/>
                <w:sz w:val="24"/>
                <w:szCs w:val="24"/>
                <w:vertAlign w:val="baseline"/>
                <w:lang w:val="en-US" w:eastAsia="zh-CN"/>
              </w:rPr>
              <w:t>均</w:t>
            </w:r>
            <w:r>
              <w:rPr>
                <w:rFonts w:hint="default" w:ascii="Times New Roman" w:hAnsi="Times New Roman" w:eastAsia="宋体" w:cs="Times New Roman"/>
                <w:b w:val="0"/>
                <w:bCs w:val="0"/>
                <w:color w:val="auto"/>
                <w:sz w:val="24"/>
                <w:szCs w:val="24"/>
                <w:vertAlign w:val="baseline"/>
                <w:lang w:val="en-US" w:eastAsia="zh-CN"/>
              </w:rPr>
              <w:t>无声环境保护目标。项目环境保护目标见下表</w:t>
            </w:r>
            <w:r>
              <w:rPr>
                <w:rFonts w:hint="eastAsia" w:ascii="Times New Roman" w:hAnsi="Times New Roman" w:eastAsia="宋体" w:cs="Times New Roman"/>
                <w:b w:val="0"/>
                <w:bCs w:val="0"/>
                <w:color w:val="auto"/>
                <w:sz w:val="24"/>
                <w:szCs w:val="24"/>
                <w:vertAlign w:val="baseline"/>
                <w:lang w:val="en-US" w:eastAsia="zh-CN"/>
              </w:rPr>
              <w:t>。</w:t>
            </w:r>
          </w:p>
          <w:p w14:paraId="47558CC7">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表3-4   主要环境保护目标</w:t>
            </w:r>
          </w:p>
          <w:tbl>
            <w:tblPr>
              <w:tblStyle w:val="20"/>
              <w:tblW w:w="84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176"/>
              <w:gridCol w:w="1864"/>
              <w:gridCol w:w="1733"/>
              <w:gridCol w:w="1237"/>
              <w:gridCol w:w="1494"/>
            </w:tblGrid>
            <w:tr w14:paraId="52B7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7470CD8D">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要素</w:t>
                  </w:r>
                </w:p>
              </w:tc>
              <w:tc>
                <w:tcPr>
                  <w:tcW w:w="1176" w:type="dxa"/>
                  <w:vAlign w:val="center"/>
                </w:tcPr>
                <w:p w14:paraId="045F5E04">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保护对象</w:t>
                  </w:r>
                </w:p>
              </w:tc>
              <w:tc>
                <w:tcPr>
                  <w:tcW w:w="1864" w:type="dxa"/>
                  <w:vAlign w:val="center"/>
                </w:tcPr>
                <w:p w14:paraId="1BEF9E27">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保护内容</w:t>
                  </w:r>
                </w:p>
                <w:p w14:paraId="70D30696">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（户数/人口数）</w:t>
                  </w:r>
                </w:p>
              </w:tc>
              <w:tc>
                <w:tcPr>
                  <w:tcW w:w="1733" w:type="dxa"/>
                  <w:vAlign w:val="center"/>
                </w:tcPr>
                <w:p w14:paraId="31ADEC77">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环境功能区</w:t>
                  </w:r>
                </w:p>
              </w:tc>
              <w:tc>
                <w:tcPr>
                  <w:tcW w:w="1237" w:type="dxa"/>
                  <w:vAlign w:val="center"/>
                </w:tcPr>
                <w:p w14:paraId="307A810A">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相对厂址方位</w:t>
                  </w:r>
                </w:p>
              </w:tc>
              <w:tc>
                <w:tcPr>
                  <w:tcW w:w="1494" w:type="dxa"/>
                  <w:vAlign w:val="center"/>
                </w:tcPr>
                <w:p w14:paraId="7B33FBDE">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相对厂界最近距离（m）</w:t>
                  </w:r>
                </w:p>
              </w:tc>
            </w:tr>
            <w:tr w14:paraId="2144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6C93A5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w:t>
                  </w:r>
                  <w:r>
                    <w:rPr>
                      <w:rFonts w:hint="eastAsia" w:ascii="Times New Roman" w:hAnsi="Times New Roman" w:eastAsia="宋体" w:cs="Times New Roman"/>
                      <w:color w:val="auto"/>
                      <w:sz w:val="21"/>
                      <w:szCs w:val="21"/>
                      <w:lang w:val="en-US" w:eastAsia="zh-CN"/>
                    </w:rPr>
                    <w:t>米107-3MH</w:t>
                  </w:r>
                </w:p>
              </w:tc>
              <w:tc>
                <w:tcPr>
                  <w:tcW w:w="7504" w:type="dxa"/>
                  <w:gridSpan w:val="5"/>
                  <w:vAlign w:val="center"/>
                </w:tcPr>
                <w:p w14:paraId="5B4258C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Cs/>
                      <w:color w:val="auto"/>
                      <w:sz w:val="21"/>
                      <w:szCs w:val="21"/>
                      <w:lang w:val="en-US" w:eastAsia="zh-CN"/>
                    </w:rPr>
                    <w:t>周边500m范围内无大气环境保护目标</w:t>
                  </w:r>
                </w:p>
              </w:tc>
            </w:tr>
            <w:tr w14:paraId="0EC2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60D4AB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噪声</w:t>
                  </w:r>
                </w:p>
              </w:tc>
              <w:tc>
                <w:tcPr>
                  <w:tcW w:w="1176" w:type="dxa"/>
                  <w:vAlign w:val="center"/>
                </w:tcPr>
                <w:p w14:paraId="7472D63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864" w:type="dxa"/>
                  <w:vAlign w:val="center"/>
                </w:tcPr>
                <w:p w14:paraId="5458F7D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3" w:type="dxa"/>
                  <w:vAlign w:val="center"/>
                </w:tcPr>
                <w:p w14:paraId="1D8E9B4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37" w:type="dxa"/>
                  <w:vAlign w:val="center"/>
                </w:tcPr>
                <w:p w14:paraId="5DFB357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494" w:type="dxa"/>
                  <w:vAlign w:val="center"/>
                </w:tcPr>
                <w:p w14:paraId="75E0BF3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井场外50m范围内无声环境保护目标</w:t>
                  </w:r>
                </w:p>
              </w:tc>
            </w:tr>
            <w:tr w14:paraId="7444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87AA82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w:t>
                  </w:r>
                </w:p>
              </w:tc>
              <w:tc>
                <w:tcPr>
                  <w:tcW w:w="1176" w:type="dxa"/>
                  <w:vAlign w:val="center"/>
                </w:tcPr>
                <w:p w14:paraId="60B97B1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项目周边潜水含水层</w:t>
                  </w:r>
                </w:p>
              </w:tc>
              <w:tc>
                <w:tcPr>
                  <w:tcW w:w="1864" w:type="dxa"/>
                  <w:vAlign w:val="center"/>
                </w:tcPr>
                <w:p w14:paraId="58D6844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地下水水质</w:t>
                  </w:r>
                </w:p>
              </w:tc>
              <w:tc>
                <w:tcPr>
                  <w:tcW w:w="1733" w:type="dxa"/>
                  <w:vAlign w:val="center"/>
                </w:tcPr>
                <w:p w14:paraId="656B09F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《地下水质量标准》（GB/T14848-2017）Ⅲ类</w:t>
                  </w:r>
                </w:p>
              </w:tc>
              <w:tc>
                <w:tcPr>
                  <w:tcW w:w="1237" w:type="dxa"/>
                  <w:vAlign w:val="center"/>
                </w:tcPr>
                <w:p w14:paraId="58C9578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494" w:type="dxa"/>
                  <w:vAlign w:val="center"/>
                </w:tcPr>
                <w:p w14:paraId="379953E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井</w:t>
                  </w:r>
                  <w:r>
                    <w:rPr>
                      <w:rFonts w:hint="default" w:ascii="Times New Roman" w:hAnsi="Times New Roman" w:eastAsia="宋体" w:cs="Times New Roman"/>
                      <w:b w:val="0"/>
                      <w:bCs w:val="0"/>
                      <w:color w:val="auto"/>
                      <w:sz w:val="21"/>
                      <w:szCs w:val="21"/>
                      <w:vertAlign w:val="baseline"/>
                      <w:lang w:val="en-US" w:eastAsia="zh-CN"/>
                    </w:rPr>
                    <w:t>场外500m范围内无地下水集中式</w:t>
                  </w:r>
                </w:p>
                <w:p w14:paraId="6D6214B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饮用水源和热水、矿泉水、温泉等特殊地下水资源</w:t>
                  </w:r>
                </w:p>
              </w:tc>
            </w:tr>
            <w:tr w14:paraId="6ED9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8FBB7D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w:t>
                  </w:r>
                </w:p>
              </w:tc>
              <w:tc>
                <w:tcPr>
                  <w:tcW w:w="1176" w:type="dxa"/>
                  <w:vAlign w:val="center"/>
                </w:tcPr>
                <w:p w14:paraId="6173432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土壤及植被</w:t>
                  </w:r>
                </w:p>
              </w:tc>
              <w:tc>
                <w:tcPr>
                  <w:tcW w:w="1864" w:type="dxa"/>
                  <w:vAlign w:val="center"/>
                </w:tcPr>
                <w:p w14:paraId="4DE61B3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项目区范围及周边植被、水土流失</w:t>
                  </w:r>
                </w:p>
              </w:tc>
              <w:tc>
                <w:tcPr>
                  <w:tcW w:w="1733" w:type="dxa"/>
                  <w:vAlign w:val="center"/>
                </w:tcPr>
                <w:p w14:paraId="35EDCC4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237" w:type="dxa"/>
                  <w:vAlign w:val="center"/>
                </w:tcPr>
                <w:p w14:paraId="517F542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494" w:type="dxa"/>
                  <w:vAlign w:val="center"/>
                </w:tcPr>
                <w:p w14:paraId="1256BF3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bl>
          <w:p w14:paraId="75289073">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tc>
      </w:tr>
      <w:tr w14:paraId="5CF8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6FAD8B7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评价标准</w:t>
            </w:r>
          </w:p>
        </w:tc>
        <w:tc>
          <w:tcPr>
            <w:tcW w:w="8521" w:type="dxa"/>
            <w:vAlign w:val="center"/>
          </w:tcPr>
          <w:p w14:paraId="39EB0C9F">
            <w:pPr>
              <w:adjustRightInd w:val="0"/>
              <w:snapToGrid w:val="0"/>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1、环境质量标准</w:t>
            </w:r>
          </w:p>
          <w:p w14:paraId="60B416BA">
            <w:pPr>
              <w:adjustRightInd w:val="0"/>
              <w:snapToGrid w:val="0"/>
              <w:spacing w:line="360" w:lineRule="auto"/>
              <w:ind w:firstLine="480" w:firstLineChars="200"/>
              <w:jc w:val="both"/>
              <w:rPr>
                <w:rFonts w:hint="default" w:ascii="Times New Roman" w:hAnsi="Times New Roman" w:cs="Times New Roman"/>
                <w:color w:val="auto"/>
                <w:sz w:val="24"/>
                <w:highlight w:val="yellow"/>
              </w:rPr>
            </w:pPr>
            <w:r>
              <w:rPr>
                <w:rFonts w:hint="default" w:ascii="Times New Roman" w:hAnsi="Times New Roman" w:cs="Times New Roman"/>
                <w:color w:val="auto"/>
                <w:sz w:val="24"/>
              </w:rPr>
              <w:t>（1）环境空气质量：基本因子执行《环境空气质量标准》（GB3095-2012）中二级标准。</w:t>
            </w:r>
          </w:p>
          <w:p w14:paraId="3B5409CD">
            <w:pPr>
              <w:pStyle w:val="25"/>
              <w:ind w:right="91" w:firstLine="482"/>
              <w:jc w:val="center"/>
              <w:rPr>
                <w:rFonts w:hint="default" w:ascii="Times New Roman" w:hAnsi="Times New Roman" w:cs="Times New Roman"/>
                <w:b/>
                <w:bCs/>
                <w:color w:val="auto"/>
                <w:sz w:val="21"/>
                <w:szCs w:val="21"/>
                <w:lang w:val="en-US" w:bidi="ar-SA"/>
              </w:rPr>
            </w:pPr>
            <w:r>
              <w:rPr>
                <w:rFonts w:hint="default" w:ascii="Times New Roman" w:hAnsi="Times New Roman" w:cs="Times New Roman"/>
                <w:b/>
                <w:bCs/>
                <w:color w:val="auto"/>
                <w:sz w:val="21"/>
                <w:szCs w:val="21"/>
                <w:lang w:val="en-US" w:bidi="ar-SA"/>
              </w:rPr>
              <w:t>表3-</w:t>
            </w:r>
            <w:r>
              <w:rPr>
                <w:rFonts w:hint="default" w:ascii="Times New Roman" w:hAnsi="Times New Roman" w:cs="Times New Roman"/>
                <w:b/>
                <w:bCs/>
                <w:color w:val="auto"/>
                <w:sz w:val="21"/>
                <w:szCs w:val="21"/>
                <w:lang w:val="en-US" w:eastAsia="zh-CN" w:bidi="ar-SA"/>
              </w:rPr>
              <w:t>5</w:t>
            </w:r>
            <w:r>
              <w:rPr>
                <w:rFonts w:hint="default" w:ascii="Times New Roman" w:hAnsi="Times New Roman" w:cs="Times New Roman"/>
                <w:b/>
                <w:bCs/>
                <w:color w:val="auto"/>
                <w:sz w:val="21"/>
                <w:szCs w:val="21"/>
                <w:lang w:val="en-US" w:bidi="ar-SA"/>
              </w:rPr>
              <w:t xml:space="preserve">  </w:t>
            </w:r>
            <w:r>
              <w:rPr>
                <w:rFonts w:hint="default" w:ascii="Times New Roman" w:hAnsi="Times New Roman" w:cs="Times New Roman"/>
                <w:b/>
                <w:bCs/>
                <w:color w:val="auto"/>
                <w:sz w:val="21"/>
                <w:szCs w:val="21"/>
                <w:lang w:val="en-US" w:eastAsia="zh-CN" w:bidi="ar-SA"/>
              </w:rPr>
              <w:t xml:space="preserve"> </w:t>
            </w:r>
            <w:r>
              <w:rPr>
                <w:rFonts w:hint="default" w:ascii="Times New Roman" w:hAnsi="Times New Roman" w:cs="Times New Roman"/>
                <w:b/>
                <w:bCs/>
                <w:color w:val="auto"/>
                <w:sz w:val="21"/>
                <w:szCs w:val="21"/>
                <w:lang w:val="en-US" w:bidi="ar-SA"/>
              </w:rPr>
              <w:t>环境空气质量标准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2982"/>
              <w:gridCol w:w="1475"/>
              <w:gridCol w:w="1474"/>
            </w:tblGrid>
            <w:tr w14:paraId="7518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120F9F6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2686" w:type="pct"/>
                  <w:gridSpan w:val="2"/>
                  <w:noWrap w:val="0"/>
                  <w:vAlign w:val="center"/>
                </w:tcPr>
                <w:p w14:paraId="7F76F3B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888" w:type="pct"/>
                  <w:vMerge w:val="restart"/>
                  <w:noWrap w:val="0"/>
                  <w:vAlign w:val="center"/>
                </w:tcPr>
                <w:p w14:paraId="19061832">
                  <w:pPr>
                    <w:pStyle w:val="22"/>
                    <w:spacing w:beforeLines="0" w:afterLines="0" w:line="240" w:lineRule="auto"/>
                    <w:ind w:left="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单位</w:t>
                  </w:r>
                </w:p>
              </w:tc>
            </w:tr>
            <w:tr w14:paraId="6A77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10B12CDB">
                  <w:pPr>
                    <w:jc w:val="center"/>
                    <w:rPr>
                      <w:rFonts w:hint="default" w:ascii="Times New Roman" w:hAnsi="Times New Roman" w:cs="Times New Roman"/>
                      <w:b/>
                      <w:bCs/>
                      <w:color w:val="auto"/>
                      <w:sz w:val="21"/>
                      <w:szCs w:val="21"/>
                    </w:rPr>
                  </w:pPr>
                </w:p>
              </w:tc>
              <w:tc>
                <w:tcPr>
                  <w:tcW w:w="1797" w:type="pct"/>
                  <w:noWrap w:val="0"/>
                  <w:vAlign w:val="center"/>
                </w:tcPr>
                <w:p w14:paraId="5D01148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取值时间</w:t>
                  </w:r>
                </w:p>
              </w:tc>
              <w:tc>
                <w:tcPr>
                  <w:tcW w:w="889" w:type="pct"/>
                  <w:noWrap w:val="0"/>
                  <w:vAlign w:val="center"/>
                </w:tcPr>
                <w:p w14:paraId="6D2A45F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二级标准</w:t>
                  </w:r>
                </w:p>
              </w:tc>
              <w:tc>
                <w:tcPr>
                  <w:tcW w:w="888" w:type="pct"/>
                  <w:vMerge w:val="continue"/>
                  <w:noWrap w:val="0"/>
                  <w:vAlign w:val="center"/>
                </w:tcPr>
                <w:p w14:paraId="17E824C6">
                  <w:pPr>
                    <w:pStyle w:val="22"/>
                    <w:spacing w:beforeLines="0" w:afterLines="0" w:line="240" w:lineRule="auto"/>
                    <w:ind w:left="0" w:firstLine="0"/>
                    <w:rPr>
                      <w:rFonts w:hint="default" w:ascii="Times New Roman" w:hAnsi="Times New Roman" w:cs="Times New Roman"/>
                      <w:color w:val="auto"/>
                      <w:sz w:val="21"/>
                      <w:szCs w:val="21"/>
                    </w:rPr>
                  </w:pPr>
                </w:p>
              </w:tc>
            </w:tr>
            <w:tr w14:paraId="5397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1402E493">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797" w:type="pct"/>
                  <w:noWrap w:val="0"/>
                  <w:vAlign w:val="center"/>
                </w:tcPr>
                <w:p w14:paraId="57A53B6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3C4445F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60</w:t>
                  </w:r>
                </w:p>
              </w:tc>
              <w:tc>
                <w:tcPr>
                  <w:tcW w:w="888" w:type="pct"/>
                  <w:vMerge w:val="restart"/>
                  <w:noWrap w:val="0"/>
                  <w:vAlign w:val="center"/>
                </w:tcPr>
                <w:p w14:paraId="5D2A1FE7">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ug/m</w:t>
                  </w:r>
                  <w:r>
                    <w:rPr>
                      <w:rFonts w:hint="default" w:ascii="Times New Roman" w:hAnsi="Times New Roman" w:cs="Times New Roman"/>
                      <w:b w:val="0"/>
                      <w:bCs/>
                      <w:color w:val="auto"/>
                      <w:sz w:val="21"/>
                      <w:szCs w:val="21"/>
                      <w:vertAlign w:val="superscript"/>
                    </w:rPr>
                    <w:t>3</w:t>
                  </w:r>
                </w:p>
              </w:tc>
            </w:tr>
            <w:tr w14:paraId="5389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555B0D6">
                  <w:pPr>
                    <w:widowControl/>
                    <w:jc w:val="center"/>
                    <w:rPr>
                      <w:rFonts w:hint="default" w:ascii="Times New Roman" w:hAnsi="Times New Roman" w:cs="Times New Roman"/>
                      <w:color w:val="auto"/>
                      <w:sz w:val="21"/>
                      <w:szCs w:val="21"/>
                    </w:rPr>
                  </w:pPr>
                </w:p>
              </w:tc>
              <w:tc>
                <w:tcPr>
                  <w:tcW w:w="1797" w:type="pct"/>
                  <w:noWrap w:val="0"/>
                  <w:vAlign w:val="center"/>
                </w:tcPr>
                <w:p w14:paraId="611BEBF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337F457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150</w:t>
                  </w:r>
                </w:p>
              </w:tc>
              <w:tc>
                <w:tcPr>
                  <w:tcW w:w="888" w:type="pct"/>
                  <w:vMerge w:val="continue"/>
                  <w:noWrap w:val="0"/>
                  <w:vAlign w:val="center"/>
                </w:tcPr>
                <w:p w14:paraId="0A00E323">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489B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121C68B6">
                  <w:pPr>
                    <w:widowControl/>
                    <w:jc w:val="center"/>
                    <w:rPr>
                      <w:rFonts w:hint="default" w:ascii="Times New Roman" w:hAnsi="Times New Roman" w:cs="Times New Roman"/>
                      <w:color w:val="auto"/>
                      <w:sz w:val="21"/>
                      <w:szCs w:val="21"/>
                    </w:rPr>
                  </w:pPr>
                </w:p>
              </w:tc>
              <w:tc>
                <w:tcPr>
                  <w:tcW w:w="1797" w:type="pct"/>
                  <w:noWrap w:val="0"/>
                  <w:vAlign w:val="center"/>
                </w:tcPr>
                <w:p w14:paraId="52D646B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842581A">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500</w:t>
                  </w:r>
                </w:p>
              </w:tc>
              <w:tc>
                <w:tcPr>
                  <w:tcW w:w="888" w:type="pct"/>
                  <w:vMerge w:val="continue"/>
                  <w:noWrap w:val="0"/>
                  <w:vAlign w:val="center"/>
                </w:tcPr>
                <w:p w14:paraId="6ABB18F3">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743C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72FFBAE4">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二氧化氮（NO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797" w:type="pct"/>
                  <w:noWrap w:val="0"/>
                  <w:vAlign w:val="center"/>
                </w:tcPr>
                <w:p w14:paraId="7B6A6A3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1721A899">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888" w:type="pct"/>
                  <w:vMerge w:val="continue"/>
                  <w:noWrap w:val="0"/>
                  <w:vAlign w:val="center"/>
                </w:tcPr>
                <w:p w14:paraId="103FEBF8">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1C9C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BF8406D">
                  <w:pPr>
                    <w:widowControl/>
                    <w:jc w:val="center"/>
                    <w:rPr>
                      <w:rFonts w:hint="default" w:ascii="Times New Roman" w:hAnsi="Times New Roman" w:cs="Times New Roman"/>
                      <w:color w:val="auto"/>
                      <w:sz w:val="21"/>
                      <w:szCs w:val="21"/>
                    </w:rPr>
                  </w:pPr>
                </w:p>
              </w:tc>
              <w:tc>
                <w:tcPr>
                  <w:tcW w:w="1797" w:type="pct"/>
                  <w:noWrap w:val="0"/>
                  <w:vAlign w:val="center"/>
                </w:tcPr>
                <w:p w14:paraId="00D541DF">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0A99B01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80</w:t>
                  </w:r>
                </w:p>
              </w:tc>
              <w:tc>
                <w:tcPr>
                  <w:tcW w:w="888" w:type="pct"/>
                  <w:vMerge w:val="continue"/>
                  <w:noWrap w:val="0"/>
                  <w:vAlign w:val="center"/>
                </w:tcPr>
                <w:p w14:paraId="6098AA22">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0406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E21A7BA">
                  <w:pPr>
                    <w:widowControl/>
                    <w:jc w:val="center"/>
                    <w:rPr>
                      <w:rFonts w:hint="default" w:ascii="Times New Roman" w:hAnsi="Times New Roman" w:cs="Times New Roman"/>
                      <w:color w:val="auto"/>
                      <w:sz w:val="21"/>
                      <w:szCs w:val="21"/>
                    </w:rPr>
                  </w:pPr>
                </w:p>
              </w:tc>
              <w:tc>
                <w:tcPr>
                  <w:tcW w:w="1797" w:type="pct"/>
                  <w:noWrap w:val="0"/>
                  <w:vAlign w:val="center"/>
                </w:tcPr>
                <w:p w14:paraId="049B82AC">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253224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88" w:type="pct"/>
                  <w:vMerge w:val="continue"/>
                  <w:noWrap w:val="0"/>
                  <w:vAlign w:val="center"/>
                </w:tcPr>
                <w:p w14:paraId="1432E878">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52BC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C8395F3">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w:t>
                  </w:r>
                </w:p>
              </w:tc>
              <w:tc>
                <w:tcPr>
                  <w:tcW w:w="1797" w:type="pct"/>
                  <w:noWrap w:val="0"/>
                  <w:vAlign w:val="center"/>
                </w:tcPr>
                <w:p w14:paraId="709F7F9C">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52BFEFD2">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70</w:t>
                  </w:r>
                </w:p>
              </w:tc>
              <w:tc>
                <w:tcPr>
                  <w:tcW w:w="888" w:type="pct"/>
                  <w:vMerge w:val="continue"/>
                  <w:noWrap w:val="0"/>
                  <w:vAlign w:val="center"/>
                </w:tcPr>
                <w:p w14:paraId="72AA9516">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6404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CA47CF8">
                  <w:pPr>
                    <w:widowControl/>
                    <w:jc w:val="center"/>
                    <w:rPr>
                      <w:rFonts w:hint="default" w:ascii="Times New Roman" w:hAnsi="Times New Roman" w:cs="Times New Roman"/>
                      <w:color w:val="auto"/>
                      <w:sz w:val="21"/>
                      <w:szCs w:val="21"/>
                    </w:rPr>
                  </w:pPr>
                </w:p>
              </w:tc>
              <w:tc>
                <w:tcPr>
                  <w:tcW w:w="1797" w:type="pct"/>
                  <w:noWrap w:val="0"/>
                  <w:vAlign w:val="center"/>
                </w:tcPr>
                <w:p w14:paraId="5F188FA1">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276330B9">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150</w:t>
                  </w:r>
                </w:p>
              </w:tc>
              <w:tc>
                <w:tcPr>
                  <w:tcW w:w="888" w:type="pct"/>
                  <w:vMerge w:val="continue"/>
                  <w:noWrap w:val="0"/>
                  <w:vAlign w:val="center"/>
                </w:tcPr>
                <w:p w14:paraId="0D12CFE1">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5581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4E3F84F">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w:t>
                  </w:r>
                </w:p>
              </w:tc>
              <w:tc>
                <w:tcPr>
                  <w:tcW w:w="1797" w:type="pct"/>
                  <w:noWrap w:val="0"/>
                  <w:vAlign w:val="center"/>
                </w:tcPr>
                <w:p w14:paraId="7845B2F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12A14BE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35</w:t>
                  </w:r>
                </w:p>
              </w:tc>
              <w:tc>
                <w:tcPr>
                  <w:tcW w:w="888" w:type="pct"/>
                  <w:vMerge w:val="continue"/>
                  <w:noWrap w:val="0"/>
                  <w:vAlign w:val="center"/>
                </w:tcPr>
                <w:p w14:paraId="641777FC">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29C1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45F2BB2">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661D5279">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0FF95CC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75</w:t>
                  </w:r>
                </w:p>
              </w:tc>
              <w:tc>
                <w:tcPr>
                  <w:tcW w:w="888" w:type="pct"/>
                  <w:vMerge w:val="continue"/>
                  <w:noWrap w:val="0"/>
                  <w:vAlign w:val="center"/>
                </w:tcPr>
                <w:p w14:paraId="6C8A2D2A">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3FCC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6C670B6">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一氧化碳（CO）</w:t>
                  </w:r>
                </w:p>
              </w:tc>
              <w:tc>
                <w:tcPr>
                  <w:tcW w:w="1797" w:type="pct"/>
                  <w:noWrap w:val="0"/>
                  <w:vAlign w:val="center"/>
                </w:tcPr>
                <w:p w14:paraId="1287177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547E876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w:t>
                  </w:r>
                </w:p>
              </w:tc>
              <w:tc>
                <w:tcPr>
                  <w:tcW w:w="888" w:type="pct"/>
                  <w:vMerge w:val="restart"/>
                  <w:noWrap w:val="0"/>
                  <w:vAlign w:val="center"/>
                </w:tcPr>
                <w:p w14:paraId="431D21B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r>
            <w:tr w14:paraId="7769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472DDFB8">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49FE807C">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0F25F4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10</w:t>
                  </w:r>
                </w:p>
              </w:tc>
              <w:tc>
                <w:tcPr>
                  <w:tcW w:w="888" w:type="pct"/>
                  <w:vMerge w:val="continue"/>
                  <w:noWrap w:val="0"/>
                  <w:vAlign w:val="center"/>
                </w:tcPr>
                <w:p w14:paraId="6AFF8924">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4746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4E628C51">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p>
              </w:tc>
              <w:tc>
                <w:tcPr>
                  <w:tcW w:w="1797" w:type="pct"/>
                  <w:noWrap w:val="0"/>
                  <w:vAlign w:val="center"/>
                </w:tcPr>
                <w:p w14:paraId="358873D7">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日最大8h平均</w:t>
                  </w:r>
                </w:p>
              </w:tc>
              <w:tc>
                <w:tcPr>
                  <w:tcW w:w="889" w:type="pct"/>
                  <w:noWrap w:val="0"/>
                  <w:vAlign w:val="center"/>
                </w:tcPr>
                <w:p w14:paraId="55678184">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160</w:t>
                  </w:r>
                </w:p>
              </w:tc>
              <w:tc>
                <w:tcPr>
                  <w:tcW w:w="888" w:type="pct"/>
                  <w:vMerge w:val="restart"/>
                  <w:noWrap w:val="0"/>
                  <w:vAlign w:val="center"/>
                </w:tcPr>
                <w:p w14:paraId="7830AA8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ug/m</w:t>
                  </w:r>
                  <w:r>
                    <w:rPr>
                      <w:rFonts w:hint="default" w:ascii="Times New Roman" w:hAnsi="Times New Roman" w:cs="Times New Roman"/>
                      <w:b w:val="0"/>
                      <w:bCs/>
                      <w:color w:val="auto"/>
                      <w:sz w:val="21"/>
                      <w:szCs w:val="21"/>
                      <w:vertAlign w:val="superscript"/>
                    </w:rPr>
                    <w:t>3</w:t>
                  </w:r>
                </w:p>
              </w:tc>
            </w:tr>
            <w:tr w14:paraId="42C8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0E7024CC">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2947238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1D3A5B5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88" w:type="pct"/>
                  <w:vMerge w:val="continue"/>
                  <w:noWrap w:val="0"/>
                  <w:vAlign w:val="center"/>
                </w:tcPr>
                <w:p w14:paraId="713C1D15">
                  <w:pPr>
                    <w:pStyle w:val="22"/>
                    <w:spacing w:beforeLines="0" w:afterLines="0" w:line="240" w:lineRule="auto"/>
                    <w:ind w:left="0" w:firstLine="0"/>
                    <w:rPr>
                      <w:rFonts w:hint="default" w:ascii="Times New Roman" w:hAnsi="Times New Roman" w:cs="Times New Roman"/>
                      <w:b w:val="0"/>
                      <w:bCs/>
                      <w:color w:val="auto"/>
                      <w:sz w:val="21"/>
                      <w:szCs w:val="21"/>
                    </w:rPr>
                  </w:pPr>
                </w:p>
              </w:tc>
            </w:tr>
          </w:tbl>
          <w:p w14:paraId="2C1F405F">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（2）声环境质量标准：本项目所在区域属</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类声环境功能区，声环境质量执行《声环境质量标准》（GB3096-2008）</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类标准。</w:t>
            </w:r>
          </w:p>
          <w:p w14:paraId="29431B83">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表3-</w:t>
            </w:r>
            <w:r>
              <w:rPr>
                <w:rFonts w:hint="default" w:ascii="Times New Roman" w:hAnsi="Times New Roman" w:eastAsia="宋体" w:cs="Times New Roman"/>
                <w:b/>
                <w:bCs/>
                <w:color w:val="auto"/>
                <w:lang w:val="en-US" w:eastAsia="zh-CN"/>
              </w:rPr>
              <w:t>6</w:t>
            </w:r>
            <w:r>
              <w:rPr>
                <w:rFonts w:hint="default" w:ascii="Times New Roman" w:hAnsi="Times New Roman" w:cs="Times New Roman"/>
                <w:b/>
                <w:bCs/>
                <w:color w:val="auto"/>
              </w:rPr>
              <w:t xml:space="preserve">  </w:t>
            </w:r>
            <w:r>
              <w:rPr>
                <w:rFonts w:hint="default" w:ascii="Times New Roman" w:hAnsi="Times New Roman" w:eastAsia="宋体" w:cs="Times New Roman"/>
                <w:b/>
                <w:bCs/>
                <w:color w:val="auto"/>
                <w:lang w:val="en-US" w:eastAsia="zh-CN"/>
              </w:rPr>
              <w:t xml:space="preserve"> </w:t>
            </w:r>
            <w:r>
              <w:rPr>
                <w:rFonts w:hint="default" w:ascii="Times New Roman" w:hAnsi="Times New Roman" w:cs="Times New Roman"/>
                <w:b/>
                <w:bCs/>
                <w:color w:val="auto"/>
              </w:rPr>
              <w:t>环境噪声评价标准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2871"/>
              <w:gridCol w:w="1276"/>
              <w:gridCol w:w="959"/>
              <w:gridCol w:w="957"/>
              <w:gridCol w:w="908"/>
            </w:tblGrid>
            <w:tr w14:paraId="091C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8" w:type="pct"/>
                  <w:vMerge w:val="restart"/>
                  <w:noWrap w:val="0"/>
                  <w:vAlign w:val="center"/>
                </w:tcPr>
                <w:p w14:paraId="6D133C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环境类别</w:t>
                  </w:r>
                </w:p>
              </w:tc>
              <w:tc>
                <w:tcPr>
                  <w:tcW w:w="1730" w:type="pct"/>
                  <w:vMerge w:val="restart"/>
                  <w:noWrap w:val="0"/>
                  <w:vAlign w:val="center"/>
                </w:tcPr>
                <w:p w14:paraId="35EF74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标准名称及级（类）别</w:t>
                  </w:r>
                </w:p>
              </w:tc>
              <w:tc>
                <w:tcPr>
                  <w:tcW w:w="769" w:type="pct"/>
                  <w:vMerge w:val="restart"/>
                  <w:noWrap w:val="0"/>
                  <w:vAlign w:val="center"/>
                </w:tcPr>
                <w:p w14:paraId="0DC96B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702" w:type="pct"/>
                  <w:gridSpan w:val="3"/>
                  <w:noWrap w:val="0"/>
                  <w:vAlign w:val="center"/>
                </w:tcPr>
                <w:p w14:paraId="700B9E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r>
            <w:tr w14:paraId="7ADE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continue"/>
                  <w:noWrap w:val="0"/>
                  <w:vAlign w:val="center"/>
                </w:tcPr>
                <w:p w14:paraId="330F48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p>
              </w:tc>
              <w:tc>
                <w:tcPr>
                  <w:tcW w:w="1730" w:type="pct"/>
                  <w:vMerge w:val="continue"/>
                  <w:noWrap w:val="0"/>
                  <w:vAlign w:val="center"/>
                </w:tcPr>
                <w:p w14:paraId="4495D9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p>
              </w:tc>
              <w:tc>
                <w:tcPr>
                  <w:tcW w:w="769" w:type="pct"/>
                  <w:vMerge w:val="continue"/>
                  <w:noWrap w:val="0"/>
                  <w:vAlign w:val="center"/>
                </w:tcPr>
                <w:p w14:paraId="6F2B35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p>
              </w:tc>
              <w:tc>
                <w:tcPr>
                  <w:tcW w:w="578" w:type="pct"/>
                  <w:noWrap w:val="0"/>
                  <w:vAlign w:val="center"/>
                </w:tcPr>
                <w:p w14:paraId="2A5067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124" w:type="pct"/>
                  <w:gridSpan w:val="2"/>
                  <w:noWrap w:val="0"/>
                  <w:vAlign w:val="center"/>
                </w:tcPr>
                <w:p w14:paraId="234AB0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数值</w:t>
                  </w:r>
                </w:p>
              </w:tc>
            </w:tr>
            <w:tr w14:paraId="2667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restart"/>
                  <w:noWrap w:val="0"/>
                  <w:vAlign w:val="center"/>
                </w:tcPr>
                <w:p w14:paraId="219B87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730" w:type="pct"/>
                  <w:vMerge w:val="restart"/>
                  <w:noWrap w:val="0"/>
                  <w:vAlign w:val="center"/>
                </w:tcPr>
                <w:p w14:paraId="351611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《声环境质量标准》（GB3096-2008）</w:t>
                  </w:r>
                  <w:r>
                    <w:rPr>
                      <w:rFonts w:hint="eastAsia"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rPr>
                    <w:t>类标准</w:t>
                  </w:r>
                </w:p>
              </w:tc>
              <w:tc>
                <w:tcPr>
                  <w:tcW w:w="769" w:type="pct"/>
                  <w:vMerge w:val="restart"/>
                  <w:noWrap w:val="0"/>
                  <w:vAlign w:val="center"/>
                </w:tcPr>
                <w:p w14:paraId="5419A0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等效声级</w:t>
                  </w:r>
                </w:p>
              </w:tc>
              <w:tc>
                <w:tcPr>
                  <w:tcW w:w="578" w:type="pct"/>
                  <w:vMerge w:val="restart"/>
                  <w:noWrap w:val="0"/>
                  <w:vAlign w:val="center"/>
                </w:tcPr>
                <w:p w14:paraId="0B5334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577" w:type="pct"/>
                  <w:noWrap w:val="0"/>
                  <w:vAlign w:val="center"/>
                </w:tcPr>
                <w:p w14:paraId="308564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547" w:type="pct"/>
                  <w:noWrap w:val="0"/>
                  <w:vAlign w:val="center"/>
                </w:tcPr>
                <w:p w14:paraId="4C91CB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14:paraId="644A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8" w:type="pct"/>
                  <w:vMerge w:val="continue"/>
                  <w:noWrap w:val="0"/>
                  <w:vAlign w:val="center"/>
                </w:tcPr>
                <w:p w14:paraId="29E44F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1730" w:type="pct"/>
                  <w:vMerge w:val="continue"/>
                  <w:noWrap w:val="0"/>
                  <w:vAlign w:val="center"/>
                </w:tcPr>
                <w:p w14:paraId="37CB65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769" w:type="pct"/>
                  <w:vMerge w:val="continue"/>
                  <w:noWrap w:val="0"/>
                  <w:vAlign w:val="center"/>
                </w:tcPr>
                <w:p w14:paraId="4D09A5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578" w:type="pct"/>
                  <w:vMerge w:val="continue"/>
                  <w:noWrap w:val="0"/>
                  <w:vAlign w:val="center"/>
                </w:tcPr>
                <w:p w14:paraId="5E40B9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577" w:type="pct"/>
                  <w:noWrap w:val="0"/>
                  <w:vAlign w:val="center"/>
                </w:tcPr>
                <w:p w14:paraId="3CCCCD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547" w:type="pct"/>
                  <w:noWrap w:val="0"/>
                  <w:vAlign w:val="center"/>
                </w:tcPr>
                <w:p w14:paraId="1A83B9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bl>
          <w:p w14:paraId="799BF00A">
            <w:pPr>
              <w:adjustRightInd w:val="0"/>
              <w:snapToGrid w:val="0"/>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2、污染物排放标准</w:t>
            </w:r>
          </w:p>
          <w:p w14:paraId="60B4CC54">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（1）废气</w:t>
            </w:r>
          </w:p>
          <w:p w14:paraId="72F23A7F">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①施工扬尘执行《施工场界扬尘排放限值》（DB61/1078-2017）标准，具体工场界扬尘（总悬浮颗粒物）浓度标准限值</w:t>
            </w:r>
            <w:r>
              <w:rPr>
                <w:rFonts w:hint="default" w:ascii="Times New Roman" w:hAnsi="Times New Roman" w:cs="Times New Roman"/>
                <w:color w:val="auto"/>
                <w:kern w:val="0"/>
                <w:sz w:val="24"/>
              </w:rPr>
              <w:t>见表</w:t>
            </w:r>
            <w:r>
              <w:rPr>
                <w:rFonts w:hint="default" w:ascii="Times New Roman" w:hAnsi="Times New Roman" w:eastAsia="TimesNewRomanPSMT" w:cs="Times New Roman"/>
                <w:color w:val="auto"/>
                <w:kern w:val="0"/>
                <w:sz w:val="24"/>
              </w:rPr>
              <w:t>3-</w:t>
            </w:r>
            <w:r>
              <w:rPr>
                <w:rFonts w:hint="default" w:ascii="Times New Roman" w:hAnsi="Times New Roman" w:eastAsia="宋体" w:cs="Times New Roman"/>
                <w:color w:val="auto"/>
                <w:kern w:val="0"/>
                <w:sz w:val="24"/>
                <w:lang w:val="en-US" w:eastAsia="zh-CN"/>
              </w:rPr>
              <w:t>7</w:t>
            </w:r>
            <w:r>
              <w:rPr>
                <w:rFonts w:hint="default" w:ascii="Times New Roman" w:hAnsi="Times New Roman" w:cs="Times New Roman"/>
                <w:color w:val="auto"/>
                <w:sz w:val="24"/>
              </w:rPr>
              <w:t>。</w:t>
            </w:r>
          </w:p>
          <w:p w14:paraId="27D2F76D">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default" w:ascii="Times New Roman" w:hAnsi="Times New Roman" w:eastAsia="宋体" w:cs="Times New Roman"/>
                <w:b/>
                <w:bCs/>
                <w:color w:val="auto"/>
                <w:sz w:val="21"/>
                <w:szCs w:val="21"/>
                <w:lang w:val="en-US" w:eastAsia="zh-CN"/>
              </w:rPr>
              <w:t>7</w:t>
            </w:r>
            <w:r>
              <w:rPr>
                <w:rFonts w:hint="default" w:ascii="Times New Roman" w:hAnsi="Times New Roman"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施工场界扬尘（总悬浮颗粒物）浓度限值</w:t>
            </w:r>
          </w:p>
          <w:tbl>
            <w:tblPr>
              <w:tblStyle w:val="1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2432"/>
              <w:gridCol w:w="3596"/>
            </w:tblGrid>
            <w:tr w14:paraId="3A30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3759CC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468" w:type="pct"/>
                  <w:noWrap w:val="0"/>
                  <w:vAlign w:val="center"/>
                </w:tcPr>
                <w:p w14:paraId="71DF95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169" w:type="pct"/>
                  <w:noWrap w:val="0"/>
                  <w:vAlign w:val="center"/>
                </w:tcPr>
                <w:p w14:paraId="26A4A3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小时平均浓度限值（mg/m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14:paraId="2F96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6039B2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施工扬尘（即总悬浮颗粒物TSP）</w:t>
                  </w:r>
                </w:p>
              </w:tc>
              <w:tc>
                <w:tcPr>
                  <w:tcW w:w="1468" w:type="pct"/>
                  <w:noWrap w:val="0"/>
                  <w:vAlign w:val="center"/>
                </w:tcPr>
                <w:p w14:paraId="109338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169" w:type="pct"/>
                  <w:noWrap w:val="0"/>
                  <w:vAlign w:val="center"/>
                </w:tcPr>
                <w:p w14:paraId="4FF0DD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r>
            <w:tr w14:paraId="112D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6113513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说明：周界外浓度最高点一般应设置于无组织排放源下风向的单位周界外10m范围内，若预计无组织排放的最大落地浓度点超出10m范围，可将监控点移至该预计浓度最高点附近。</w:t>
                  </w:r>
                </w:p>
              </w:tc>
            </w:tr>
          </w:tbl>
          <w:p w14:paraId="6B5AB5EA">
            <w:pPr>
              <w:spacing w:line="360" w:lineRule="auto"/>
              <w:ind w:firstLine="480" w:firstLineChars="20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rPr>
              <w:t>②</w:t>
            </w:r>
            <w:r>
              <w:rPr>
                <w:rFonts w:hint="default" w:ascii="Times New Roman" w:hAnsi="Times New Roman" w:cs="Times New Roman"/>
                <w:color w:val="auto"/>
                <w:sz w:val="24"/>
                <w:szCs w:val="24"/>
                <w:lang w:val="en-US" w:eastAsia="zh-CN"/>
              </w:rPr>
              <w:t>试气阶段无组织逸散的非甲烷总烃执行《陆上石油天然气开采工业大气污染物排放标准》（GB 39728-2020）中无组织排放监控浓度限值标准，具体限值见表3-</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w:t>
            </w:r>
          </w:p>
          <w:p w14:paraId="55DD2AA6">
            <w:pPr>
              <w:pStyle w:val="10"/>
              <w:keepNext w:val="0"/>
              <w:keepLines w:val="0"/>
              <w:pageBreakBefore w:val="0"/>
              <w:widowControl w:val="0"/>
              <w:kinsoku/>
              <w:wordWrap/>
              <w:overflowPunct/>
              <w:topLinePunct w:val="0"/>
              <w:autoSpaceDE/>
              <w:autoSpaceDN/>
              <w:bidi w:val="0"/>
              <w:adjustRightInd/>
              <w:snapToGrid/>
              <w:spacing w:before="79" w:beforeLines="25"/>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lang w:eastAsia="zh-CN"/>
              </w:rPr>
              <w:t xml:space="preserve"> 《陆上石油天然气开采工业大气污染物排放标准》（GB 39728-2020）中无组织非甲烷总烃浓度限值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47"/>
              <w:gridCol w:w="4148"/>
            </w:tblGrid>
            <w:tr w14:paraId="7CD3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4A4BF339">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500" w:type="pct"/>
                  <w:vAlign w:val="center"/>
                </w:tcPr>
                <w:p w14:paraId="579E1FE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无组织排放监控浓度限值</w:t>
                  </w: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14:paraId="12E8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739617B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2500" w:type="pct"/>
                  <w:vAlign w:val="center"/>
                </w:tcPr>
                <w:p w14:paraId="263A31B3">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r>
          </w:tbl>
          <w:p w14:paraId="7FAEF81A">
            <w:pPr>
              <w:pStyle w:val="26"/>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eastAsia"/>
                <w:color w:val="auto"/>
              </w:rPr>
              <w:t>本项目为天然气</w:t>
            </w:r>
            <w:r>
              <w:rPr>
                <w:rFonts w:hint="eastAsia" w:eastAsia="宋体"/>
                <w:color w:val="auto"/>
                <w:lang w:val="en-US" w:eastAsia="zh-CN"/>
              </w:rPr>
              <w:t>评价</w:t>
            </w:r>
            <w:r>
              <w:rPr>
                <w:rFonts w:hint="eastAsia"/>
                <w:color w:val="auto"/>
              </w:rPr>
              <w:t>井项目，仅涉及施工期，施工期废水均不外排</w:t>
            </w:r>
            <w:r>
              <w:rPr>
                <w:rFonts w:hint="default" w:ascii="Times New Roman" w:hAnsi="Times New Roman" w:cs="Times New Roman"/>
                <w:color w:val="auto"/>
                <w:sz w:val="24"/>
              </w:rPr>
              <w:t>。</w:t>
            </w:r>
          </w:p>
          <w:p w14:paraId="4C3F4E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（3）施工噪声执行《建筑施工场界环境噪声排放标准》（GB12523-2011）标准，具体施工期噪声执行标准见表3-</w:t>
            </w:r>
            <w:r>
              <w:rPr>
                <w:rFonts w:hint="eastAsia" w:ascii="Times New Roman" w:hAnsi="Times New Roman" w:eastAsia="宋体" w:cs="Times New Roman"/>
                <w:color w:val="auto"/>
                <w:sz w:val="24"/>
                <w:lang w:val="en-US" w:eastAsia="zh-CN"/>
              </w:rPr>
              <w:t>9</w:t>
            </w:r>
            <w:r>
              <w:rPr>
                <w:rFonts w:hint="default" w:ascii="Times New Roman" w:hAnsi="Times New Roman" w:cs="Times New Roman"/>
                <w:color w:val="auto"/>
                <w:sz w:val="24"/>
              </w:rPr>
              <w:t>。</w:t>
            </w:r>
          </w:p>
          <w:p w14:paraId="22931DA5">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cs="Times New Roman"/>
                <w:b/>
                <w:bCs/>
                <w:color w:val="auto"/>
                <w:sz w:val="21"/>
                <w:szCs w:val="21"/>
              </w:rPr>
              <w:t xml:space="preserve"> 《建筑施工场界环境噪声排放标准》  （GB12523-2011）</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4325"/>
            </w:tblGrid>
            <w:tr w14:paraId="52B0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0E5B373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607" w:type="pct"/>
                  <w:noWrap w:val="0"/>
                  <w:vAlign w:val="center"/>
                </w:tcPr>
                <w:p w14:paraId="34269FC9">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6C15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2C3E67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70dB（A）</w:t>
                  </w:r>
                </w:p>
              </w:tc>
              <w:tc>
                <w:tcPr>
                  <w:tcW w:w="2607" w:type="pct"/>
                  <w:noWrap w:val="0"/>
                  <w:vAlign w:val="center"/>
                </w:tcPr>
                <w:p w14:paraId="6759E62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55dB（A）</w:t>
                  </w:r>
                </w:p>
              </w:tc>
            </w:tr>
          </w:tbl>
          <w:p w14:paraId="4D2F72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4"/>
              </w:rPr>
              <w:t>（4）固体废物执行《一般工业固体废物贮存和填埋污染控制标准》（GB18599-2020）有关要求；生活垃圾排放执行《生活垃圾填埋场污染控制标准》（GB16889-2008）中的相关规定；《危险废物贮存污染控制标准》（GB18597-2023）标准要求和《危险废物识别标志设置技术规范》（HJ1276—2022）。</w:t>
            </w:r>
          </w:p>
        </w:tc>
      </w:tr>
      <w:tr w14:paraId="7B97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4C2E844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521" w:type="dxa"/>
            <w:vAlign w:val="center"/>
          </w:tcPr>
          <w:p w14:paraId="374B45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auto"/>
                <w:sz w:val="24"/>
                <w:szCs w:val="24"/>
                <w:vertAlign w:val="baseline"/>
                <w:lang w:val="en-US" w:eastAsia="zh-CN"/>
              </w:rPr>
            </w:pPr>
          </w:p>
          <w:p w14:paraId="7E96E5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auto"/>
                <w:sz w:val="24"/>
                <w:szCs w:val="24"/>
                <w:vertAlign w:val="baseline"/>
                <w:lang w:val="en-US" w:eastAsia="zh-CN"/>
              </w:rPr>
            </w:pPr>
          </w:p>
          <w:p w14:paraId="125AF6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auto"/>
                <w:sz w:val="24"/>
                <w:szCs w:val="24"/>
                <w:vertAlign w:val="baseline"/>
                <w:lang w:val="en-US" w:eastAsia="zh-CN"/>
              </w:rPr>
            </w:pPr>
          </w:p>
          <w:p w14:paraId="41A567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本项目为气探井项目，不涉及运营期，因此不需要申请总量控制指标。</w:t>
            </w:r>
          </w:p>
          <w:p w14:paraId="0F110E5F">
            <w:pPr>
              <w:pStyle w:val="7"/>
              <w:jc w:val="center"/>
              <w:rPr>
                <w:rFonts w:hint="default" w:ascii="Times New Roman" w:hAnsi="Times New Roman" w:eastAsia="宋体" w:cs="Times New Roman"/>
                <w:b w:val="0"/>
                <w:bCs w:val="0"/>
                <w:color w:val="auto"/>
                <w:sz w:val="24"/>
                <w:szCs w:val="24"/>
                <w:vertAlign w:val="baseline"/>
                <w:lang w:val="en-US" w:eastAsia="zh-CN"/>
              </w:rPr>
            </w:pPr>
          </w:p>
          <w:p w14:paraId="03941597">
            <w:pPr>
              <w:pStyle w:val="9"/>
              <w:jc w:val="center"/>
              <w:rPr>
                <w:rFonts w:hint="default" w:ascii="Times New Roman" w:hAnsi="Times New Roman" w:eastAsia="宋体" w:cs="Times New Roman"/>
                <w:b w:val="0"/>
                <w:bCs w:val="0"/>
                <w:color w:val="auto"/>
                <w:sz w:val="24"/>
                <w:szCs w:val="24"/>
                <w:vertAlign w:val="baseline"/>
                <w:lang w:val="en-US" w:eastAsia="zh-CN"/>
              </w:rPr>
            </w:pPr>
          </w:p>
          <w:p w14:paraId="1C13CAC5">
            <w:pPr>
              <w:jc w:val="center"/>
              <w:rPr>
                <w:rFonts w:hint="default" w:ascii="Times New Roman" w:hAnsi="Times New Roman" w:eastAsia="宋体" w:cs="Times New Roman"/>
                <w:b w:val="0"/>
                <w:bCs w:val="0"/>
                <w:color w:val="auto"/>
                <w:sz w:val="24"/>
                <w:szCs w:val="24"/>
                <w:vertAlign w:val="baseline"/>
                <w:lang w:val="en-US" w:eastAsia="zh-CN"/>
              </w:rPr>
            </w:pPr>
          </w:p>
          <w:p w14:paraId="2E484840">
            <w:pPr>
              <w:jc w:val="both"/>
              <w:rPr>
                <w:rFonts w:hint="default"/>
                <w:color w:val="auto"/>
                <w:lang w:val="en-US" w:eastAsia="zh-CN"/>
              </w:rPr>
            </w:pPr>
          </w:p>
        </w:tc>
      </w:tr>
    </w:tbl>
    <w:p w14:paraId="32683754">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77D1B0BA">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生态环境影响分析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
        <w:gridCol w:w="8922"/>
      </w:tblGrid>
      <w:tr w14:paraId="02B1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9" w:type="dxa"/>
            <w:vAlign w:val="center"/>
          </w:tcPr>
          <w:p w14:paraId="22982CD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施工期生态环境影响分析</w:t>
            </w:r>
          </w:p>
        </w:tc>
        <w:tc>
          <w:tcPr>
            <w:tcW w:w="8629" w:type="dxa"/>
            <w:vAlign w:val="top"/>
          </w:tcPr>
          <w:p w14:paraId="21186A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一、施工期生态影响</w:t>
            </w:r>
          </w:p>
          <w:p w14:paraId="7BB9F5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本项目钻前工程施工时对</w:t>
            </w:r>
            <w:r>
              <w:rPr>
                <w:rFonts w:hint="eastAsia" w:ascii="Times New Roman" w:hAnsi="Times New Roman" w:eastAsia="宋体" w:cs="Times New Roman"/>
                <w:b w:val="0"/>
                <w:bCs w:val="0"/>
                <w:color w:val="auto"/>
                <w:sz w:val="24"/>
                <w:szCs w:val="24"/>
                <w:vertAlign w:val="baseline"/>
                <w:lang w:val="en-US" w:eastAsia="zh-CN"/>
              </w:rPr>
              <w:t>井场、生活区</w:t>
            </w:r>
            <w:r>
              <w:rPr>
                <w:rFonts w:hint="default" w:ascii="Times New Roman" w:hAnsi="Times New Roman" w:eastAsia="宋体" w:cs="Times New Roman"/>
                <w:b w:val="0"/>
                <w:bCs w:val="0"/>
                <w:color w:val="auto"/>
                <w:sz w:val="24"/>
                <w:szCs w:val="24"/>
                <w:vertAlign w:val="baseline"/>
                <w:lang w:val="en-US" w:eastAsia="zh-CN"/>
              </w:rPr>
              <w:t>场地进行平整、开挖、施工车辆碾压等活动会对活动范围内的土壤质地和性质以及地表植被造成影响，从而造成一定量的水土流失，随着施工的结束，影响也随之消失。</w:t>
            </w:r>
          </w:p>
          <w:p w14:paraId="1432A5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井场附近以</w:t>
            </w:r>
            <w:r>
              <w:rPr>
                <w:rFonts w:hint="default" w:ascii="Times New Roman" w:hAnsi="Times New Roman" w:eastAsia="宋体" w:cs="Times New Roman"/>
                <w:b w:val="0"/>
                <w:bCs w:val="0"/>
                <w:color w:val="auto"/>
                <w:sz w:val="24"/>
                <w:szCs w:val="24"/>
                <w:highlight w:val="none"/>
                <w:vertAlign w:val="baseline"/>
                <w:lang w:val="en-US" w:eastAsia="zh-CN"/>
              </w:rPr>
              <w:t>林地和草地、园地</w:t>
            </w:r>
            <w:r>
              <w:rPr>
                <w:rFonts w:hint="default" w:ascii="Times New Roman" w:hAnsi="Times New Roman" w:eastAsia="宋体" w:cs="Times New Roman"/>
                <w:b w:val="0"/>
                <w:bCs w:val="0"/>
                <w:color w:val="auto"/>
                <w:sz w:val="24"/>
                <w:szCs w:val="24"/>
                <w:vertAlign w:val="baseline"/>
                <w:lang w:val="en-US" w:eastAsia="zh-CN"/>
              </w:rPr>
              <w:t>为主，本项目工程占地改变了原有土地利用现状，土地利用功能也随之改变。项目临时占地结束后可对土地利用进行恢复，因此对周边生态环境影响不明显。项目施工期对生态环境的影响主要表现在以下几个方面：</w:t>
            </w:r>
          </w:p>
          <w:p w14:paraId="2AEBCD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1、土地利用现状的改变</w:t>
            </w:r>
          </w:p>
          <w:p w14:paraId="31F22C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本项目井场占</w:t>
            </w:r>
            <w:r>
              <w:rPr>
                <w:rFonts w:hint="default" w:ascii="Times New Roman" w:hAnsi="Times New Roman" w:eastAsia="宋体" w:cs="Times New Roman"/>
                <w:b w:val="0"/>
                <w:bCs w:val="0"/>
                <w:color w:val="auto"/>
                <w:sz w:val="24"/>
                <w:szCs w:val="24"/>
                <w:highlight w:val="none"/>
                <w:vertAlign w:val="baseline"/>
                <w:lang w:val="en-US" w:eastAsia="zh-CN"/>
              </w:rPr>
              <w:t>地面积</w:t>
            </w:r>
            <w:r>
              <w:rPr>
                <w:rFonts w:hint="eastAsia" w:ascii="Times New Roman" w:hAnsi="Times New Roman" w:eastAsia="宋体" w:cs="Times New Roman"/>
                <w:b w:val="0"/>
                <w:bCs w:val="0"/>
                <w:color w:val="auto"/>
                <w:sz w:val="24"/>
                <w:szCs w:val="24"/>
                <w:highlight w:val="none"/>
                <w:vertAlign w:val="baseline"/>
                <w:lang w:val="en-US" w:eastAsia="zh-CN"/>
              </w:rPr>
              <w:t>8750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，生活区占地面积</w:t>
            </w:r>
            <w:r>
              <w:rPr>
                <w:rFonts w:hint="eastAsia" w:ascii="Times New Roman" w:hAnsi="Times New Roman" w:eastAsia="宋体" w:cs="Times New Roman"/>
                <w:b w:val="0"/>
                <w:bCs w:val="0"/>
                <w:color w:val="auto"/>
                <w:sz w:val="24"/>
                <w:szCs w:val="24"/>
                <w:highlight w:val="none"/>
                <w:vertAlign w:val="baseline"/>
                <w:lang w:val="en-US" w:eastAsia="zh-CN"/>
              </w:rPr>
              <w:t>2612.1</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全部为临时用地，不涉及永久占地。项目建设对生态环境的影响主要表现为项目占地使土地功能发生改变；临时占地会在一定程度上改变土地利用方式，临时性的减小牧草地的面积。工程利用挖方回填，同时对土地按照相关要求进行堆放并采取覆盖等措施，尽可能的减小对当地土地资源的影响；临时占地只在短期内改变土地利用性质，钻井工程完成后，若本井不产气，则对本项目钻井期间施工区域进行植被恢复，若本井产气则进行集输工程，征地工作根据集输工程要求进行。</w:t>
            </w:r>
          </w:p>
          <w:p w14:paraId="79589C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2、水土流失影响分析</w:t>
            </w:r>
          </w:p>
          <w:p w14:paraId="72818B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施工期将损坏施工区域范围原地貌，破坏原有植被，改变其水土保持状况，如遇大风或降雨天气将加剧水土流失。</w:t>
            </w:r>
          </w:p>
          <w:p w14:paraId="6EF651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井场开发建设造成的水土流失主要在施工期，造成水土流失的主要因素有：新建井场、道路、生活区以及钻井及开挖、回填过程中，开挖作业造成土壤结构破坏、微地形改变和植被破坏，使土壤抗蚀性和抗冲性明显降低；工程施工将产生弃土弃渣，弃渣若分散堆置在坡面，极易被水流冲刷，引起水土流失；道路经过陡峻山坡，由于开挖，坡度变陡，失去稳定平衡，为崩塌、滑坡制造了条件，极易引起重力侵蚀。</w:t>
            </w:r>
          </w:p>
          <w:p w14:paraId="232288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严格控制占地范围和施工范围，减少扰动面积；严格控制施工人员、车辆在规定的施工临时占地内活动、行驶，以减少对沿线植被的破坏，凡受到施工人员、车辆破坏的地方，施工结束后立即采取人工措施播撒草种，尽快降低土壤侵蚀，对裸露地表进行植被恢复，增强地表稳定性。</w:t>
            </w:r>
          </w:p>
          <w:p w14:paraId="775CB5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3、动物及植被影响分析</w:t>
            </w:r>
          </w:p>
          <w:p w14:paraId="003166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工程施工期对植被的影响主要为建设过程中的植被剥离、清理和占压，临时占地土方回填后，可以恢复原植被类型。对动物的影响主要为栖息地破坏引起的动物逃离、施工噪声对动物的干扰。</w:t>
            </w:r>
          </w:p>
          <w:p w14:paraId="613388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（1）对植被的影响</w:t>
            </w:r>
          </w:p>
          <w:p w14:paraId="23F7FB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期对植被的影响主要有占地范围内原有植物的剥离、清理及占压。在施工过程中，土壤开挖区范围内植物的地上部分与根系均被清除，施工区的植被由于挖掘土石的堆放、人员的践踏、施工车辆和机具的碾压而受到不同程度的破坏，会造成植被破坏甚至死亡。</w:t>
            </w:r>
          </w:p>
          <w:p w14:paraId="64F7C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工程填挖方均占压和清除一定数量的地表植物，使填挖区被生土覆盖或出露生土，植物恢复须经过较长时间。项目工期较短，建设完毕后即进行植被恢复，长期来看对植被的影响较小。</w:t>
            </w:r>
          </w:p>
          <w:p w14:paraId="559666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（2）对动物的影响</w:t>
            </w:r>
          </w:p>
          <w:p w14:paraId="27B26F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建设期对动物的影响，主要是运输、施工噪声和人为活动，迫使动物离开场站区域，大规模的建设活动，将使建设期内难以见到野生动物。但项目周边无自然保护区，无珍稀濒危动物，野生动物稀少，主要为鼠类和草兔等常见种。工程施工对野生动物的影响较小，随着施工结束这种影响亦结束。</w:t>
            </w:r>
          </w:p>
          <w:p w14:paraId="5EAE53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4、景观生态影响分析</w:t>
            </w:r>
          </w:p>
          <w:p w14:paraId="7B6C46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建设期主要是对原有景观的破坏，井场建设破坏其所在地及其附近的原有景观，形成片状人工景观。由于建设期工程占地均为临时占地，施工完采取生态恢复措施后，评价认为项目对评价区景观格局影响有限。</w:t>
            </w:r>
          </w:p>
          <w:p w14:paraId="6FE7C817">
            <w:pPr>
              <w:pStyle w:val="5"/>
              <w:keepNext w:val="0"/>
              <w:keepLines w:val="0"/>
              <w:pageBreakBefore w:val="0"/>
              <w:kinsoku/>
              <w:wordWrap/>
              <w:overflowPunct/>
              <w:topLinePunct w:val="0"/>
              <w:autoSpaceDE/>
              <w:autoSpaceDN/>
              <w:bidi w:val="0"/>
              <w:adjustRightInd/>
              <w:snapToGrid/>
              <w:spacing w:before="0"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5、对土壤沙化影响分析</w:t>
            </w:r>
          </w:p>
          <w:p w14:paraId="45FCF5F6">
            <w:pPr>
              <w:pStyle w:val="26"/>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陕西省防沙治沙规划（2021-2030年）》，佳县属于黄土（丘陵）覆沙治理区，不涉及沙化土地封禁保护区及沙地。由于施工中土体被剥离、扰动土壤以及破坏地表植物，可能会导致土地沙化。根据现场踏勘，本项目所处区域土地未完全沙化，生态功能较好，且通过采取分段施工、控制施工作业带、及时对植被进行恢复，并加强管理，避免施工乱砍滥发植物资源、避免机械随意行驶等措施，防止因本项目建设导致土地沙化。</w:t>
            </w:r>
          </w:p>
          <w:p w14:paraId="221937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二、大气环境影响</w:t>
            </w:r>
          </w:p>
          <w:p w14:paraId="49FA90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w:t>
            </w:r>
            <w:r>
              <w:rPr>
                <w:rFonts w:hint="eastAsia" w:ascii="Times New Roman" w:hAnsi="Times New Roman" w:eastAsia="宋体" w:cs="Times New Roman"/>
                <w:b w:val="0"/>
                <w:bCs w:val="0"/>
                <w:color w:val="auto"/>
                <w:sz w:val="24"/>
                <w:szCs w:val="24"/>
                <w:vertAlign w:val="baseline"/>
                <w:lang w:val="en-US" w:eastAsia="zh-CN"/>
              </w:rPr>
              <w:t>评价</w:t>
            </w:r>
            <w:r>
              <w:rPr>
                <w:rFonts w:hint="default" w:ascii="Times New Roman" w:hAnsi="Times New Roman" w:eastAsia="宋体" w:cs="Times New Roman"/>
                <w:b w:val="0"/>
                <w:bCs w:val="0"/>
                <w:color w:val="auto"/>
                <w:sz w:val="24"/>
                <w:szCs w:val="24"/>
                <w:vertAlign w:val="baseline"/>
                <w:lang w:val="en-US" w:eastAsia="zh-CN"/>
              </w:rPr>
              <w:t>工程，不涉及运营期，本次评价仅对勘探过程中对环境的影响进行分析，不包括天然气开采、外输管道建设的评价，如需进行天然气开采、外输管道建设，需另行开展环境影响评价。</w:t>
            </w:r>
          </w:p>
          <w:p w14:paraId="65BDAD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施工期废气主要为施工扬尘、施工车辆和机械尾气以及测试放喷和事故放喷天然气燃烧废气。项目施工期施工扬尘、施工车辆和机械尾气产生废物污染物较小，施工期较短，加之当地扩散条件良好，经自然扩散后能达标排放，对周围环境影响较小。</w:t>
            </w:r>
          </w:p>
          <w:p w14:paraId="3002DC0F">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施工扬尘</w:t>
            </w:r>
          </w:p>
          <w:p w14:paraId="504F4B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扬尘主要来自场地平整与土方开挖、物料堆放及运输车辆行驶道路扬尘。场地整平过程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w:t>
            </w:r>
          </w:p>
          <w:p w14:paraId="14115F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施工阶段土地平整、开挖、回填土方会形成大面积裸露地面，使各种沉降在地表上的气溶胶粒子等成为扬尘的天然来源。在施工过程中，如果管理措施不够完善，粗放式施工，工地料堆遮挡不够完善、严密，不能及时清理，在不利气候如大风（风速≥5m/s）条件下，这些颗粒物就会从地表进入空气中。在不利天气条件下，施工扬尘可在150m范围内超过</w:t>
            </w:r>
            <w:r>
              <w:rPr>
                <w:rFonts w:hint="default" w:ascii="Times New Roman" w:hAnsi="Times New Roman" w:cs="Times New Roman"/>
                <w:color w:val="auto"/>
                <w:sz w:val="24"/>
              </w:rPr>
              <w:t>《施工场界扬尘排放限值》（DB61/1078-2017）标准</w:t>
            </w:r>
            <w:r>
              <w:rPr>
                <w:rFonts w:hint="default" w:ascii="Times New Roman" w:hAnsi="Times New Roman" w:eastAsia="宋体" w:cs="Times New Roman"/>
                <w:b w:val="0"/>
                <w:bCs w:val="0"/>
                <w:color w:val="auto"/>
                <w:sz w:val="24"/>
                <w:szCs w:val="24"/>
                <w:vertAlign w:val="baseline"/>
                <w:lang w:val="en-US" w:eastAsia="zh-CN"/>
              </w:rPr>
              <w:t>，对大气环境可造成不利影响，150m范围外一般不会有大的影响</w:t>
            </w:r>
            <w:r>
              <w:rPr>
                <w:rFonts w:hint="eastAsia" w:ascii="Times New Roman" w:hAnsi="Times New Roman" w:eastAsia="宋体" w:cs="Times New Roman"/>
                <w:b w:val="0"/>
                <w:bCs w:val="0"/>
                <w:color w:val="auto"/>
                <w:sz w:val="24"/>
                <w:szCs w:val="24"/>
                <w:vertAlign w:val="baseline"/>
                <w:lang w:val="en-US" w:eastAsia="zh-CN"/>
              </w:rPr>
              <w:t>。各</w:t>
            </w:r>
            <w:r>
              <w:rPr>
                <w:rFonts w:hint="default" w:ascii="Times New Roman" w:hAnsi="Times New Roman" w:eastAsia="宋体" w:cs="Times New Roman"/>
                <w:b w:val="0"/>
                <w:bCs w:val="0"/>
                <w:color w:val="auto"/>
                <w:sz w:val="24"/>
                <w:szCs w:val="24"/>
                <w:vertAlign w:val="baseline"/>
                <w:lang w:val="en-US" w:eastAsia="zh-CN"/>
              </w:rPr>
              <w:t>井场</w:t>
            </w:r>
            <w:r>
              <w:rPr>
                <w:rFonts w:hint="eastAsia" w:ascii="Times New Roman" w:hAnsi="Times New Roman" w:eastAsia="宋体" w:cs="Times New Roman"/>
                <w:b w:val="0"/>
                <w:bCs w:val="0"/>
                <w:color w:val="auto"/>
                <w:sz w:val="24"/>
                <w:szCs w:val="24"/>
                <w:vertAlign w:val="baseline"/>
                <w:lang w:val="en-US" w:eastAsia="zh-CN"/>
              </w:rPr>
              <w:t>150m范围内无</w:t>
            </w:r>
            <w:r>
              <w:rPr>
                <w:rFonts w:hint="default" w:ascii="Times New Roman" w:hAnsi="Times New Roman" w:eastAsia="宋体" w:cs="Times New Roman"/>
                <w:b w:val="0"/>
                <w:bCs w:val="0"/>
                <w:color w:val="auto"/>
                <w:sz w:val="24"/>
                <w:szCs w:val="24"/>
                <w:vertAlign w:val="baseline"/>
                <w:lang w:val="en-US" w:eastAsia="zh-CN"/>
              </w:rPr>
              <w:t>敏感保护目标，因此，井场施工扬尘对周边主要敏感目标影响较小。</w:t>
            </w:r>
          </w:p>
          <w:p w14:paraId="0CFB66C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2、机械废气</w:t>
            </w:r>
          </w:p>
          <w:p w14:paraId="053C1787">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机械废气包括施工机械废气和运输车辆废气，</w:t>
            </w:r>
            <w:r>
              <w:rPr>
                <w:rFonts w:hint="eastAsia" w:ascii="Times New Roman" w:hAnsi="Times New Roman" w:cs="Times New Roman"/>
                <w:color w:val="auto"/>
                <w:lang w:val="en-US" w:eastAsia="zh-CN"/>
              </w:rPr>
              <w:t>本项目各类施工机械均使用电驱动，不会产生废气。</w:t>
            </w:r>
          </w:p>
          <w:p w14:paraId="2DB84AF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cs="Times New Roman"/>
                <w:color w:val="auto"/>
                <w:lang w:val="en-US" w:eastAsia="zh-CN"/>
              </w:rPr>
              <w:t>本项目运输车辆使用低硫燃料（含硫量低于10ppm），定期对车辆维修保养，减少废气的排放量。由于本项目施工期较短，运输车辆产生的废气量较少，项目周边扩散条件较好，对周边环境影响较小。</w:t>
            </w:r>
          </w:p>
          <w:p w14:paraId="251D34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w:t>
            </w:r>
            <w:r>
              <w:rPr>
                <w:rFonts w:hint="default" w:ascii="Times New Roman" w:hAnsi="Times New Roman" w:eastAsia="宋体" w:cs="Times New Roman"/>
                <w:b/>
                <w:bCs/>
                <w:color w:val="auto"/>
                <w:sz w:val="24"/>
                <w:szCs w:val="24"/>
                <w:vertAlign w:val="baseline"/>
                <w:lang w:val="en-US" w:eastAsia="zh-CN"/>
              </w:rPr>
              <w:t>、测试放喷天然气燃烧废气</w:t>
            </w:r>
          </w:p>
          <w:p w14:paraId="180F459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为了准确了解和进一步核定气井的产气量，在完井后，通常需进行测试放喷，单井测试时间约1-2天，依据测试气量间歇放喷，每次持续时间约4～6h，属短时间歇排放，测试的天然气经专用管线引至</w:t>
            </w:r>
            <w:r>
              <w:rPr>
                <w:rFonts w:hint="eastAsia" w:ascii="Times New Roman" w:hAnsi="Times New Roman" w:cs="Times New Roman"/>
                <w:color w:val="auto"/>
                <w:lang w:val="en-US" w:eastAsia="zh-CN"/>
              </w:rPr>
              <w:t>放喷池内</w:t>
            </w:r>
            <w:r>
              <w:rPr>
                <w:rFonts w:hint="default" w:ascii="Times New Roman" w:hAnsi="Times New Roman" w:cs="Times New Roman"/>
                <w:color w:val="auto"/>
                <w:lang w:val="en-US" w:eastAsia="zh-CN"/>
              </w:rPr>
              <w:t>进行点火放喷，废气产生量较小。类比周围探井的天然气组分</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天然气中不含H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SO</w:t>
            </w:r>
            <w:r>
              <w:rPr>
                <w:rFonts w:hint="eastAsia"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，故排放的气体主要含颗粒物、H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O、CO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、NOx以及未完全燃烧的少量非甲烷总烃。</w:t>
            </w:r>
          </w:p>
          <w:p w14:paraId="0F97128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根据相关设计资料，</w:t>
            </w:r>
            <w:r>
              <w:rPr>
                <w:rFonts w:hint="default" w:ascii="Times New Roman" w:hAnsi="Times New Roman" w:cs="Times New Roman"/>
                <w:color w:val="auto"/>
                <w:lang w:val="en-US" w:eastAsia="zh-CN"/>
              </w:rPr>
              <w:t>钻井试压作业中约有1×10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的天然气</w:t>
            </w:r>
            <w:r>
              <w:rPr>
                <w:rFonts w:hint="default" w:ascii="Times New Roman" w:hAnsi="Times New Roman" w:cs="Times New Roman"/>
                <w:color w:val="auto"/>
                <w:lang w:val="en-US" w:eastAsia="zh-CN"/>
              </w:rPr>
              <w:t>通过井场</w:t>
            </w:r>
            <w:r>
              <w:rPr>
                <w:rFonts w:hint="eastAsia" w:ascii="Times New Roman" w:hAnsi="Times New Roman" w:cs="Times New Roman"/>
                <w:color w:val="auto"/>
                <w:lang w:val="en-US" w:eastAsia="zh-CN"/>
              </w:rPr>
              <w:t>放喷池内</w:t>
            </w:r>
            <w:r>
              <w:rPr>
                <w:rFonts w:hint="default" w:ascii="Times New Roman" w:hAnsi="Times New Roman" w:cs="Times New Roman"/>
                <w:color w:val="auto"/>
                <w:lang w:val="en-US" w:eastAsia="zh-CN"/>
              </w:rPr>
              <w:t>燃烧排放，废气中的主要污染物为颗粒物和NOx，以及未完全燃烧的少量非甲烷总烃。参照《排放源统计调查产排污核算方法和系数手册》（生态环境部办公厅2021年6月11日印发）中“4430工业锅炉（热力生产和供应行业）产污系数表-燃气工业锅炉”的排放系数进行源强估算，颗粒物排放系数为1.039kg/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天然气，NOx排放系数为18.71kg/万m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天然气，经计算，烟尘排放量为1.039kg，NOx排放量为18.71kg。排放废气中非甲烷总烃为不完全燃烧产生，其排放量非常少不再进行定量计算。。</w:t>
            </w:r>
            <w:r>
              <w:rPr>
                <w:rFonts w:hint="eastAsia" w:ascii="Times New Roman" w:hAnsi="Times New Roman" w:cs="Times New Roman"/>
                <w:color w:val="auto"/>
                <w:lang w:val="en-US" w:eastAsia="zh-CN"/>
              </w:rPr>
              <w:t>由于本项目属于新层位勘探，因此暂无天然气成分表，无法确定天然气中硫含量，因此环评要求项目钻探期间发现天然气后立即进行成分分析并且对井场H</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S含量进行监测，避免对钻井人员身体健康造成危害。</w:t>
            </w:r>
          </w:p>
          <w:p w14:paraId="1F2B134F">
            <w:pPr>
              <w:pStyle w:val="2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选址位于距离井口100m外的厂地上，项目</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内壁由防火砖砌成，外侧设有钢筋水泥墙及钢板，周边50m范围植被以草地为主，无高大林木，地势空旷便于废气扩散，且</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位于当地</w:t>
            </w:r>
            <w:r>
              <w:rPr>
                <w:rFonts w:hint="eastAsia" w:ascii="Times New Roman" w:hAnsi="Times New Roman" w:cs="Times New Roman"/>
                <w:color w:val="auto"/>
                <w:lang w:val="en-US" w:eastAsia="zh-CN"/>
              </w:rPr>
              <w:t>井场</w:t>
            </w:r>
            <w:r>
              <w:rPr>
                <w:rFonts w:hint="default" w:ascii="Times New Roman" w:hAnsi="Times New Roman" w:cs="Times New Roman"/>
                <w:color w:val="auto"/>
                <w:lang w:val="en-US" w:eastAsia="zh-CN"/>
              </w:rPr>
              <w:t>常年风向的</w:t>
            </w:r>
            <w:r>
              <w:rPr>
                <w:rFonts w:hint="eastAsia" w:ascii="Times New Roman" w:hAnsi="Times New Roman" w:cs="Times New Roman"/>
                <w:color w:val="auto"/>
                <w:lang w:val="en-US" w:eastAsia="zh-CN"/>
              </w:rPr>
              <w:t>下</w:t>
            </w:r>
            <w:r>
              <w:rPr>
                <w:rFonts w:hint="default" w:ascii="Times New Roman" w:hAnsi="Times New Roman" w:cs="Times New Roman"/>
                <w:color w:val="auto"/>
                <w:lang w:val="en-US" w:eastAsia="zh-CN"/>
              </w:rPr>
              <w:t>风向处。</w:t>
            </w:r>
          </w:p>
          <w:p w14:paraId="4544BF5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虽然产生的废气对环境影响微小，但为了最大程度降低测试放喷废气对环境的影响，测试放喷时，要选择合适的时间，在天气晴朗，且风较大的天气进行，便于废气扩散；加之测试放喷时间短，对大气环境的影响较短，测试完毕，影响很快消除，因此对环境影响较小。</w:t>
            </w:r>
          </w:p>
          <w:p w14:paraId="2019E5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、事故放喷天然气燃烧废气</w:t>
            </w:r>
          </w:p>
          <w:p w14:paraId="346310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事故放喷是由于地层高压异常导致的，在石油天然气行业是低概率事件。事故放喷时间持续较短，且通过专用的放喷管线将天然气引至</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进行点火放喷，事故放喷时间段属临时排放，放喷完毕，影响很快消除，环评要求建设单位在发生事故时对周边居民实施临时疏散，因此事故放喷对周边人群健康基本无影响，对环境影响也较小。</w:t>
            </w:r>
          </w:p>
          <w:p w14:paraId="1B6264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5</w:t>
            </w:r>
            <w:r>
              <w:rPr>
                <w:rFonts w:hint="default" w:ascii="Times New Roman" w:hAnsi="Times New Roman" w:eastAsia="宋体" w:cs="Times New Roman"/>
                <w:b/>
                <w:bCs/>
                <w:color w:val="auto"/>
                <w:sz w:val="24"/>
                <w:szCs w:val="24"/>
                <w:vertAlign w:val="baseline"/>
                <w:lang w:val="en-US" w:eastAsia="zh-CN"/>
              </w:rPr>
              <w:t>、临时道路扬尘</w:t>
            </w:r>
          </w:p>
          <w:p w14:paraId="24249A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项目组出入井场时，在临时道路行驶，应控制车速，以减少道路扬尘污染，临时道路两侧应根据情况设置排水渠，减少水土流失，施工结束后，根据需求，对临时道路进行生态恢复。</w:t>
            </w:r>
          </w:p>
          <w:p w14:paraId="419AF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综上所述，工程废气对周边大气环境和环境保护目标的影响可接受。</w:t>
            </w:r>
          </w:p>
          <w:p w14:paraId="50BD5B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三、地表水环境影响</w:t>
            </w:r>
          </w:p>
          <w:p w14:paraId="08572B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项目用水主要为施工人员的生活用水和钻井生产用水，生产用水由水罐车运送，生活用水采用桶装水；废水主要为施工废水、钻井废水、洗井废水、</w:t>
            </w:r>
            <w:r>
              <w:rPr>
                <w:rFonts w:hint="eastAsia" w:ascii="Times New Roman" w:hAnsi="Times New Roman" w:eastAsia="宋体" w:cs="Times New Roman"/>
                <w:b w:val="0"/>
                <w:bCs w:val="0"/>
                <w:color w:val="auto"/>
                <w:sz w:val="24"/>
                <w:szCs w:val="24"/>
                <w:vertAlign w:val="baseline"/>
                <w:lang w:val="en-US" w:eastAsia="zh-CN"/>
              </w:rPr>
              <w:t>压裂</w:t>
            </w:r>
            <w:r>
              <w:rPr>
                <w:rFonts w:hint="default" w:ascii="Times New Roman" w:hAnsi="Times New Roman" w:eastAsia="宋体" w:cs="Times New Roman"/>
                <w:b w:val="0"/>
                <w:bCs w:val="0"/>
                <w:color w:val="auto"/>
                <w:sz w:val="24"/>
                <w:szCs w:val="24"/>
                <w:vertAlign w:val="baseline"/>
                <w:lang w:val="en-US" w:eastAsia="zh-CN"/>
              </w:rPr>
              <w:t>返排液</w:t>
            </w:r>
            <w:r>
              <w:rPr>
                <w:rFonts w:hint="eastAsia" w:ascii="Times New Roman" w:hAnsi="Times New Roman" w:eastAsia="宋体" w:cs="Times New Roman"/>
                <w:b w:val="0"/>
                <w:bCs w:val="0"/>
                <w:color w:val="auto"/>
                <w:sz w:val="24"/>
                <w:szCs w:val="24"/>
                <w:vertAlign w:val="baseline"/>
                <w:lang w:val="en-US" w:eastAsia="zh-CN"/>
              </w:rPr>
              <w:t>、放喷废水</w:t>
            </w:r>
            <w:r>
              <w:rPr>
                <w:rFonts w:hint="default" w:ascii="Times New Roman" w:hAnsi="Times New Roman" w:eastAsia="宋体" w:cs="Times New Roman"/>
                <w:b w:val="0"/>
                <w:bCs w:val="0"/>
                <w:color w:val="auto"/>
                <w:sz w:val="24"/>
                <w:szCs w:val="24"/>
                <w:vertAlign w:val="baseline"/>
                <w:lang w:val="en-US" w:eastAsia="zh-CN"/>
              </w:rPr>
              <w:t>以及生活污水。</w:t>
            </w:r>
          </w:p>
          <w:p w14:paraId="29FA02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（1）钻井废水</w:t>
            </w:r>
          </w:p>
          <w:p w14:paraId="3018074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项目通过对中国石油天然气股份有限公司长庆油田分公司已勘探的天然气井资料调查，每钻进1m平均产生钻井废水0.2m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米107-3MH单井</w:t>
            </w:r>
            <w:r>
              <w:rPr>
                <w:rFonts w:hint="default" w:ascii="Times New Roman" w:hAnsi="Times New Roman" w:cs="Times New Roman"/>
                <w:color w:val="auto"/>
                <w:lang w:val="en-US" w:eastAsia="zh-CN"/>
              </w:rPr>
              <w:t>进尺为</w:t>
            </w:r>
            <w:r>
              <w:rPr>
                <w:rFonts w:hint="eastAsia" w:ascii="Times New Roman" w:hAnsi="Times New Roman" w:cs="Times New Roman"/>
                <w:color w:val="auto"/>
                <w:lang w:val="en-US" w:eastAsia="zh-CN"/>
              </w:rPr>
              <w:t>2750</w:t>
            </w:r>
            <w:r>
              <w:rPr>
                <w:rFonts w:hint="default" w:ascii="Times New Roman" w:hAnsi="Times New Roman" w:cs="Times New Roman"/>
                <w:color w:val="auto"/>
                <w:lang w:val="en-US" w:eastAsia="zh-CN"/>
              </w:rPr>
              <w:t>m，则钻井废水产生量为</w:t>
            </w:r>
            <w:r>
              <w:rPr>
                <w:rFonts w:hint="eastAsia" w:ascii="Times New Roman" w:hAnsi="Times New Roman" w:cs="Times New Roman"/>
                <w:color w:val="auto"/>
                <w:lang w:val="en-US" w:eastAsia="zh-CN"/>
              </w:rPr>
              <w:t>550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项目钻井废水经泥浆水循环系统处理后优先作为钻井液配水回用，钻井结束后，不能回用的钻井废水委托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lang w:val="en-US" w:eastAsia="zh-CN"/>
              </w:rPr>
              <w:t>外运处置。</w:t>
            </w:r>
          </w:p>
          <w:p w14:paraId="04E2D19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正常状况下，应立即停止钻井减少钻井泥浆产生量，将钻井泥浆暂存至洗井废水罐，确保钻井废水在井场内不落地、不外排。因此，钻井废水不会对地表水体产生影响。根据建设单位提供的类似项目水质情况，本项目钻井废水主要水质指标见下表</w:t>
            </w:r>
          </w:p>
          <w:p w14:paraId="1AE949B0">
            <w:pPr>
              <w:pStyle w:val="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1</w:t>
            </w:r>
            <w:r>
              <w:rPr>
                <w:rFonts w:hint="default" w:ascii="Times New Roman" w:hAnsi="Times New Roman" w:cs="Times New Roman"/>
                <w:b/>
                <w:bCs/>
                <w:color w:val="auto"/>
                <w:lang w:val="en-US" w:eastAsia="zh-CN"/>
              </w:rPr>
              <w:t xml:space="preserve"> 钻井废水水质指标</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795"/>
              <w:gridCol w:w="1230"/>
              <w:gridCol w:w="1216"/>
              <w:gridCol w:w="1294"/>
              <w:gridCol w:w="1205"/>
              <w:gridCol w:w="1718"/>
            </w:tblGrid>
            <w:tr w14:paraId="07DD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pct"/>
                  <w:vAlign w:val="center"/>
                </w:tcPr>
                <w:p w14:paraId="6D0CD7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废液类型</w:t>
                  </w:r>
                </w:p>
              </w:tc>
              <w:tc>
                <w:tcPr>
                  <w:tcW w:w="457" w:type="pct"/>
                  <w:vAlign w:val="center"/>
                </w:tcPr>
                <w:p w14:paraId="56AE4F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707" w:type="pct"/>
                  <w:vAlign w:val="center"/>
                </w:tcPr>
                <w:p w14:paraId="26A3AC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悬浮物</w:t>
                  </w:r>
                </w:p>
                <w:p w14:paraId="0E3A4B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699" w:type="pct"/>
                  <w:vAlign w:val="center"/>
                </w:tcPr>
                <w:p w14:paraId="5E1A82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石油类</w:t>
                  </w:r>
                </w:p>
                <w:p w14:paraId="6D1C04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744" w:type="pct"/>
                  <w:vAlign w:val="center"/>
                </w:tcPr>
                <w:p w14:paraId="1009E0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COD</w:t>
                  </w:r>
                </w:p>
                <w:p w14:paraId="1F767E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693" w:type="pct"/>
                  <w:vAlign w:val="center"/>
                </w:tcPr>
                <w:p w14:paraId="0F2B4C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氯化物</w:t>
                  </w:r>
                </w:p>
                <w:p w14:paraId="6A7FB9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988" w:type="pct"/>
                  <w:vAlign w:val="center"/>
                </w:tcPr>
                <w:p w14:paraId="511B52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溶解性总固</w:t>
                  </w:r>
                </w:p>
                <w:p w14:paraId="666FBD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体（mg/L）</w:t>
                  </w:r>
                </w:p>
              </w:tc>
            </w:tr>
            <w:tr w14:paraId="2834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Align w:val="center"/>
                </w:tcPr>
                <w:p w14:paraId="112337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钻井废水</w:t>
                  </w:r>
                </w:p>
              </w:tc>
              <w:tc>
                <w:tcPr>
                  <w:tcW w:w="457" w:type="pct"/>
                  <w:vAlign w:val="center"/>
                </w:tcPr>
                <w:p w14:paraId="460AF4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w:t>
                  </w:r>
                </w:p>
              </w:tc>
              <w:tc>
                <w:tcPr>
                  <w:tcW w:w="707" w:type="pct"/>
                  <w:vAlign w:val="center"/>
                </w:tcPr>
                <w:p w14:paraId="48877D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≤500</w:t>
                  </w:r>
                </w:p>
              </w:tc>
              <w:tc>
                <w:tcPr>
                  <w:tcW w:w="699" w:type="pct"/>
                  <w:vAlign w:val="center"/>
                </w:tcPr>
                <w:p w14:paraId="4DFA4B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c>
                <w:tcPr>
                  <w:tcW w:w="744" w:type="pct"/>
                  <w:vAlign w:val="center"/>
                </w:tcPr>
                <w:p w14:paraId="35ECAC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≤3000</w:t>
                  </w:r>
                </w:p>
              </w:tc>
              <w:tc>
                <w:tcPr>
                  <w:tcW w:w="693" w:type="pct"/>
                  <w:vAlign w:val="center"/>
                </w:tcPr>
                <w:p w14:paraId="3C2A5B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≤800</w:t>
                  </w:r>
                </w:p>
              </w:tc>
              <w:tc>
                <w:tcPr>
                  <w:tcW w:w="988" w:type="pct"/>
                  <w:vAlign w:val="center"/>
                </w:tcPr>
                <w:p w14:paraId="0D01B3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≤4000</w:t>
                  </w:r>
                </w:p>
              </w:tc>
            </w:tr>
          </w:tbl>
          <w:p w14:paraId="5E1640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（2）洗井废水</w:t>
            </w:r>
          </w:p>
          <w:p w14:paraId="230D32CC">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本项目施工期较短，洗井废水属于水基矿物质悬浊液，主要由清水、氯化钾、重晶石、碳酸钠、膨润土、盐、石灰、石膏、腐殖酸等多种物质组成，回返地面时携带大量来自地下的泥土、矿物等</w:t>
            </w:r>
            <w:r>
              <w:rPr>
                <w:rFonts w:hint="eastAsia" w:ascii="Times New Roman" w:hAnsi="Times New Roman" w:cs="Times New Roman"/>
                <w:color w:val="auto"/>
                <w:lang w:val="en-US" w:eastAsia="zh-CN"/>
              </w:rPr>
              <w:t>。</w:t>
            </w:r>
          </w:p>
          <w:p w14:paraId="4ADB620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w:t>
            </w:r>
            <w:r>
              <w:rPr>
                <w:rFonts w:hint="eastAsia" w:ascii="Times New Roman" w:hAnsi="Times New Roman" w:cs="Times New Roman"/>
                <w:color w:val="auto"/>
                <w:lang w:val="en-US" w:eastAsia="zh-CN"/>
              </w:rPr>
              <w:t>前文水平衡分析</w:t>
            </w:r>
            <w:r>
              <w:rPr>
                <w:rFonts w:hint="default" w:ascii="Times New Roman" w:hAnsi="Times New Roman" w:cs="Times New Roman"/>
                <w:color w:val="auto"/>
                <w:lang w:val="en-US" w:eastAsia="zh-CN"/>
              </w:rPr>
              <w:t>，项目</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洗井废水产生量</w:t>
            </w:r>
            <w:r>
              <w:rPr>
                <w:rFonts w:hint="eastAsia" w:ascii="Times New Roman" w:hAnsi="Times New Roman" w:cs="Times New Roman"/>
                <w:color w:val="auto"/>
                <w:lang w:val="en-US" w:eastAsia="zh-CN"/>
              </w:rPr>
              <w:t>约</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45</w:t>
            </w: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井场设置专用收集罐</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个（单个容积为75m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）。由专用收集罐临时收集贮存后委托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lang w:val="en-US" w:eastAsia="zh-CN"/>
              </w:rPr>
              <w:t>外运处理。洗井废水在井场内不落地、不外排</w:t>
            </w:r>
            <w:r>
              <w:rPr>
                <w:rFonts w:hint="eastAsia" w:ascii="Times New Roman" w:hAnsi="Times New Roman" w:cs="Times New Roman"/>
                <w:color w:val="auto"/>
                <w:lang w:val="en-US" w:eastAsia="zh-CN"/>
              </w:rPr>
              <w:t>。洗井废水主要污染物及浓度见下表。</w:t>
            </w:r>
          </w:p>
          <w:p w14:paraId="4BF2B04F">
            <w:pPr>
              <w:pStyle w:val="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2</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洗井</w:t>
            </w:r>
            <w:r>
              <w:rPr>
                <w:rFonts w:hint="default" w:ascii="Times New Roman" w:hAnsi="Times New Roman" w:cs="Times New Roman"/>
                <w:b/>
                <w:bCs/>
                <w:color w:val="auto"/>
                <w:lang w:val="en-US" w:eastAsia="zh-CN"/>
              </w:rPr>
              <w:t>废水水质指标</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1197"/>
              <w:gridCol w:w="1854"/>
              <w:gridCol w:w="1833"/>
              <w:gridCol w:w="1950"/>
            </w:tblGrid>
            <w:tr w14:paraId="56A4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vAlign w:val="center"/>
                </w:tcPr>
                <w:p w14:paraId="4261EF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废液类型</w:t>
                  </w:r>
                </w:p>
              </w:tc>
              <w:tc>
                <w:tcPr>
                  <w:tcW w:w="688" w:type="pct"/>
                  <w:vAlign w:val="center"/>
                </w:tcPr>
                <w:p w14:paraId="60567F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1066" w:type="pct"/>
                  <w:vAlign w:val="center"/>
                </w:tcPr>
                <w:p w14:paraId="54A1D4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悬浮物</w:t>
                  </w:r>
                </w:p>
                <w:p w14:paraId="168C23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1054" w:type="pct"/>
                  <w:vAlign w:val="center"/>
                </w:tcPr>
                <w:p w14:paraId="5E523C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石油类</w:t>
                  </w:r>
                </w:p>
                <w:p w14:paraId="4C50F5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1121" w:type="pct"/>
                  <w:vAlign w:val="center"/>
                </w:tcPr>
                <w:p w14:paraId="66B056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COD</w:t>
                  </w:r>
                </w:p>
                <w:p w14:paraId="1DBD2D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r>
            <w:tr w14:paraId="26DE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vAlign w:val="center"/>
                </w:tcPr>
                <w:p w14:paraId="3B05C7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洗井废水</w:t>
                  </w:r>
                </w:p>
              </w:tc>
              <w:tc>
                <w:tcPr>
                  <w:tcW w:w="688" w:type="pct"/>
                  <w:vAlign w:val="center"/>
                </w:tcPr>
                <w:p w14:paraId="23291E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w:t>
                  </w:r>
                </w:p>
              </w:tc>
              <w:tc>
                <w:tcPr>
                  <w:tcW w:w="1066" w:type="pct"/>
                  <w:vAlign w:val="center"/>
                </w:tcPr>
                <w:p w14:paraId="6DBB57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500</w:t>
                  </w:r>
                </w:p>
              </w:tc>
              <w:tc>
                <w:tcPr>
                  <w:tcW w:w="1054" w:type="pct"/>
                  <w:vAlign w:val="center"/>
                </w:tcPr>
                <w:p w14:paraId="666F73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8</w:t>
                  </w:r>
                  <w:r>
                    <w:rPr>
                      <w:rFonts w:hint="default" w:ascii="Times New Roman" w:hAnsi="Times New Roman" w:eastAsia="宋体" w:cs="Times New Roman"/>
                      <w:b w:val="0"/>
                      <w:bCs w:val="0"/>
                      <w:color w:val="auto"/>
                      <w:sz w:val="21"/>
                      <w:szCs w:val="21"/>
                      <w:vertAlign w:val="baseline"/>
                      <w:lang w:val="en-US" w:eastAsia="zh-CN"/>
                    </w:rPr>
                    <w:t>0</w:t>
                  </w:r>
                </w:p>
              </w:tc>
              <w:tc>
                <w:tcPr>
                  <w:tcW w:w="1121" w:type="pct"/>
                  <w:vAlign w:val="center"/>
                </w:tcPr>
                <w:p w14:paraId="04F76C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45</w:t>
                  </w:r>
                  <w:r>
                    <w:rPr>
                      <w:rFonts w:hint="default" w:ascii="Times New Roman" w:hAnsi="Times New Roman" w:eastAsia="宋体" w:cs="Times New Roman"/>
                      <w:b w:val="0"/>
                      <w:bCs w:val="0"/>
                      <w:color w:val="auto"/>
                      <w:sz w:val="21"/>
                      <w:szCs w:val="21"/>
                      <w:vertAlign w:val="baseline"/>
                      <w:lang w:val="en-US" w:eastAsia="zh-CN"/>
                    </w:rPr>
                    <w:t>00</w:t>
                  </w:r>
                </w:p>
              </w:tc>
            </w:tr>
          </w:tbl>
          <w:p w14:paraId="2B6200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（3）压裂返排液</w:t>
            </w:r>
          </w:p>
          <w:p w14:paraId="3FDAC59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根据勘探项目组多年勘探经验，每次注入压裂液量约</w:t>
            </w:r>
            <w:r>
              <w:rPr>
                <w:rFonts w:hint="eastAsia" w:ascii="Times New Roman" w:hAnsi="Times New Roman" w:cs="Times New Roman"/>
                <w:color w:val="auto"/>
                <w:lang w:val="en-US" w:eastAsia="zh-CN"/>
              </w:rPr>
              <w:t>150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（通过泵注入，每次注入时间约2-3h），共注入2次，</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注入压裂液总量约</w:t>
            </w:r>
            <w:r>
              <w:rPr>
                <w:rFonts w:hint="eastAsia" w:ascii="Times New Roman" w:hAnsi="Times New Roman" w:cs="Times New Roman"/>
                <w:color w:val="auto"/>
                <w:lang w:val="en-US" w:eastAsia="zh-CN"/>
              </w:rPr>
              <w:t>300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。受地层压力作用，压裂后会产生压裂返排液，返排时间约为6-10天，每天返排压裂废水量约15-25m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压裂废水产生量约为</w:t>
            </w:r>
            <w:r>
              <w:rPr>
                <w:rFonts w:hint="eastAsia" w:ascii="Times New Roman" w:hAnsi="Times New Roman" w:cs="Times New Roman"/>
                <w:color w:val="auto"/>
                <w:lang w:val="en-US" w:eastAsia="zh-CN"/>
              </w:rPr>
              <w:t>240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其余压裂液在压裂过程中</w:t>
            </w:r>
            <w:r>
              <w:rPr>
                <w:rFonts w:hint="default" w:ascii="Times New Roman" w:hAnsi="Times New Roman" w:cs="Times New Roman"/>
                <w:color w:val="auto"/>
                <w:lang w:val="en-US" w:eastAsia="zh-CN"/>
              </w:rPr>
              <w:t>进入</w:t>
            </w:r>
            <w:r>
              <w:rPr>
                <w:rFonts w:hint="eastAsia" w:ascii="Times New Roman" w:hAnsi="Times New Roman" w:cs="Times New Roman"/>
                <w:color w:val="auto"/>
                <w:lang w:val="en-US" w:eastAsia="zh-CN"/>
              </w:rPr>
              <w:t>压裂</w:t>
            </w:r>
            <w:r>
              <w:rPr>
                <w:rFonts w:hint="default" w:ascii="Times New Roman" w:hAnsi="Times New Roman" w:cs="Times New Roman"/>
                <w:color w:val="auto"/>
                <w:lang w:val="en-US" w:eastAsia="zh-CN"/>
              </w:rPr>
              <w:t>层。</w:t>
            </w:r>
          </w:p>
          <w:p w14:paraId="40A22FE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根据榆林市生态环境局《关于印发榆林市油气开发压裂反排液处置管理规定的通知》（榆政环发</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2023</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71号）规定：油（气）井场要在压裂及其它井下作业前配备废水地上收集罐，对压裂返排液及其它废水进行统一收集；未配备废水收集罐的井场不得开展相关作业。</w:t>
            </w:r>
            <w:r>
              <w:rPr>
                <w:rFonts w:hint="default" w:ascii="Times New Roman" w:hAnsi="Times New Roman" w:cs="Times New Roman"/>
                <w:color w:val="auto"/>
                <w:lang w:val="en-US" w:eastAsia="zh-CN"/>
              </w:rPr>
              <w:t>本项目压裂返排液临时收集贮存于专用收集罐，委托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sz w:val="24"/>
                <w:lang w:val="en-US" w:eastAsia="zh-CN"/>
              </w:rPr>
              <w:t>外运</w:t>
            </w:r>
            <w:r>
              <w:rPr>
                <w:rFonts w:hint="default" w:ascii="Times New Roman" w:hAnsi="Times New Roman" w:cs="Times New Roman"/>
                <w:color w:val="auto"/>
                <w:lang w:val="en-US" w:eastAsia="zh-CN"/>
              </w:rPr>
              <w:t>处置。符合《榆林市油气开采废弃物不落地集中处置推广项目建设管理指南（试行）》的管理规定。</w:t>
            </w:r>
          </w:p>
          <w:p w14:paraId="1DA6717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据《长庆油田2019年措施返排液处理站实施方案（第一批）》（西安长庆科技工程有限责任公司）对各采气厂运行过程中产生的各类措施返排液成分进行了实测分析，以作为措施返排液处理站设计进水水质指标，根据该普测统计数据，水质指标见下表。</w:t>
            </w:r>
          </w:p>
          <w:p w14:paraId="11261BC2">
            <w:pPr>
              <w:pStyle w:val="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压裂返排液</w:t>
            </w:r>
            <w:r>
              <w:rPr>
                <w:rFonts w:hint="default" w:ascii="Times New Roman" w:hAnsi="Times New Roman" w:cs="Times New Roman"/>
                <w:b/>
                <w:bCs/>
                <w:color w:val="auto"/>
                <w:lang w:val="en-US" w:eastAsia="zh-CN"/>
              </w:rPr>
              <w:t>水质指标</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547"/>
              <w:gridCol w:w="1116"/>
              <w:gridCol w:w="1116"/>
              <w:gridCol w:w="1126"/>
              <w:gridCol w:w="1232"/>
              <w:gridCol w:w="1320"/>
              <w:gridCol w:w="1320"/>
            </w:tblGrid>
            <w:tr w14:paraId="0837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7CBAD3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废液类型</w:t>
                  </w:r>
                </w:p>
              </w:tc>
              <w:tc>
                <w:tcPr>
                  <w:tcW w:w="379" w:type="pct"/>
                  <w:vAlign w:val="center"/>
                </w:tcPr>
                <w:p w14:paraId="403BF1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589" w:type="pct"/>
                  <w:vAlign w:val="center"/>
                </w:tcPr>
                <w:p w14:paraId="6F110F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悬浮物</w:t>
                  </w:r>
                </w:p>
                <w:p w14:paraId="64D387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582" w:type="pct"/>
                  <w:vAlign w:val="center"/>
                </w:tcPr>
                <w:p w14:paraId="004127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含油量</w:t>
                  </w:r>
                  <w:r>
                    <w:rPr>
                      <w:rFonts w:hint="default" w:ascii="Times New Roman" w:hAnsi="Times New Roman" w:eastAsia="宋体" w:cs="Times New Roman"/>
                      <w:b/>
                      <w:bCs/>
                      <w:color w:val="auto"/>
                      <w:sz w:val="21"/>
                      <w:szCs w:val="21"/>
                      <w:vertAlign w:val="baseline"/>
                      <w:lang w:val="en-US" w:eastAsia="zh-CN"/>
                    </w:rPr>
                    <w:t>（mg/L）</w:t>
                  </w:r>
                </w:p>
              </w:tc>
              <w:tc>
                <w:tcPr>
                  <w:tcW w:w="620" w:type="pct"/>
                  <w:vAlign w:val="center"/>
                </w:tcPr>
                <w:p w14:paraId="0FB878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COD</w:t>
                  </w:r>
                </w:p>
                <w:p w14:paraId="68C8BE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591" w:type="pct"/>
                  <w:vAlign w:val="center"/>
                </w:tcPr>
                <w:p w14:paraId="4A9A87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矿化度</w:t>
                  </w:r>
                  <w:r>
                    <w:rPr>
                      <w:rFonts w:hint="default" w:ascii="Times New Roman" w:hAnsi="Times New Roman" w:eastAsia="宋体" w:cs="Times New Roman"/>
                      <w:b/>
                      <w:bCs/>
                      <w:color w:val="auto"/>
                      <w:sz w:val="21"/>
                      <w:szCs w:val="21"/>
                      <w:vertAlign w:val="baseline"/>
                      <w:lang w:val="en-US" w:eastAsia="zh-CN"/>
                    </w:rPr>
                    <w:t>（mg/L）</w:t>
                  </w:r>
                </w:p>
              </w:tc>
              <w:tc>
                <w:tcPr>
                  <w:tcW w:w="823" w:type="pct"/>
                  <w:vAlign w:val="center"/>
                </w:tcPr>
                <w:p w14:paraId="203EB8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总硬度</w:t>
                  </w:r>
                  <w:r>
                    <w:rPr>
                      <w:rFonts w:hint="default" w:ascii="Times New Roman" w:hAnsi="Times New Roman" w:eastAsia="宋体" w:cs="Times New Roman"/>
                      <w:b/>
                      <w:bCs/>
                      <w:color w:val="auto"/>
                      <w:sz w:val="21"/>
                      <w:szCs w:val="21"/>
                      <w:vertAlign w:val="baseline"/>
                      <w:lang w:val="en-US" w:eastAsia="zh-CN"/>
                    </w:rPr>
                    <w:t>（mg/L）</w:t>
                  </w:r>
                </w:p>
              </w:tc>
              <w:tc>
                <w:tcPr>
                  <w:tcW w:w="823" w:type="pct"/>
                  <w:vAlign w:val="center"/>
                </w:tcPr>
                <w:p w14:paraId="14EB00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溶解</w:t>
                  </w:r>
                  <w:r>
                    <w:rPr>
                      <w:rFonts w:hint="eastAsia" w:ascii="Times New Roman" w:hAnsi="Times New Roman" w:eastAsia="宋体" w:cs="Times New Roman"/>
                      <w:b/>
                      <w:bCs/>
                      <w:color w:val="auto"/>
                      <w:sz w:val="21"/>
                      <w:szCs w:val="21"/>
                      <w:vertAlign w:val="baseline"/>
                      <w:lang w:val="en-US" w:eastAsia="zh-CN"/>
                    </w:rPr>
                    <w:t>氧</w:t>
                  </w:r>
                  <w:r>
                    <w:rPr>
                      <w:rFonts w:hint="default" w:ascii="Times New Roman" w:hAnsi="Times New Roman" w:eastAsia="宋体" w:cs="Times New Roman"/>
                      <w:b/>
                      <w:bCs/>
                      <w:color w:val="auto"/>
                      <w:sz w:val="21"/>
                      <w:szCs w:val="21"/>
                      <w:vertAlign w:val="baseline"/>
                      <w:lang w:val="en-US" w:eastAsia="zh-CN"/>
                    </w:rPr>
                    <w:t>（mg/L）</w:t>
                  </w:r>
                </w:p>
              </w:tc>
            </w:tr>
            <w:tr w14:paraId="515B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3841EF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压裂返排液</w:t>
                  </w:r>
                </w:p>
              </w:tc>
              <w:tc>
                <w:tcPr>
                  <w:tcW w:w="379" w:type="pct"/>
                  <w:vAlign w:val="center"/>
                </w:tcPr>
                <w:p w14:paraId="716FDF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6-9</w:t>
                  </w:r>
                </w:p>
              </w:tc>
              <w:tc>
                <w:tcPr>
                  <w:tcW w:w="589" w:type="pct"/>
                  <w:vAlign w:val="center"/>
                </w:tcPr>
                <w:p w14:paraId="4434CA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100-300</w:t>
                  </w:r>
                </w:p>
              </w:tc>
              <w:tc>
                <w:tcPr>
                  <w:tcW w:w="582" w:type="pct"/>
                  <w:vAlign w:val="center"/>
                </w:tcPr>
                <w:p w14:paraId="5B629E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20-50</w:t>
                  </w:r>
                </w:p>
              </w:tc>
              <w:tc>
                <w:tcPr>
                  <w:tcW w:w="620" w:type="pct"/>
                  <w:vAlign w:val="center"/>
                </w:tcPr>
                <w:p w14:paraId="593D94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3000</w:t>
                  </w:r>
                  <w:r>
                    <w:rPr>
                      <w:rFonts w:hint="eastAsia" w:ascii="Times New Roman" w:hAnsi="Times New Roman" w:eastAsia="宋体" w:cs="Times New Roman"/>
                      <w:b w:val="0"/>
                      <w:bCs w:val="0"/>
                      <w:color w:val="auto"/>
                      <w:sz w:val="21"/>
                      <w:szCs w:val="21"/>
                      <w:vertAlign w:val="baseline"/>
                      <w:lang w:val="en-US" w:eastAsia="zh-CN"/>
                    </w:rPr>
                    <w:t>-7000</w:t>
                  </w:r>
                </w:p>
              </w:tc>
              <w:tc>
                <w:tcPr>
                  <w:tcW w:w="591" w:type="pct"/>
                  <w:vAlign w:val="center"/>
                </w:tcPr>
                <w:p w14:paraId="7A4E2B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5000-10000</w:t>
                  </w:r>
                </w:p>
              </w:tc>
              <w:tc>
                <w:tcPr>
                  <w:tcW w:w="823" w:type="pct"/>
                  <w:vAlign w:val="center"/>
                </w:tcPr>
                <w:p w14:paraId="14D3D4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1000-2500</w:t>
                  </w:r>
                </w:p>
              </w:tc>
              <w:tc>
                <w:tcPr>
                  <w:tcW w:w="823" w:type="pct"/>
                  <w:vAlign w:val="center"/>
                </w:tcPr>
                <w:p w14:paraId="2568EB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w:t>
                  </w:r>
                </w:p>
              </w:tc>
            </w:tr>
          </w:tbl>
          <w:p w14:paraId="31DFB2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（4）放喷废水</w:t>
            </w:r>
          </w:p>
          <w:p w14:paraId="1DB20F5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color w:val="auto"/>
                <w:lang w:val="en-US" w:eastAsia="zh-CN"/>
              </w:rPr>
              <w:t>试气过程中，天然气通过井场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燃烧排放，燃烧产生少量的冷凝水，收集至井场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内暂存，根据同类型项目资料显示，</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产生放喷废水的量约为2m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。待钻井结束后，委托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外运处理。放喷废水在井场内不落地、不外排。</w:t>
            </w:r>
          </w:p>
          <w:p w14:paraId="5A2835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（5）生活污水</w:t>
            </w:r>
          </w:p>
          <w:p w14:paraId="47C371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本项目生活污水产生量为</w:t>
            </w:r>
            <w:r>
              <w:rPr>
                <w:rFonts w:hint="eastAsia" w:ascii="Times New Roman" w:hAnsi="Times New Roman" w:eastAsia="宋体" w:cs="Times New Roman"/>
                <w:b w:val="0"/>
                <w:bCs w:val="0"/>
                <w:color w:val="auto"/>
                <w:sz w:val="24"/>
                <w:szCs w:val="24"/>
                <w:vertAlign w:val="baseline"/>
                <w:lang w:val="en-US" w:eastAsia="zh-CN"/>
              </w:rPr>
              <w:t>91</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井场区设置</w:t>
            </w:r>
            <w:r>
              <w:rPr>
                <w:rFonts w:hint="eastAsia" w:ascii="Times New Roman" w:hAnsi="Times New Roman" w:eastAsia="宋体" w:cs="Times New Roman"/>
                <w:b w:val="0"/>
                <w:bCs w:val="0"/>
                <w:color w:val="auto"/>
                <w:sz w:val="24"/>
                <w:szCs w:val="24"/>
                <w:vertAlign w:val="baseline"/>
                <w:lang w:val="en-US" w:eastAsia="zh-CN"/>
              </w:rPr>
              <w:t>卫生</w:t>
            </w:r>
            <w:r>
              <w:rPr>
                <w:rFonts w:hint="default" w:ascii="Times New Roman" w:hAnsi="Times New Roman" w:eastAsia="宋体" w:cs="Times New Roman"/>
                <w:b w:val="0"/>
                <w:bCs w:val="0"/>
                <w:color w:val="auto"/>
                <w:sz w:val="24"/>
                <w:szCs w:val="24"/>
                <w:vertAlign w:val="baseline"/>
                <w:lang w:val="en-US" w:eastAsia="zh-CN"/>
              </w:rPr>
              <w:t>旱厕1座，旱厕定期清掏用于施肥。</w:t>
            </w:r>
            <w:r>
              <w:rPr>
                <w:rFonts w:hint="eastAsia" w:ascii="Times New Roman" w:hAnsi="Times New Roman" w:eastAsia="宋体" w:cs="Times New Roman"/>
                <w:b w:val="0"/>
                <w:bCs w:val="0"/>
                <w:color w:val="auto"/>
                <w:sz w:val="24"/>
                <w:szCs w:val="24"/>
                <w:vertAlign w:val="baseline"/>
                <w:lang w:val="en-US" w:eastAsia="zh-CN"/>
              </w:rPr>
              <w:t>盥洗废水</w:t>
            </w:r>
            <w:r>
              <w:rPr>
                <w:rFonts w:hint="eastAsia" w:ascii="Times New Roman" w:hAnsi="Times New Roman" w:eastAsia="宋体" w:cs="Times New Roman"/>
                <w:b w:val="0"/>
                <w:bCs w:val="0"/>
                <w:color w:val="auto"/>
                <w:sz w:val="24"/>
                <w:szCs w:val="24"/>
                <w:vertAlign w:val="baseline"/>
                <w:lang w:val="en-US" w:eastAsia="zh-CN"/>
              </w:rPr>
              <w:t>设置15m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沉淀罐，沉淀后的废水全部用于井场洒水抑尘，不外排</w:t>
            </w:r>
            <w:r>
              <w:rPr>
                <w:rFonts w:hint="default" w:ascii="Times New Roman" w:hAnsi="Times New Roman" w:eastAsia="宋体" w:cs="Times New Roman"/>
                <w:b w:val="0"/>
                <w:bCs w:val="0"/>
                <w:color w:val="auto"/>
                <w:sz w:val="24"/>
                <w:szCs w:val="24"/>
                <w:vertAlign w:val="baseline"/>
                <w:lang w:val="en-US" w:eastAsia="zh-CN"/>
              </w:rPr>
              <w:t>。</w:t>
            </w:r>
          </w:p>
          <w:p w14:paraId="7E2AC7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此外，井场采用雨污分流制。在暴雨季节，加强对井场内废水储存设施巡查，防止场地内废水溢出井场污染环境。</w:t>
            </w:r>
          </w:p>
          <w:p w14:paraId="0D06FC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综上所述，本项目钻井废水、洗井废水、压裂返排液及生活污水采取的水污染控制和水环境影响减缓措施有效，能够确保废水不外排，因此对地表水环境影响可以接受。</w:t>
            </w:r>
          </w:p>
          <w:p w14:paraId="1A3AE6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四、地下水</w:t>
            </w:r>
          </w:p>
          <w:p w14:paraId="76C61C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（1）钻井过程对地下水的影响</w:t>
            </w:r>
          </w:p>
          <w:p w14:paraId="490512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各地层岩性、孔隙度不同，对于孔隙度大的地层，在钻井过程中可能会发生钻井液漏失的现象，若漏失地层与含水层之间存在较多的断裂或裂隙，漏失的钻井液就有可能顺着岩层断裂、裂隙进入地下水，造成地下水污染。另外，固井过程中固井液的漏失对地下水也有一定的影响。</w:t>
            </w:r>
          </w:p>
          <w:p w14:paraId="731A63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整个钻井作业按照规章操作，尽量避免因压力激增和开泵过猛使泥浆泵入地层污染地下水；钻井过程中采取泥浆监测，一旦发现漏失采取及时堵漏等措施，既能满足工程要求，又可减少对地下水的影响。项目钻井时采用膨润土浆钻井，固井技术完善，在套管的保护下能有效地保护浅层地下水，对地下水影响较小。</w:t>
            </w:r>
          </w:p>
          <w:p w14:paraId="6544D0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（2）井场污染物入渗对地下水的影响</w:t>
            </w:r>
          </w:p>
          <w:p w14:paraId="0153E5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场污染物收集、存储措施不到位，容易造成地表污染物入渗，对浅层地下水造成一定的污染。造成地表污染物入渗的主要因素有：洗井废水罐和压裂返排液罐基础防渗措施不到位，运行中出现渗漏；井口作业区、泥浆循环系统区散落的泥浆、废水渗入地下。本项目对洗井废水罐、压裂返排液罐、泥浆循环罐区、岩屑收集箱等位置进行地面防渗和设置围堰，可有效阻断井场污染物入渗地下。</w:t>
            </w:r>
          </w:p>
          <w:p w14:paraId="6A0BCE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（3）地下水串层影响</w:t>
            </w:r>
          </w:p>
          <w:p w14:paraId="75A7E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w:t>
            </w:r>
            <w:r>
              <w:rPr>
                <w:rFonts w:hint="default" w:ascii="Times New Roman" w:hAnsi="Times New Roman" w:eastAsia="宋体" w:cs="Times New Roman"/>
                <w:b w:val="0"/>
                <w:bCs w:val="0"/>
                <w:color w:val="auto"/>
                <w:sz w:val="24"/>
                <w:szCs w:val="24"/>
                <w:vertAlign w:val="baseline"/>
                <w:lang w:val="en-US" w:eastAsia="zh-CN"/>
              </w:rPr>
              <w:t>评价区地下水为石炭系—侏罗系碎屑岩裂隙与上覆松散层孔隙含水层系统</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在自然状态下，由于存在隔水层，浅层水与深层水很难相互沟通混合。如果隔水层被人为破坏形成孔洞，浅层污染水就会下渗污染深层水，造成地下水串层污染。因此工程施工时必须做好防治地下水串层的措施。</w:t>
            </w:r>
          </w:p>
          <w:p w14:paraId="4C1EE7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污染防治措施：在钻井过程中防止地下水污染的途径主要是封堵串层污染通道：</w:t>
            </w:r>
          </w:p>
          <w:p w14:paraId="4073F2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a. 钻井中遇到浅水层，下套管时应注水泥封固，防止地下水层被地层其它流体或过，钻井泥浆污染；</w:t>
            </w:r>
          </w:p>
          <w:p w14:paraId="067DAA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b. 工程导管段利用高坂含钻井液迅速钻井，在套管的保护下能有效保护浅层地下</w:t>
            </w:r>
            <w:r>
              <w:rPr>
                <w:rFonts w:hint="eastAsia" w:ascii="Times New Roman" w:hAnsi="Times New Roman" w:eastAsia="宋体" w:cs="Times New Roman"/>
                <w:b w:val="0"/>
                <w:bCs w:val="0"/>
                <w:color w:val="auto"/>
                <w:sz w:val="24"/>
                <w:szCs w:val="24"/>
                <w:vertAlign w:val="baseline"/>
                <w:lang w:val="en-US" w:eastAsia="zh-CN"/>
              </w:rPr>
              <w:t>；</w:t>
            </w:r>
          </w:p>
          <w:p w14:paraId="619F9C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c. 每开钻井结束后的固井作业可有效封隔地层与套管之间的环空，防治污染地下；</w:t>
            </w:r>
          </w:p>
          <w:p w14:paraId="202FA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 表层钻进时，使用高坂含泥浆；尽可能采用低毒、低碱泥浆；</w:t>
            </w:r>
          </w:p>
          <w:p w14:paraId="2089B0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e. 井场储备足够的封堵剂，钻井过程中应密切注意钻井液的漏失情况，一旦出现漏失，应立即采取堵漏措施，防止钻井液的漏失污染地下水，漏剂的选取应考虑清洁、无毒、对人体无害、环境污染轻的种类，建议使用水泥堵漏。通过采取以上措施，可有效预防地下水串层污染。</w:t>
            </w:r>
          </w:p>
          <w:p w14:paraId="38CE35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五、声环境影响</w:t>
            </w:r>
          </w:p>
          <w:p w14:paraId="53C581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1、钻井噪声影响</w:t>
            </w:r>
          </w:p>
          <w:p w14:paraId="4594E2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由于本项目钻井过程为24小时连续运行，对声环境影响大的主要为钻井过程中钻机、泵类等设备运行产生的连续性噪声。</w:t>
            </w:r>
            <w:r>
              <w:rPr>
                <w:rFonts w:hint="default" w:ascii="Times New Roman" w:hAnsi="Times New Roman" w:eastAsia="宋体" w:cs="Times New Roman"/>
                <w:b w:val="0"/>
                <w:bCs w:val="0"/>
                <w:color w:val="auto"/>
                <w:sz w:val="24"/>
                <w:szCs w:val="24"/>
                <w:vertAlign w:val="baseline"/>
                <w:lang w:val="en-US" w:eastAsia="zh-CN"/>
              </w:rPr>
              <w:t>拟建工程</w:t>
            </w:r>
            <w:r>
              <w:rPr>
                <w:rFonts w:hint="eastAsia" w:ascii="Times New Roman" w:hAnsi="Times New Roman" w:eastAsia="宋体" w:cs="Times New Roman"/>
                <w:b w:val="0"/>
                <w:bCs w:val="0"/>
                <w:color w:val="auto"/>
                <w:sz w:val="24"/>
                <w:szCs w:val="24"/>
                <w:vertAlign w:val="baseline"/>
                <w:lang w:val="en-US" w:eastAsia="zh-CN"/>
              </w:rPr>
              <w:t>钻井前设备主要包括推土机、装载机、翻斗车等，</w:t>
            </w:r>
            <w:r>
              <w:rPr>
                <w:rFonts w:hint="eastAsia" w:ascii="Times New Roman" w:hAnsi="Times New Roman" w:eastAsia="宋体" w:cs="Times New Roman"/>
                <w:b w:val="0"/>
                <w:bCs w:val="0"/>
                <w:color w:val="auto"/>
                <w:sz w:val="24"/>
                <w:szCs w:val="24"/>
                <w:vertAlign w:val="baseline"/>
                <w:lang w:val="en-US" w:eastAsia="zh-CN"/>
              </w:rPr>
              <w:t>主要用于场地平整，</w:t>
            </w:r>
            <w:r>
              <w:rPr>
                <w:rFonts w:hint="eastAsia" w:ascii="Times New Roman" w:hAnsi="Times New Roman" w:eastAsia="宋体" w:cs="Times New Roman"/>
                <w:b w:val="0"/>
                <w:bCs w:val="0"/>
                <w:color w:val="auto"/>
                <w:sz w:val="24"/>
                <w:szCs w:val="24"/>
                <w:vertAlign w:val="baseline"/>
                <w:lang w:val="en-US" w:eastAsia="zh-CN"/>
              </w:rPr>
              <w:t>施工时间在3-5天之间，施工噪声值较小，对周边环境影响较小。</w:t>
            </w:r>
            <w:r>
              <w:rPr>
                <w:rFonts w:hint="default" w:ascii="Times New Roman" w:hAnsi="Times New Roman" w:eastAsia="宋体" w:cs="Times New Roman"/>
                <w:b w:val="0"/>
                <w:bCs w:val="0"/>
                <w:color w:val="auto"/>
                <w:sz w:val="24"/>
                <w:szCs w:val="24"/>
                <w:vertAlign w:val="baseline"/>
                <w:lang w:val="en-US" w:eastAsia="zh-CN"/>
              </w:rPr>
              <w:t>拟建工程钻井工程主要噪声源及源强见表4-3，主要施工机械噪声不同距离处的噪声级见表4-4。</w:t>
            </w:r>
          </w:p>
          <w:p w14:paraId="1E9F01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表4-3   拟建钻井工程主要噪声源统计表 单位：dB（A）</w:t>
            </w:r>
          </w:p>
          <w:tbl>
            <w:tblPr>
              <w:tblStyle w:val="19"/>
              <w:tblW w:w="499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2"/>
              <w:gridCol w:w="1416"/>
              <w:gridCol w:w="773"/>
              <w:gridCol w:w="1004"/>
              <w:gridCol w:w="931"/>
              <w:gridCol w:w="762"/>
              <w:gridCol w:w="1221"/>
              <w:gridCol w:w="1325"/>
              <w:gridCol w:w="797"/>
            </w:tblGrid>
            <w:tr w14:paraId="3F94D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rPr>
              <w:tc>
                <w:tcPr>
                  <w:tcW w:w="261" w:type="pct"/>
                  <w:vMerge w:val="restart"/>
                  <w:noWrap w:val="0"/>
                  <w:vAlign w:val="center"/>
                </w:tcPr>
                <w:p w14:paraId="5868183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16" w:type="pct"/>
                  <w:vMerge w:val="restart"/>
                  <w:noWrap w:val="0"/>
                  <w:vAlign w:val="center"/>
                </w:tcPr>
                <w:p w14:paraId="7F37977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声源名称</w:t>
                  </w:r>
                </w:p>
              </w:tc>
              <w:tc>
                <w:tcPr>
                  <w:tcW w:w="445" w:type="pct"/>
                  <w:vMerge w:val="restart"/>
                  <w:noWrap w:val="0"/>
                  <w:vAlign w:val="center"/>
                </w:tcPr>
                <w:p w14:paraId="40CF717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型号</w:t>
                  </w:r>
                </w:p>
              </w:tc>
              <w:tc>
                <w:tcPr>
                  <w:tcW w:w="1553" w:type="pct"/>
                  <w:gridSpan w:val="3"/>
                  <w:noWrap w:val="0"/>
                  <w:vAlign w:val="center"/>
                </w:tcPr>
                <w:p w14:paraId="31D9D44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空间相对位置/m</w:t>
                  </w:r>
                </w:p>
              </w:tc>
              <w:tc>
                <w:tcPr>
                  <w:tcW w:w="703" w:type="pct"/>
                  <w:noWrap w:val="0"/>
                  <w:vAlign w:val="center"/>
                </w:tcPr>
                <w:p w14:paraId="02AF956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声源源强</w:t>
                  </w:r>
                </w:p>
              </w:tc>
              <w:tc>
                <w:tcPr>
                  <w:tcW w:w="763" w:type="pct"/>
                  <w:vMerge w:val="restart"/>
                  <w:noWrap w:val="0"/>
                  <w:vAlign w:val="center"/>
                </w:tcPr>
                <w:p w14:paraId="345BDEA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声源控制措施</w:t>
                  </w:r>
                </w:p>
              </w:tc>
              <w:tc>
                <w:tcPr>
                  <w:tcW w:w="456" w:type="pct"/>
                  <w:vMerge w:val="restart"/>
                  <w:noWrap w:val="0"/>
                  <w:vAlign w:val="center"/>
                </w:tcPr>
                <w:p w14:paraId="26822EF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运行时段</w:t>
                  </w:r>
                </w:p>
              </w:tc>
            </w:tr>
            <w:tr w14:paraId="0264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261" w:type="pct"/>
                  <w:vMerge w:val="continue"/>
                  <w:noWrap w:val="0"/>
                  <w:vAlign w:val="center"/>
                </w:tcPr>
                <w:p w14:paraId="02931720">
                  <w:pPr>
                    <w:jc w:val="center"/>
                    <w:rPr>
                      <w:rFonts w:hint="default" w:ascii="Times New Roman" w:hAnsi="Times New Roman" w:cs="Times New Roman"/>
                      <w:b/>
                      <w:bCs/>
                      <w:color w:val="auto"/>
                      <w:sz w:val="21"/>
                      <w:szCs w:val="21"/>
                    </w:rPr>
                  </w:pPr>
                </w:p>
              </w:tc>
              <w:tc>
                <w:tcPr>
                  <w:tcW w:w="816" w:type="pct"/>
                  <w:vMerge w:val="continue"/>
                  <w:noWrap w:val="0"/>
                  <w:vAlign w:val="center"/>
                </w:tcPr>
                <w:p w14:paraId="2140BFDC">
                  <w:pPr>
                    <w:jc w:val="center"/>
                    <w:rPr>
                      <w:rFonts w:hint="default" w:ascii="Times New Roman" w:hAnsi="Times New Roman" w:cs="Times New Roman"/>
                      <w:b/>
                      <w:bCs/>
                      <w:color w:val="auto"/>
                      <w:sz w:val="21"/>
                      <w:szCs w:val="21"/>
                    </w:rPr>
                  </w:pPr>
                </w:p>
              </w:tc>
              <w:tc>
                <w:tcPr>
                  <w:tcW w:w="445" w:type="pct"/>
                  <w:vMerge w:val="continue"/>
                  <w:noWrap w:val="0"/>
                  <w:vAlign w:val="center"/>
                </w:tcPr>
                <w:p w14:paraId="1B2FAE7E">
                  <w:pPr>
                    <w:jc w:val="center"/>
                    <w:rPr>
                      <w:rFonts w:hint="default" w:ascii="Times New Roman" w:hAnsi="Times New Roman" w:cs="Times New Roman"/>
                      <w:b/>
                      <w:bCs/>
                      <w:color w:val="auto"/>
                      <w:sz w:val="21"/>
                      <w:szCs w:val="21"/>
                    </w:rPr>
                  </w:pPr>
                </w:p>
              </w:tc>
              <w:tc>
                <w:tcPr>
                  <w:tcW w:w="578" w:type="pct"/>
                  <w:noWrap w:val="0"/>
                  <w:vAlign w:val="center"/>
                </w:tcPr>
                <w:p w14:paraId="1299CCC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536" w:type="pct"/>
                  <w:noWrap w:val="0"/>
                  <w:vAlign w:val="center"/>
                </w:tcPr>
                <w:p w14:paraId="72B90A9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438" w:type="pct"/>
                  <w:noWrap w:val="0"/>
                  <w:vAlign w:val="center"/>
                </w:tcPr>
                <w:p w14:paraId="293915C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Z</w:t>
                  </w:r>
                </w:p>
              </w:tc>
              <w:tc>
                <w:tcPr>
                  <w:tcW w:w="703" w:type="pct"/>
                  <w:noWrap w:val="0"/>
                  <w:vAlign w:val="center"/>
                </w:tcPr>
                <w:p w14:paraId="2879DA4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声功率级dB(A)</w:t>
                  </w:r>
                </w:p>
              </w:tc>
              <w:tc>
                <w:tcPr>
                  <w:tcW w:w="763" w:type="pct"/>
                  <w:vMerge w:val="continue"/>
                  <w:noWrap w:val="0"/>
                  <w:vAlign w:val="center"/>
                </w:tcPr>
                <w:p w14:paraId="4DE86179">
                  <w:pPr>
                    <w:jc w:val="center"/>
                    <w:rPr>
                      <w:rFonts w:hint="default" w:ascii="Times New Roman" w:hAnsi="Times New Roman" w:cs="Times New Roman"/>
                      <w:color w:val="auto"/>
                      <w:sz w:val="21"/>
                      <w:szCs w:val="21"/>
                    </w:rPr>
                  </w:pPr>
                </w:p>
              </w:tc>
              <w:tc>
                <w:tcPr>
                  <w:tcW w:w="456" w:type="pct"/>
                  <w:vMerge w:val="continue"/>
                  <w:noWrap w:val="0"/>
                  <w:vAlign w:val="center"/>
                </w:tcPr>
                <w:p w14:paraId="561C43D9">
                  <w:pPr>
                    <w:jc w:val="center"/>
                    <w:rPr>
                      <w:rFonts w:hint="default" w:ascii="Times New Roman" w:hAnsi="Times New Roman" w:cs="Times New Roman"/>
                      <w:color w:val="auto"/>
                      <w:sz w:val="21"/>
                      <w:szCs w:val="21"/>
                    </w:rPr>
                  </w:pPr>
                </w:p>
              </w:tc>
            </w:tr>
            <w:tr w14:paraId="1831F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314364F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16" w:type="pct"/>
                  <w:noWrap w:val="0"/>
                  <w:vAlign w:val="center"/>
                </w:tcPr>
                <w:p w14:paraId="7353563F">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钻机</w:t>
                  </w:r>
                </w:p>
              </w:tc>
              <w:tc>
                <w:tcPr>
                  <w:tcW w:w="445" w:type="pct"/>
                  <w:noWrap w:val="0"/>
                  <w:vAlign w:val="center"/>
                </w:tcPr>
                <w:p w14:paraId="790C80C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7CE0297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50.6</w:t>
                  </w:r>
                </w:p>
              </w:tc>
              <w:tc>
                <w:tcPr>
                  <w:tcW w:w="536" w:type="pct"/>
                  <w:noWrap w:val="0"/>
                  <w:vAlign w:val="center"/>
                </w:tcPr>
                <w:p w14:paraId="1C4251C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38.82</w:t>
                  </w:r>
                </w:p>
              </w:tc>
              <w:tc>
                <w:tcPr>
                  <w:tcW w:w="438" w:type="pct"/>
                  <w:noWrap w:val="0"/>
                  <w:vAlign w:val="center"/>
                </w:tcPr>
                <w:p w14:paraId="3F6F9976">
                  <w:pPr>
                    <w:pStyle w:val="14"/>
                    <w:spacing w:after="0" w:line="240" w:lineRule="auto"/>
                    <w:ind w:left="0" w:lef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703" w:type="pct"/>
                  <w:noWrap w:val="0"/>
                  <w:vAlign w:val="center"/>
                </w:tcPr>
                <w:p w14:paraId="1C9F69C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763" w:type="pct"/>
                  <w:vMerge w:val="restart"/>
                  <w:noWrap w:val="0"/>
                  <w:vAlign w:val="center"/>
                </w:tcPr>
                <w:p w14:paraId="23190A22">
                  <w:pPr>
                    <w:pStyle w:val="14"/>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6" w:type="pct"/>
                  <w:vMerge w:val="restart"/>
                  <w:noWrap w:val="0"/>
                  <w:vAlign w:val="center"/>
                </w:tcPr>
                <w:p w14:paraId="336C9800">
                  <w:pPr>
                    <w:pStyle w:val="14"/>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昼间、夜间</w:t>
                  </w:r>
                </w:p>
              </w:tc>
            </w:tr>
            <w:tr w14:paraId="07C66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7EEF36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816" w:type="pct"/>
                  <w:noWrap w:val="0"/>
                  <w:vAlign w:val="center"/>
                </w:tcPr>
                <w:p w14:paraId="6C86613B">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泥浆泵（2台）</w:t>
                  </w:r>
                </w:p>
              </w:tc>
              <w:tc>
                <w:tcPr>
                  <w:tcW w:w="445" w:type="pct"/>
                  <w:noWrap w:val="0"/>
                  <w:vAlign w:val="center"/>
                </w:tcPr>
                <w:p w14:paraId="1692D0F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2C7AA43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74.14</w:t>
                  </w:r>
                </w:p>
              </w:tc>
              <w:tc>
                <w:tcPr>
                  <w:tcW w:w="536" w:type="pct"/>
                  <w:noWrap w:val="0"/>
                  <w:vAlign w:val="center"/>
                </w:tcPr>
                <w:p w14:paraId="3DF5826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34.73</w:t>
                  </w:r>
                </w:p>
              </w:tc>
              <w:tc>
                <w:tcPr>
                  <w:tcW w:w="438" w:type="pct"/>
                  <w:noWrap w:val="0"/>
                  <w:vAlign w:val="center"/>
                </w:tcPr>
                <w:p w14:paraId="7DA2BCE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69D610C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3" w:type="pct"/>
                  <w:vMerge w:val="continue"/>
                  <w:noWrap w:val="0"/>
                  <w:vAlign w:val="center"/>
                </w:tcPr>
                <w:p w14:paraId="5C01312F">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2DF89F08">
                  <w:pPr>
                    <w:pStyle w:val="14"/>
                    <w:spacing w:after="0" w:line="240" w:lineRule="auto"/>
                    <w:ind w:left="0" w:leftChars="0"/>
                    <w:jc w:val="center"/>
                    <w:rPr>
                      <w:rFonts w:hint="default" w:ascii="Times New Roman" w:hAnsi="Times New Roman" w:cs="Times New Roman"/>
                      <w:color w:val="auto"/>
                      <w:szCs w:val="21"/>
                    </w:rPr>
                  </w:pPr>
                </w:p>
              </w:tc>
            </w:tr>
            <w:tr w14:paraId="31AA1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261" w:type="pct"/>
                  <w:noWrap w:val="0"/>
                  <w:vAlign w:val="center"/>
                </w:tcPr>
                <w:p w14:paraId="1D38FDA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816" w:type="pct"/>
                  <w:noWrap w:val="0"/>
                  <w:vAlign w:val="center"/>
                </w:tcPr>
                <w:p w14:paraId="3F1FAF32">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除泥器</w:t>
                  </w:r>
                </w:p>
              </w:tc>
              <w:tc>
                <w:tcPr>
                  <w:tcW w:w="445" w:type="pct"/>
                  <w:noWrap w:val="0"/>
                  <w:vAlign w:val="center"/>
                </w:tcPr>
                <w:p w14:paraId="596039E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0D34238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72.87</w:t>
                  </w:r>
                </w:p>
              </w:tc>
              <w:tc>
                <w:tcPr>
                  <w:tcW w:w="536" w:type="pct"/>
                  <w:noWrap w:val="0"/>
                  <w:vAlign w:val="center"/>
                </w:tcPr>
                <w:p w14:paraId="776D06D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21.18</w:t>
                  </w:r>
                </w:p>
              </w:tc>
              <w:tc>
                <w:tcPr>
                  <w:tcW w:w="438" w:type="pct"/>
                  <w:noWrap w:val="0"/>
                  <w:vAlign w:val="center"/>
                </w:tcPr>
                <w:p w14:paraId="19E36A1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1402A39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763" w:type="pct"/>
                  <w:vMerge w:val="continue"/>
                  <w:noWrap w:val="0"/>
                  <w:vAlign w:val="center"/>
                </w:tcPr>
                <w:p w14:paraId="17496CDC">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60694704">
                  <w:pPr>
                    <w:pStyle w:val="14"/>
                    <w:spacing w:after="0" w:line="240" w:lineRule="auto"/>
                    <w:ind w:left="0" w:leftChars="0"/>
                    <w:jc w:val="center"/>
                    <w:rPr>
                      <w:rFonts w:hint="default" w:ascii="Times New Roman" w:hAnsi="Times New Roman" w:cs="Times New Roman"/>
                      <w:color w:val="auto"/>
                      <w:szCs w:val="21"/>
                    </w:rPr>
                  </w:pPr>
                </w:p>
              </w:tc>
            </w:tr>
            <w:tr w14:paraId="0A40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18CE132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816" w:type="pct"/>
                  <w:noWrap w:val="0"/>
                  <w:vAlign w:val="center"/>
                </w:tcPr>
                <w:p w14:paraId="36895659">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除砂器</w:t>
                  </w:r>
                </w:p>
              </w:tc>
              <w:tc>
                <w:tcPr>
                  <w:tcW w:w="445" w:type="pct"/>
                  <w:noWrap w:val="0"/>
                  <w:vAlign w:val="center"/>
                </w:tcPr>
                <w:p w14:paraId="7EB4763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1CF19D6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76.29</w:t>
                  </w:r>
                </w:p>
              </w:tc>
              <w:tc>
                <w:tcPr>
                  <w:tcW w:w="536" w:type="pct"/>
                  <w:noWrap w:val="0"/>
                  <w:vAlign w:val="center"/>
                </w:tcPr>
                <w:p w14:paraId="3A322AD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44.61</w:t>
                  </w:r>
                </w:p>
              </w:tc>
              <w:tc>
                <w:tcPr>
                  <w:tcW w:w="438" w:type="pct"/>
                  <w:noWrap w:val="0"/>
                  <w:vAlign w:val="center"/>
                </w:tcPr>
                <w:p w14:paraId="14553C2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0F8B1F4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763" w:type="pct"/>
                  <w:vMerge w:val="continue"/>
                  <w:noWrap w:val="0"/>
                  <w:vAlign w:val="center"/>
                </w:tcPr>
                <w:p w14:paraId="6BFD7749">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67EF0700">
                  <w:pPr>
                    <w:pStyle w:val="14"/>
                    <w:spacing w:after="0" w:line="240" w:lineRule="auto"/>
                    <w:ind w:left="0" w:leftChars="0"/>
                    <w:jc w:val="center"/>
                    <w:rPr>
                      <w:rFonts w:hint="default" w:ascii="Times New Roman" w:hAnsi="Times New Roman" w:cs="Times New Roman"/>
                      <w:color w:val="auto"/>
                      <w:szCs w:val="21"/>
                    </w:rPr>
                  </w:pPr>
                </w:p>
              </w:tc>
            </w:tr>
            <w:tr w14:paraId="4EEDE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70470F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16" w:type="pct"/>
                  <w:noWrap w:val="0"/>
                  <w:vAlign w:val="center"/>
                </w:tcPr>
                <w:p w14:paraId="7D50895A">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振动筛（3台）</w:t>
                  </w:r>
                </w:p>
              </w:tc>
              <w:tc>
                <w:tcPr>
                  <w:tcW w:w="445" w:type="pct"/>
                  <w:noWrap w:val="0"/>
                  <w:vAlign w:val="center"/>
                </w:tcPr>
                <w:p w14:paraId="54DF591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1770DEE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77.87</w:t>
                  </w:r>
                </w:p>
              </w:tc>
              <w:tc>
                <w:tcPr>
                  <w:tcW w:w="536" w:type="pct"/>
                  <w:noWrap w:val="0"/>
                  <w:vAlign w:val="center"/>
                </w:tcPr>
                <w:p w14:paraId="028A6F7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51.46</w:t>
                  </w:r>
                </w:p>
              </w:tc>
              <w:tc>
                <w:tcPr>
                  <w:tcW w:w="438" w:type="pct"/>
                  <w:noWrap w:val="0"/>
                  <w:vAlign w:val="center"/>
                </w:tcPr>
                <w:p w14:paraId="0589994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652F0EB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69.7</w:t>
                  </w:r>
                </w:p>
              </w:tc>
              <w:tc>
                <w:tcPr>
                  <w:tcW w:w="763" w:type="pct"/>
                  <w:vMerge w:val="continue"/>
                  <w:noWrap w:val="0"/>
                  <w:vAlign w:val="center"/>
                </w:tcPr>
                <w:p w14:paraId="780E4E7F">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12B5D476">
                  <w:pPr>
                    <w:pStyle w:val="14"/>
                    <w:spacing w:after="0" w:line="240" w:lineRule="auto"/>
                    <w:ind w:left="0" w:leftChars="0"/>
                    <w:jc w:val="center"/>
                    <w:rPr>
                      <w:rFonts w:hint="default" w:ascii="Times New Roman" w:hAnsi="Times New Roman" w:cs="Times New Roman"/>
                      <w:color w:val="auto"/>
                      <w:szCs w:val="21"/>
                    </w:rPr>
                  </w:pPr>
                </w:p>
              </w:tc>
            </w:tr>
            <w:tr w14:paraId="3E806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3EE5206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816" w:type="pct"/>
                  <w:noWrap w:val="0"/>
                  <w:vAlign w:val="center"/>
                </w:tcPr>
                <w:p w14:paraId="6621489A">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离心机（2台）</w:t>
                  </w:r>
                </w:p>
              </w:tc>
              <w:tc>
                <w:tcPr>
                  <w:tcW w:w="445" w:type="pct"/>
                  <w:noWrap w:val="0"/>
                  <w:vAlign w:val="center"/>
                </w:tcPr>
                <w:p w14:paraId="1840749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6D082A8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71.55</w:t>
                  </w:r>
                </w:p>
              </w:tc>
              <w:tc>
                <w:tcPr>
                  <w:tcW w:w="536" w:type="pct"/>
                  <w:noWrap w:val="0"/>
                  <w:vAlign w:val="center"/>
                </w:tcPr>
                <w:p w14:paraId="4CCC58C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3.81</w:t>
                  </w:r>
                </w:p>
              </w:tc>
              <w:tc>
                <w:tcPr>
                  <w:tcW w:w="438" w:type="pct"/>
                  <w:noWrap w:val="0"/>
                  <w:vAlign w:val="center"/>
                </w:tcPr>
                <w:p w14:paraId="33E19CC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55C6B72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3" w:type="pct"/>
                  <w:vMerge w:val="continue"/>
                  <w:noWrap w:val="0"/>
                  <w:vAlign w:val="center"/>
                </w:tcPr>
                <w:p w14:paraId="38A5EA40">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308361EE">
                  <w:pPr>
                    <w:pStyle w:val="14"/>
                    <w:spacing w:after="0" w:line="240" w:lineRule="auto"/>
                    <w:ind w:left="0" w:leftChars="0"/>
                    <w:jc w:val="center"/>
                    <w:rPr>
                      <w:rFonts w:hint="default" w:ascii="Times New Roman" w:hAnsi="Times New Roman" w:cs="Times New Roman"/>
                      <w:color w:val="auto"/>
                      <w:szCs w:val="21"/>
                    </w:rPr>
                  </w:pPr>
                </w:p>
              </w:tc>
            </w:tr>
            <w:tr w14:paraId="34DAE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6724622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16" w:type="pct"/>
                  <w:noWrap w:val="0"/>
                  <w:vAlign w:val="center"/>
                </w:tcPr>
                <w:p w14:paraId="7100A5FB">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自动压风机</w:t>
                  </w:r>
                </w:p>
              </w:tc>
              <w:tc>
                <w:tcPr>
                  <w:tcW w:w="445" w:type="pct"/>
                  <w:noWrap w:val="0"/>
                  <w:vAlign w:val="center"/>
                </w:tcPr>
                <w:p w14:paraId="48771A5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28A23B9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61.02</w:t>
                  </w:r>
                </w:p>
              </w:tc>
              <w:tc>
                <w:tcPr>
                  <w:tcW w:w="536" w:type="pct"/>
                  <w:noWrap w:val="0"/>
                  <w:vAlign w:val="center"/>
                </w:tcPr>
                <w:p w14:paraId="415E6AF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3.55</w:t>
                  </w:r>
                </w:p>
              </w:tc>
              <w:tc>
                <w:tcPr>
                  <w:tcW w:w="438" w:type="pct"/>
                  <w:noWrap w:val="0"/>
                  <w:vAlign w:val="center"/>
                </w:tcPr>
                <w:p w14:paraId="62E231F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7C3B47A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w:t>
                  </w:r>
                </w:p>
              </w:tc>
              <w:tc>
                <w:tcPr>
                  <w:tcW w:w="763" w:type="pct"/>
                  <w:vMerge w:val="continue"/>
                  <w:noWrap w:val="0"/>
                  <w:vAlign w:val="center"/>
                </w:tcPr>
                <w:p w14:paraId="08777648">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61A61BA3">
                  <w:pPr>
                    <w:pStyle w:val="14"/>
                    <w:spacing w:after="0" w:line="240" w:lineRule="auto"/>
                    <w:ind w:left="0" w:leftChars="0"/>
                    <w:jc w:val="center"/>
                    <w:rPr>
                      <w:rFonts w:hint="default" w:ascii="Times New Roman" w:hAnsi="Times New Roman" w:cs="Times New Roman"/>
                      <w:color w:val="auto"/>
                      <w:szCs w:val="21"/>
                    </w:rPr>
                  </w:pPr>
                </w:p>
              </w:tc>
            </w:tr>
            <w:tr w14:paraId="78D21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4076902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816" w:type="pct"/>
                  <w:noWrap w:val="0"/>
                  <w:vAlign w:val="center"/>
                </w:tcPr>
                <w:p w14:paraId="1C63D424">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电动压风机</w:t>
                  </w:r>
                </w:p>
              </w:tc>
              <w:tc>
                <w:tcPr>
                  <w:tcW w:w="445" w:type="pct"/>
                  <w:noWrap w:val="0"/>
                  <w:vAlign w:val="center"/>
                </w:tcPr>
                <w:p w14:paraId="24892C3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268DBC0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52.86</w:t>
                  </w:r>
                </w:p>
              </w:tc>
              <w:tc>
                <w:tcPr>
                  <w:tcW w:w="536" w:type="pct"/>
                  <w:noWrap w:val="0"/>
                  <w:vAlign w:val="center"/>
                </w:tcPr>
                <w:p w14:paraId="0BD5384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4.86</w:t>
                  </w:r>
                </w:p>
              </w:tc>
              <w:tc>
                <w:tcPr>
                  <w:tcW w:w="438" w:type="pct"/>
                  <w:noWrap w:val="0"/>
                  <w:vAlign w:val="center"/>
                </w:tcPr>
                <w:p w14:paraId="1F5973F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1C19BD9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763" w:type="pct"/>
                  <w:vMerge w:val="continue"/>
                  <w:noWrap w:val="0"/>
                  <w:vAlign w:val="center"/>
                </w:tcPr>
                <w:p w14:paraId="35325C35">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511B6A70">
                  <w:pPr>
                    <w:pStyle w:val="14"/>
                    <w:spacing w:after="0" w:line="240" w:lineRule="auto"/>
                    <w:ind w:left="0" w:leftChars="0"/>
                    <w:jc w:val="center"/>
                    <w:rPr>
                      <w:rFonts w:hint="default" w:ascii="Times New Roman" w:hAnsi="Times New Roman" w:cs="Times New Roman"/>
                      <w:color w:val="auto"/>
                      <w:szCs w:val="21"/>
                    </w:rPr>
                  </w:pPr>
                </w:p>
              </w:tc>
            </w:tr>
            <w:tr w14:paraId="10D37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0D9E1BE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816" w:type="pct"/>
                  <w:noWrap w:val="0"/>
                  <w:vAlign w:val="center"/>
                </w:tcPr>
                <w:p w14:paraId="062C4956">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钻井泵（2台）</w:t>
                  </w:r>
                </w:p>
              </w:tc>
              <w:tc>
                <w:tcPr>
                  <w:tcW w:w="445" w:type="pct"/>
                  <w:noWrap w:val="0"/>
                  <w:vAlign w:val="center"/>
                </w:tcPr>
                <w:p w14:paraId="2060A77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2CBE06B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55.49</w:t>
                  </w:r>
                </w:p>
              </w:tc>
              <w:tc>
                <w:tcPr>
                  <w:tcW w:w="536" w:type="pct"/>
                  <w:noWrap w:val="0"/>
                  <w:vAlign w:val="center"/>
                </w:tcPr>
                <w:p w14:paraId="5ED81A7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38.03</w:t>
                  </w:r>
                </w:p>
              </w:tc>
              <w:tc>
                <w:tcPr>
                  <w:tcW w:w="438" w:type="pct"/>
                  <w:noWrap w:val="0"/>
                  <w:vAlign w:val="center"/>
                </w:tcPr>
                <w:p w14:paraId="0B901C7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0084D89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3" w:type="pct"/>
                  <w:vMerge w:val="continue"/>
                  <w:noWrap w:val="0"/>
                  <w:vAlign w:val="center"/>
                </w:tcPr>
                <w:p w14:paraId="07C3DA20">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7AF0786D">
                  <w:pPr>
                    <w:pStyle w:val="14"/>
                    <w:spacing w:after="0" w:line="240" w:lineRule="auto"/>
                    <w:ind w:left="0" w:leftChars="0"/>
                    <w:jc w:val="center"/>
                    <w:rPr>
                      <w:rFonts w:hint="default" w:ascii="Times New Roman" w:hAnsi="Times New Roman" w:cs="Times New Roman"/>
                      <w:color w:val="auto"/>
                      <w:szCs w:val="21"/>
                    </w:rPr>
                  </w:pPr>
                </w:p>
              </w:tc>
            </w:tr>
            <w:tr w14:paraId="038A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4E28165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816" w:type="pct"/>
                  <w:noWrap w:val="0"/>
                  <w:vAlign w:val="center"/>
                </w:tcPr>
                <w:p w14:paraId="0161CD7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加重泵（2台）</w:t>
                  </w:r>
                </w:p>
              </w:tc>
              <w:tc>
                <w:tcPr>
                  <w:tcW w:w="445" w:type="pct"/>
                  <w:noWrap w:val="0"/>
                  <w:vAlign w:val="center"/>
                </w:tcPr>
                <w:p w14:paraId="193A3AD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2441DF0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51.97</w:t>
                  </w:r>
                </w:p>
              </w:tc>
              <w:tc>
                <w:tcPr>
                  <w:tcW w:w="536" w:type="pct"/>
                  <w:noWrap w:val="0"/>
                  <w:vAlign w:val="center"/>
                </w:tcPr>
                <w:p w14:paraId="471F230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18.79</w:t>
                  </w:r>
                </w:p>
              </w:tc>
              <w:tc>
                <w:tcPr>
                  <w:tcW w:w="438" w:type="pct"/>
                  <w:noWrap w:val="0"/>
                  <w:vAlign w:val="center"/>
                </w:tcPr>
                <w:p w14:paraId="6ED1E54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78084D7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3" w:type="pct"/>
                  <w:vMerge w:val="continue"/>
                  <w:noWrap w:val="0"/>
                  <w:vAlign w:val="center"/>
                </w:tcPr>
                <w:p w14:paraId="239F366A">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32AC7471">
                  <w:pPr>
                    <w:pStyle w:val="14"/>
                    <w:spacing w:after="0" w:line="240" w:lineRule="auto"/>
                    <w:ind w:left="0" w:leftChars="0"/>
                    <w:jc w:val="center"/>
                    <w:rPr>
                      <w:rFonts w:hint="default" w:ascii="Times New Roman" w:hAnsi="Times New Roman" w:cs="Times New Roman"/>
                      <w:color w:val="auto"/>
                      <w:szCs w:val="21"/>
                    </w:rPr>
                  </w:pPr>
                </w:p>
              </w:tc>
            </w:tr>
            <w:tr w14:paraId="71F79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1" w:type="pct"/>
                  <w:noWrap w:val="0"/>
                  <w:vAlign w:val="center"/>
                </w:tcPr>
                <w:p w14:paraId="5838550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noWrap w:val="0"/>
                  <w:vAlign w:val="center"/>
                </w:tcPr>
                <w:p w14:paraId="2480102D">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noWrap w:val="0"/>
                  <w:vAlign w:val="center"/>
                </w:tcPr>
                <w:p w14:paraId="6AEA7D1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78" w:type="pct"/>
                  <w:noWrap w:val="0"/>
                  <w:vAlign w:val="center"/>
                </w:tcPr>
                <w:p w14:paraId="5F490D6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75.31</w:t>
                  </w:r>
                </w:p>
              </w:tc>
              <w:tc>
                <w:tcPr>
                  <w:tcW w:w="536" w:type="pct"/>
                  <w:noWrap w:val="0"/>
                  <w:vAlign w:val="center"/>
                </w:tcPr>
                <w:p w14:paraId="0E54CE2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5.46</w:t>
                  </w:r>
                </w:p>
              </w:tc>
              <w:tc>
                <w:tcPr>
                  <w:tcW w:w="438" w:type="pct"/>
                  <w:noWrap w:val="0"/>
                  <w:vAlign w:val="center"/>
                </w:tcPr>
                <w:p w14:paraId="3EE4B9F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3" w:type="pct"/>
                  <w:noWrap w:val="0"/>
                  <w:vAlign w:val="center"/>
                </w:tcPr>
                <w:p w14:paraId="1886329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3" w:type="pct"/>
                  <w:vMerge w:val="continue"/>
                  <w:noWrap w:val="0"/>
                  <w:vAlign w:val="center"/>
                </w:tcPr>
                <w:p w14:paraId="4D4E23C2">
                  <w:pPr>
                    <w:pStyle w:val="14"/>
                    <w:spacing w:after="0" w:line="240" w:lineRule="auto"/>
                    <w:ind w:left="0" w:leftChars="0"/>
                    <w:jc w:val="center"/>
                    <w:rPr>
                      <w:rFonts w:hint="default" w:ascii="Times New Roman" w:hAnsi="Times New Roman" w:cs="Times New Roman"/>
                      <w:color w:val="auto"/>
                      <w:szCs w:val="21"/>
                    </w:rPr>
                  </w:pPr>
                </w:p>
              </w:tc>
              <w:tc>
                <w:tcPr>
                  <w:tcW w:w="456" w:type="pct"/>
                  <w:vMerge w:val="continue"/>
                  <w:noWrap w:val="0"/>
                  <w:vAlign w:val="center"/>
                </w:tcPr>
                <w:p w14:paraId="6E747A16">
                  <w:pPr>
                    <w:pStyle w:val="14"/>
                    <w:spacing w:after="0" w:line="240" w:lineRule="auto"/>
                    <w:ind w:left="0" w:leftChars="0"/>
                    <w:jc w:val="center"/>
                    <w:rPr>
                      <w:rFonts w:hint="default" w:ascii="Times New Roman" w:hAnsi="Times New Roman" w:cs="Times New Roman"/>
                      <w:color w:val="auto"/>
                      <w:szCs w:val="21"/>
                    </w:rPr>
                  </w:pPr>
                </w:p>
              </w:tc>
            </w:tr>
            <w:tr w14:paraId="6E1D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438C8981">
                  <w:pPr>
                    <w:pStyle w:val="14"/>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w:t>
                  </w:r>
                  <w:r>
                    <w:rPr>
                      <w:rFonts w:hint="default" w:ascii="Times New Roman" w:hAnsi="Times New Roman" w:cs="Times New Roman"/>
                      <w:color w:val="auto"/>
                      <w:szCs w:val="21"/>
                    </w:rPr>
                    <w:t>西南角边界。</w:t>
                  </w:r>
                </w:p>
              </w:tc>
            </w:tr>
          </w:tbl>
          <w:p w14:paraId="34417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在不考虑声传播过程中屏障隔声、空气吸收、地面效应的前提下，利用点声源衰减模式，对噪声影响的范围进行计算，结果见表4-4。</w:t>
            </w:r>
          </w:p>
          <w:p w14:paraId="4C8108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根据本项目施工期间主要噪声源的特征，可采用点声源距离衰减公式对主要声源产生声环境质量影响进行预测，具体公式如下：</w:t>
            </w:r>
          </w:p>
          <w:p w14:paraId="3F3001E2">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本项目室外声源按照点声源几何发散衰减模式计算：</w:t>
            </w:r>
          </w:p>
          <w:p w14:paraId="1BE8F3D0">
            <w:pPr>
              <w:pStyle w:val="2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i w:val="0"/>
                <w:color w:val="auto"/>
                <w:lang w:eastAsia="zh-CN"/>
              </w:rPr>
            </w:pPr>
            <w:r>
              <w:rPr>
                <w:rFonts w:hint="default" w:ascii="Times New Roman" w:hAnsi="Times New Roman" w:cs="Times New Roman"/>
                <w:i/>
                <w:color w:val="auto"/>
                <w:position w:val="-30"/>
              </w:rPr>
              <w:object>
                <v:shape id="_x0000_i1026" o:spt="75" type="#_x0000_t75" style="height:34pt;width:114.95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p>
          <w:p w14:paraId="63A02342">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式中：</w:t>
            </w: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p</w:t>
            </w:r>
            <w:r>
              <w:rPr>
                <w:rFonts w:hint="default" w:ascii="Times New Roman" w:hAnsi="Times New Roman" w:cs="Times New Roman"/>
                <w:i w:val="0"/>
                <w:color w:val="auto"/>
              </w:rPr>
              <w:t>（</w:t>
            </w:r>
            <w:r>
              <w:rPr>
                <w:rFonts w:hint="default" w:ascii="Times New Roman" w:hAnsi="Times New Roman" w:cs="Times New Roman"/>
                <w:i/>
                <w:iCs/>
                <w:color w:val="auto"/>
              </w:rPr>
              <w:t>r</w:t>
            </w:r>
            <w:r>
              <w:rPr>
                <w:rFonts w:hint="default" w:ascii="Times New Roman" w:hAnsi="Times New Roman" w:cs="Times New Roman"/>
                <w:i w:val="0"/>
                <w:color w:val="auto"/>
              </w:rPr>
              <w:t>）——预测点处声压级，dB；</w:t>
            </w:r>
          </w:p>
          <w:p w14:paraId="16A61039">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p</w:t>
            </w:r>
            <w:r>
              <w:rPr>
                <w:rFonts w:hint="default" w:ascii="Times New Roman" w:hAnsi="Times New Roman" w:cs="Times New Roman"/>
                <w:i w:val="0"/>
                <w:color w:val="auto"/>
              </w:rPr>
              <w:t>（</w:t>
            </w: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）——参考位置</w:t>
            </w: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处的声压级，dB；</w:t>
            </w:r>
          </w:p>
          <w:p w14:paraId="4E6F04CD">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r</w:t>
            </w:r>
            <w:r>
              <w:rPr>
                <w:rFonts w:hint="default" w:ascii="Times New Roman" w:hAnsi="Times New Roman" w:cs="Times New Roman"/>
                <w:i w:val="0"/>
                <w:color w:val="auto"/>
              </w:rPr>
              <w:t>——预测点距声源的距离；</w:t>
            </w:r>
          </w:p>
          <w:p w14:paraId="2DF5C266">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——参考位置距声源的距离。</w:t>
            </w:r>
          </w:p>
          <w:p w14:paraId="2B1868D4">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（3）工业企业噪声计算</w:t>
            </w:r>
          </w:p>
          <w:p w14:paraId="46FCF8DA">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设第i个室外声源在预测点产生的A声级为L</w:t>
            </w:r>
            <w:r>
              <w:rPr>
                <w:rFonts w:hint="default" w:ascii="Times New Roman" w:hAnsi="Times New Roman" w:cs="Times New Roman"/>
                <w:i w:val="0"/>
                <w:color w:val="auto"/>
                <w:vertAlign w:val="subscript"/>
              </w:rPr>
              <w:t>Ai</w:t>
            </w:r>
            <w:r>
              <w:rPr>
                <w:rFonts w:hint="default" w:ascii="Times New Roman" w:hAnsi="Times New Roman" w:cs="Times New Roman"/>
                <w:i w:val="0"/>
                <w:color w:val="auto"/>
              </w:rPr>
              <w:t>，在T时间内该声源工作时间为t</w:t>
            </w:r>
            <w:r>
              <w:rPr>
                <w:rFonts w:hint="default" w:ascii="Times New Roman" w:hAnsi="Times New Roman" w:cs="Times New Roman"/>
                <w:i w:val="0"/>
                <w:color w:val="auto"/>
                <w:vertAlign w:val="subscript"/>
              </w:rPr>
              <w:t>i</w:t>
            </w:r>
            <w:r>
              <w:rPr>
                <w:rFonts w:hint="default" w:ascii="Times New Roman" w:hAnsi="Times New Roman" w:cs="Times New Roman"/>
                <w:i w:val="0"/>
                <w:color w:val="auto"/>
              </w:rPr>
              <w:t>；第j个等效室外声源在预测点产生的A声级为L</w:t>
            </w:r>
            <w:r>
              <w:rPr>
                <w:rFonts w:hint="default" w:ascii="Times New Roman" w:hAnsi="Times New Roman" w:cs="Times New Roman"/>
                <w:i w:val="0"/>
                <w:color w:val="auto"/>
                <w:vertAlign w:val="subscript"/>
              </w:rPr>
              <w:t>Aj</w:t>
            </w:r>
            <w:r>
              <w:rPr>
                <w:rFonts w:hint="default" w:ascii="Times New Roman" w:hAnsi="Times New Roman" w:cs="Times New Roman"/>
                <w:i w:val="0"/>
                <w:color w:val="auto"/>
              </w:rPr>
              <w:t>，在T时间内该声源工作时间为t</w:t>
            </w:r>
            <w:r>
              <w:rPr>
                <w:rFonts w:hint="default" w:ascii="Times New Roman" w:hAnsi="Times New Roman" w:cs="Times New Roman"/>
                <w:i w:val="0"/>
                <w:color w:val="auto"/>
                <w:vertAlign w:val="subscript"/>
              </w:rPr>
              <w:t>j</w:t>
            </w:r>
            <w:r>
              <w:rPr>
                <w:rFonts w:hint="default" w:ascii="Times New Roman" w:hAnsi="Times New Roman" w:cs="Times New Roman"/>
                <w:i w:val="0"/>
                <w:color w:val="auto"/>
              </w:rPr>
              <w:t>，则拟建工程声源对预测点产生的贡献值（L</w:t>
            </w:r>
            <w:r>
              <w:rPr>
                <w:rFonts w:hint="default" w:ascii="Times New Roman" w:hAnsi="Times New Roman" w:cs="Times New Roman"/>
                <w:i w:val="0"/>
                <w:color w:val="auto"/>
                <w:vertAlign w:val="subscript"/>
              </w:rPr>
              <w:t>eqg</w:t>
            </w:r>
            <w:r>
              <w:rPr>
                <w:rFonts w:hint="default" w:ascii="Times New Roman" w:hAnsi="Times New Roman" w:cs="Times New Roman"/>
                <w:i w:val="0"/>
                <w:color w:val="auto"/>
              </w:rPr>
              <w:t>）为：</w:t>
            </w:r>
          </w:p>
          <w:p w14:paraId="29BD8DC5">
            <w:pPr>
              <w:pStyle w:val="2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i w:val="0"/>
                <w:color w:val="auto"/>
                <w:lang w:eastAsia="zh-CN"/>
              </w:rPr>
            </w:pPr>
            <w:r>
              <w:rPr>
                <w:rFonts w:hint="default" w:ascii="Times New Roman" w:hAnsi="Times New Roman" w:cs="Times New Roman"/>
                <w:i/>
                <w:color w:val="auto"/>
                <w:position w:val="-28"/>
              </w:rPr>
              <w:object>
                <v:shape id="_x0000_i1027" o:spt="75" type="#_x0000_t75" style="height:34pt;width:219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7" r:id="rId19">
                  <o:LockedField>false</o:LockedField>
                </o:OLEObject>
              </w:object>
            </w:r>
          </w:p>
          <w:p w14:paraId="61FBB955">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式中：</w:t>
            </w: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eqg</w:t>
            </w:r>
            <w:r>
              <w:rPr>
                <w:rFonts w:hint="default" w:ascii="Times New Roman" w:hAnsi="Times New Roman" w:cs="Times New Roman"/>
                <w:i w:val="0"/>
                <w:color w:val="auto"/>
              </w:rPr>
              <w:t>——建设项目声源在预测点产生的噪声贡献值，dB；</w:t>
            </w:r>
          </w:p>
          <w:p w14:paraId="5E8BCA9C">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T</w:t>
            </w:r>
            <w:r>
              <w:rPr>
                <w:rFonts w:hint="default" w:ascii="Times New Roman" w:hAnsi="Times New Roman" w:cs="Times New Roman"/>
                <w:i w:val="0"/>
                <w:color w:val="auto"/>
              </w:rPr>
              <w:t>——用于计算等效声级的时间，s；</w:t>
            </w:r>
          </w:p>
          <w:p w14:paraId="3BDCBE5C">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N</w:t>
            </w:r>
            <w:r>
              <w:rPr>
                <w:rFonts w:hint="default" w:ascii="Times New Roman" w:hAnsi="Times New Roman" w:cs="Times New Roman"/>
                <w:i w:val="0"/>
                <w:color w:val="auto"/>
              </w:rPr>
              <w:t>——室内声源个数；</w:t>
            </w:r>
          </w:p>
          <w:p w14:paraId="59C37445">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t</w:t>
            </w:r>
            <w:r>
              <w:rPr>
                <w:rFonts w:hint="default" w:ascii="Times New Roman" w:hAnsi="Times New Roman" w:cs="Times New Roman"/>
                <w:i/>
                <w:iCs/>
                <w:color w:val="auto"/>
                <w:vertAlign w:val="subscript"/>
              </w:rPr>
              <w:t>i</w:t>
            </w:r>
            <w:r>
              <w:rPr>
                <w:rFonts w:hint="default" w:ascii="Times New Roman" w:hAnsi="Times New Roman" w:cs="Times New Roman"/>
                <w:i w:val="0"/>
                <w:color w:val="auto"/>
              </w:rPr>
              <w:t>——在</w:t>
            </w:r>
            <w:r>
              <w:rPr>
                <w:rFonts w:hint="default" w:ascii="Times New Roman" w:hAnsi="Times New Roman" w:cs="Times New Roman"/>
                <w:i/>
                <w:iCs/>
                <w:color w:val="auto"/>
              </w:rPr>
              <w:t>T</w:t>
            </w:r>
            <w:r>
              <w:rPr>
                <w:rFonts w:hint="default" w:ascii="Times New Roman" w:hAnsi="Times New Roman" w:cs="Times New Roman"/>
                <w:i w:val="0"/>
                <w:color w:val="auto"/>
              </w:rPr>
              <w:t>时间内</w:t>
            </w:r>
            <w:r>
              <w:rPr>
                <w:rFonts w:hint="default" w:ascii="Times New Roman" w:hAnsi="Times New Roman" w:cs="Times New Roman"/>
                <w:i/>
                <w:iCs/>
                <w:color w:val="auto"/>
              </w:rPr>
              <w:t>i</w:t>
            </w:r>
            <w:r>
              <w:rPr>
                <w:rFonts w:hint="default" w:ascii="Times New Roman" w:hAnsi="Times New Roman" w:cs="Times New Roman"/>
                <w:i w:val="0"/>
                <w:color w:val="auto"/>
              </w:rPr>
              <w:t>声源工作时间，s；</w:t>
            </w:r>
          </w:p>
          <w:p w14:paraId="441F4064">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M</w:t>
            </w:r>
            <w:r>
              <w:rPr>
                <w:rFonts w:hint="default" w:ascii="Times New Roman" w:hAnsi="Times New Roman" w:cs="Times New Roman"/>
                <w:i w:val="0"/>
                <w:color w:val="auto"/>
              </w:rPr>
              <w:t>——等效室外声源个数；</w:t>
            </w:r>
          </w:p>
          <w:p w14:paraId="0248BB28">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t</w:t>
            </w:r>
            <w:r>
              <w:rPr>
                <w:rFonts w:hint="default" w:ascii="Times New Roman" w:hAnsi="Times New Roman" w:cs="Times New Roman"/>
                <w:i/>
                <w:iCs/>
                <w:color w:val="auto"/>
                <w:vertAlign w:val="subscript"/>
              </w:rPr>
              <w:t>j</w:t>
            </w:r>
            <w:r>
              <w:rPr>
                <w:rFonts w:hint="default" w:ascii="Times New Roman" w:hAnsi="Times New Roman" w:cs="Times New Roman"/>
                <w:i w:val="0"/>
                <w:color w:val="auto"/>
              </w:rPr>
              <w:t>——在</w:t>
            </w:r>
            <w:r>
              <w:rPr>
                <w:rFonts w:hint="default" w:ascii="Times New Roman" w:hAnsi="Times New Roman" w:cs="Times New Roman"/>
                <w:i/>
                <w:iCs/>
                <w:color w:val="auto"/>
              </w:rPr>
              <w:t>T</w:t>
            </w:r>
            <w:r>
              <w:rPr>
                <w:rFonts w:hint="default" w:ascii="Times New Roman" w:hAnsi="Times New Roman" w:cs="Times New Roman"/>
                <w:i w:val="0"/>
                <w:color w:val="auto"/>
              </w:rPr>
              <w:t>时间内</w:t>
            </w:r>
            <w:r>
              <w:rPr>
                <w:rFonts w:hint="default" w:ascii="Times New Roman" w:hAnsi="Times New Roman" w:cs="Times New Roman"/>
                <w:i/>
                <w:iCs/>
                <w:color w:val="auto"/>
              </w:rPr>
              <w:t>j</w:t>
            </w:r>
            <w:r>
              <w:rPr>
                <w:rFonts w:hint="default" w:ascii="Times New Roman" w:hAnsi="Times New Roman" w:cs="Times New Roman"/>
                <w:i w:val="0"/>
                <w:color w:val="auto"/>
              </w:rPr>
              <w:t>声源工作时间，s。</w:t>
            </w:r>
          </w:p>
          <w:p w14:paraId="4CDB86D4">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（4）敏感目标噪声预测值计算</w:t>
            </w:r>
          </w:p>
          <w:p w14:paraId="4AD0ACAA">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噪声预测值计算公式为：</w:t>
            </w:r>
          </w:p>
          <w:p w14:paraId="29D2BF96">
            <w:pPr>
              <w:pStyle w:val="2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i w:val="0"/>
                <w:color w:val="auto"/>
                <w:lang w:eastAsia="zh-CN"/>
              </w:rPr>
            </w:pPr>
            <w:r>
              <w:rPr>
                <w:rFonts w:hint="default" w:ascii="Times New Roman" w:hAnsi="Times New Roman" w:cs="Times New Roman"/>
                <w:color w:val="auto"/>
                <w:position w:val="-14"/>
              </w:rPr>
              <w:object>
                <v:shape id="_x0000_i1028" o:spt="75" type="#_x0000_t75" style="height:21pt;width:135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8" r:id="rId21">
                  <o:LockedField>false</o:LockedField>
                </o:OLEObject>
              </w:object>
            </w:r>
          </w:p>
          <w:p w14:paraId="02413054">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式中：</w:t>
            </w: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eq</w:t>
            </w:r>
            <w:r>
              <w:rPr>
                <w:rFonts w:hint="default" w:ascii="Times New Roman" w:hAnsi="Times New Roman" w:cs="Times New Roman"/>
                <w:i w:val="0"/>
                <w:color w:val="auto"/>
              </w:rPr>
              <w:t>——预测点的噪声预测值，dB；</w:t>
            </w:r>
          </w:p>
          <w:p w14:paraId="0C6FF2B3">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eqg</w:t>
            </w:r>
            <w:r>
              <w:rPr>
                <w:rFonts w:hint="default" w:ascii="Times New Roman" w:hAnsi="Times New Roman" w:cs="Times New Roman"/>
                <w:i w:val="0"/>
                <w:color w:val="auto"/>
              </w:rPr>
              <w:t>——建设项目声源在预测点产生的噪声贡献值，dB；</w:t>
            </w:r>
          </w:p>
          <w:p w14:paraId="23FC10B6">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eqb</w:t>
            </w:r>
            <w:r>
              <w:rPr>
                <w:rFonts w:hint="default" w:ascii="Times New Roman" w:hAnsi="Times New Roman" w:cs="Times New Roman"/>
                <w:i w:val="0"/>
                <w:color w:val="auto"/>
              </w:rPr>
              <w:t>——预测点的背景预测值，dB。</w:t>
            </w:r>
          </w:p>
          <w:p w14:paraId="555848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表4-4   施工设备噪声衰减结果表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822"/>
              <w:gridCol w:w="578"/>
              <w:gridCol w:w="830"/>
              <w:gridCol w:w="682"/>
              <w:gridCol w:w="682"/>
              <w:gridCol w:w="750"/>
              <w:gridCol w:w="750"/>
              <w:gridCol w:w="753"/>
              <w:gridCol w:w="753"/>
              <w:gridCol w:w="776"/>
            </w:tblGrid>
            <w:tr w14:paraId="0160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Merge w:val="restart"/>
                  <w:vAlign w:val="center"/>
                </w:tcPr>
                <w:p w14:paraId="202139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w:t>
                  </w:r>
                </w:p>
              </w:tc>
              <w:tc>
                <w:tcPr>
                  <w:tcW w:w="473" w:type="pct"/>
                  <w:vMerge w:val="restart"/>
                  <w:vAlign w:val="center"/>
                </w:tcPr>
                <w:p w14:paraId="529108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降噪后声级dB（A）</w:t>
                  </w:r>
                </w:p>
              </w:tc>
              <w:tc>
                <w:tcPr>
                  <w:tcW w:w="333" w:type="pct"/>
                  <w:vMerge w:val="restart"/>
                  <w:vAlign w:val="center"/>
                </w:tcPr>
                <w:p w14:paraId="2A17AA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运行数量</w:t>
                  </w:r>
                </w:p>
              </w:tc>
              <w:tc>
                <w:tcPr>
                  <w:tcW w:w="476" w:type="pct"/>
                  <w:vMerge w:val="restart"/>
                  <w:vAlign w:val="center"/>
                </w:tcPr>
                <w:p w14:paraId="77B712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合成声压级dB（A）</w:t>
                  </w:r>
                </w:p>
              </w:tc>
              <w:tc>
                <w:tcPr>
                  <w:tcW w:w="2958" w:type="pct"/>
                  <w:gridSpan w:val="7"/>
                  <w:vAlign w:val="center"/>
                </w:tcPr>
                <w:p w14:paraId="59E1A8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受声点不同距离处噪声衰减值/dB（A）</w:t>
                  </w:r>
                </w:p>
              </w:tc>
            </w:tr>
            <w:tr w14:paraId="6A41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Merge w:val="continue"/>
                  <w:vAlign w:val="center"/>
                </w:tcPr>
                <w:p w14:paraId="358BDC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73" w:type="pct"/>
                  <w:vMerge w:val="continue"/>
                  <w:vAlign w:val="center"/>
                </w:tcPr>
                <w:p w14:paraId="3A8B71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3" w:type="pct"/>
                  <w:vMerge w:val="continue"/>
                  <w:vAlign w:val="center"/>
                </w:tcPr>
                <w:p w14:paraId="512D6A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76" w:type="pct"/>
                  <w:vMerge w:val="continue"/>
                  <w:vAlign w:val="center"/>
                </w:tcPr>
                <w:p w14:paraId="6B4A23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92" w:type="pct"/>
                  <w:vAlign w:val="center"/>
                </w:tcPr>
                <w:p w14:paraId="6C433D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10m</w:t>
                  </w:r>
                </w:p>
              </w:tc>
              <w:tc>
                <w:tcPr>
                  <w:tcW w:w="392" w:type="pct"/>
                  <w:vAlign w:val="center"/>
                </w:tcPr>
                <w:p w14:paraId="754123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50m</w:t>
                  </w:r>
                </w:p>
              </w:tc>
              <w:tc>
                <w:tcPr>
                  <w:tcW w:w="431" w:type="pct"/>
                  <w:vAlign w:val="center"/>
                </w:tcPr>
                <w:p w14:paraId="2CF338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100m</w:t>
                  </w:r>
                </w:p>
              </w:tc>
              <w:tc>
                <w:tcPr>
                  <w:tcW w:w="431" w:type="pct"/>
                  <w:vAlign w:val="center"/>
                </w:tcPr>
                <w:p w14:paraId="6D5BAC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150m</w:t>
                  </w:r>
                </w:p>
              </w:tc>
              <w:tc>
                <w:tcPr>
                  <w:tcW w:w="433" w:type="pct"/>
                  <w:vAlign w:val="center"/>
                </w:tcPr>
                <w:p w14:paraId="7BF0D7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200m</w:t>
                  </w:r>
                </w:p>
              </w:tc>
              <w:tc>
                <w:tcPr>
                  <w:tcW w:w="433" w:type="pct"/>
                  <w:vAlign w:val="center"/>
                </w:tcPr>
                <w:p w14:paraId="0677A93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250m</w:t>
                  </w:r>
                </w:p>
              </w:tc>
              <w:tc>
                <w:tcPr>
                  <w:tcW w:w="444" w:type="pct"/>
                  <w:vAlign w:val="center"/>
                </w:tcPr>
                <w:p w14:paraId="1BBE37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300m</w:t>
                  </w:r>
                </w:p>
              </w:tc>
            </w:tr>
            <w:tr w14:paraId="1845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0F56BB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钻机</w:t>
                  </w:r>
                </w:p>
              </w:tc>
              <w:tc>
                <w:tcPr>
                  <w:tcW w:w="473" w:type="pct"/>
                  <w:vAlign w:val="center"/>
                </w:tcPr>
                <w:p w14:paraId="466892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75</w:t>
                  </w:r>
                </w:p>
              </w:tc>
              <w:tc>
                <w:tcPr>
                  <w:tcW w:w="333" w:type="pct"/>
                  <w:vAlign w:val="center"/>
                </w:tcPr>
                <w:p w14:paraId="553528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830" w:type="dxa"/>
                  <w:vAlign w:val="center"/>
                </w:tcPr>
                <w:p w14:paraId="3982B9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95</w:t>
                  </w:r>
                </w:p>
              </w:tc>
              <w:tc>
                <w:tcPr>
                  <w:tcW w:w="682" w:type="dxa"/>
                  <w:vAlign w:val="center"/>
                </w:tcPr>
                <w:p w14:paraId="48AE76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75</w:t>
                  </w:r>
                </w:p>
              </w:tc>
              <w:tc>
                <w:tcPr>
                  <w:tcW w:w="682" w:type="dxa"/>
                  <w:vAlign w:val="center"/>
                </w:tcPr>
                <w:p w14:paraId="2A0420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61</w:t>
                  </w:r>
                </w:p>
              </w:tc>
              <w:tc>
                <w:tcPr>
                  <w:tcW w:w="750" w:type="dxa"/>
                  <w:vAlign w:val="center"/>
                </w:tcPr>
                <w:p w14:paraId="0F1DAA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55</w:t>
                  </w:r>
                </w:p>
              </w:tc>
              <w:tc>
                <w:tcPr>
                  <w:tcW w:w="750" w:type="dxa"/>
                  <w:vAlign w:val="center"/>
                </w:tcPr>
                <w:p w14:paraId="70649E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51</w:t>
                  </w:r>
                </w:p>
              </w:tc>
              <w:tc>
                <w:tcPr>
                  <w:tcW w:w="753" w:type="dxa"/>
                  <w:vAlign w:val="center"/>
                </w:tcPr>
                <w:p w14:paraId="5B9259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49</w:t>
                  </w:r>
                </w:p>
              </w:tc>
              <w:tc>
                <w:tcPr>
                  <w:tcW w:w="753" w:type="dxa"/>
                  <w:vAlign w:val="center"/>
                </w:tcPr>
                <w:p w14:paraId="5B05A1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47</w:t>
                  </w:r>
                </w:p>
              </w:tc>
              <w:tc>
                <w:tcPr>
                  <w:tcW w:w="776" w:type="dxa"/>
                  <w:vAlign w:val="center"/>
                </w:tcPr>
                <w:p w14:paraId="2C73AB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45</w:t>
                  </w:r>
                </w:p>
              </w:tc>
            </w:tr>
            <w:tr w14:paraId="4C44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7AD6C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泥浆泵</w:t>
                  </w:r>
                </w:p>
              </w:tc>
              <w:tc>
                <w:tcPr>
                  <w:tcW w:w="473" w:type="pct"/>
                  <w:vAlign w:val="center"/>
                </w:tcPr>
                <w:p w14:paraId="04A70E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70</w:t>
                  </w:r>
                </w:p>
              </w:tc>
              <w:tc>
                <w:tcPr>
                  <w:tcW w:w="333" w:type="pct"/>
                  <w:vAlign w:val="center"/>
                </w:tcPr>
                <w:p w14:paraId="12C58D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830" w:type="dxa"/>
                  <w:vAlign w:val="center"/>
                </w:tcPr>
                <w:p w14:paraId="29A0CE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7</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682" w:type="dxa"/>
                  <w:vAlign w:val="center"/>
                </w:tcPr>
                <w:p w14:paraId="11CCF5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682" w:type="dxa"/>
                  <w:vAlign w:val="center"/>
                </w:tcPr>
                <w:p w14:paraId="7E0777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39</w:t>
                  </w:r>
                </w:p>
              </w:tc>
              <w:tc>
                <w:tcPr>
                  <w:tcW w:w="750" w:type="dxa"/>
                  <w:vAlign w:val="center"/>
                </w:tcPr>
                <w:p w14:paraId="46F567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750" w:type="dxa"/>
                  <w:vAlign w:val="center"/>
                </w:tcPr>
                <w:p w14:paraId="64C6C7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29.5</w:t>
                  </w:r>
                </w:p>
              </w:tc>
              <w:tc>
                <w:tcPr>
                  <w:tcW w:w="753" w:type="dxa"/>
                  <w:vAlign w:val="center"/>
                </w:tcPr>
                <w:p w14:paraId="7A1FE2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27</w:t>
                  </w:r>
                </w:p>
              </w:tc>
              <w:tc>
                <w:tcPr>
                  <w:tcW w:w="753" w:type="dxa"/>
                  <w:vAlign w:val="center"/>
                </w:tcPr>
                <w:p w14:paraId="04B56F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25</w:t>
                  </w:r>
                </w:p>
              </w:tc>
              <w:tc>
                <w:tcPr>
                  <w:tcW w:w="776" w:type="dxa"/>
                  <w:vAlign w:val="center"/>
                </w:tcPr>
                <w:p w14:paraId="00C34A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3.5</w:t>
                  </w:r>
                </w:p>
              </w:tc>
            </w:tr>
            <w:tr w14:paraId="2FE7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00A63D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除砂器</w:t>
                  </w:r>
                </w:p>
              </w:tc>
              <w:tc>
                <w:tcPr>
                  <w:tcW w:w="473" w:type="pct"/>
                  <w:vAlign w:val="center"/>
                </w:tcPr>
                <w:p w14:paraId="025763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222350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830" w:type="dxa"/>
                  <w:vAlign w:val="center"/>
                </w:tcPr>
                <w:p w14:paraId="40921C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682" w:type="dxa"/>
                  <w:vAlign w:val="center"/>
                </w:tcPr>
                <w:p w14:paraId="3F743F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45</w:t>
                  </w:r>
                </w:p>
              </w:tc>
              <w:tc>
                <w:tcPr>
                  <w:tcW w:w="682" w:type="dxa"/>
                  <w:vAlign w:val="center"/>
                </w:tcPr>
                <w:p w14:paraId="2B86BD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w:t>
                  </w:r>
                </w:p>
              </w:tc>
              <w:tc>
                <w:tcPr>
                  <w:tcW w:w="750" w:type="dxa"/>
                  <w:vAlign w:val="center"/>
                </w:tcPr>
                <w:p w14:paraId="164828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750" w:type="dxa"/>
                  <w:vAlign w:val="center"/>
                </w:tcPr>
                <w:p w14:paraId="5C2A03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21.5</w:t>
                  </w:r>
                </w:p>
              </w:tc>
              <w:tc>
                <w:tcPr>
                  <w:tcW w:w="753" w:type="dxa"/>
                  <w:vAlign w:val="center"/>
                </w:tcPr>
                <w:p w14:paraId="486B88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753" w:type="dxa"/>
                  <w:vAlign w:val="center"/>
                </w:tcPr>
                <w:p w14:paraId="349F43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776" w:type="dxa"/>
                  <w:vAlign w:val="center"/>
                </w:tcPr>
                <w:p w14:paraId="27A554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15.5</w:t>
                  </w:r>
                </w:p>
              </w:tc>
            </w:tr>
            <w:tr w14:paraId="06F5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D0425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除泥器</w:t>
                  </w:r>
                </w:p>
              </w:tc>
              <w:tc>
                <w:tcPr>
                  <w:tcW w:w="473" w:type="pct"/>
                  <w:vAlign w:val="center"/>
                </w:tcPr>
                <w:p w14:paraId="226BB5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64AFDC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830" w:type="dxa"/>
                  <w:vAlign w:val="center"/>
                </w:tcPr>
                <w:p w14:paraId="2E5682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682" w:type="dxa"/>
                  <w:vAlign w:val="center"/>
                </w:tcPr>
                <w:p w14:paraId="6B662F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45</w:t>
                  </w:r>
                </w:p>
              </w:tc>
              <w:tc>
                <w:tcPr>
                  <w:tcW w:w="682" w:type="dxa"/>
                  <w:vAlign w:val="center"/>
                </w:tcPr>
                <w:p w14:paraId="33F441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31</w:t>
                  </w:r>
                </w:p>
              </w:tc>
              <w:tc>
                <w:tcPr>
                  <w:tcW w:w="750" w:type="dxa"/>
                  <w:vAlign w:val="center"/>
                </w:tcPr>
                <w:p w14:paraId="37C3B4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750" w:type="dxa"/>
                  <w:vAlign w:val="center"/>
                </w:tcPr>
                <w:p w14:paraId="11623A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21.5</w:t>
                  </w:r>
                </w:p>
              </w:tc>
              <w:tc>
                <w:tcPr>
                  <w:tcW w:w="753" w:type="dxa"/>
                  <w:vAlign w:val="center"/>
                </w:tcPr>
                <w:p w14:paraId="38A069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19</w:t>
                  </w:r>
                </w:p>
              </w:tc>
              <w:tc>
                <w:tcPr>
                  <w:tcW w:w="753" w:type="dxa"/>
                  <w:vAlign w:val="center"/>
                </w:tcPr>
                <w:p w14:paraId="64F9FB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17</w:t>
                  </w:r>
                </w:p>
              </w:tc>
              <w:tc>
                <w:tcPr>
                  <w:tcW w:w="776" w:type="dxa"/>
                  <w:vAlign w:val="center"/>
                </w:tcPr>
                <w:p w14:paraId="0A67BE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15.5</w:t>
                  </w:r>
                </w:p>
              </w:tc>
            </w:tr>
            <w:tr w14:paraId="7B22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8DE62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离心机</w:t>
                  </w:r>
                </w:p>
              </w:tc>
              <w:tc>
                <w:tcPr>
                  <w:tcW w:w="473" w:type="pct"/>
                  <w:vAlign w:val="center"/>
                </w:tcPr>
                <w:p w14:paraId="54F1E4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20657A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830" w:type="dxa"/>
                  <w:vAlign w:val="center"/>
                </w:tcPr>
                <w:p w14:paraId="022AA7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73</w:t>
                  </w:r>
                </w:p>
              </w:tc>
              <w:tc>
                <w:tcPr>
                  <w:tcW w:w="682" w:type="dxa"/>
                  <w:vAlign w:val="center"/>
                </w:tcPr>
                <w:p w14:paraId="2CC69B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53</w:t>
                  </w:r>
                </w:p>
              </w:tc>
              <w:tc>
                <w:tcPr>
                  <w:tcW w:w="682" w:type="dxa"/>
                  <w:vAlign w:val="center"/>
                </w:tcPr>
                <w:p w14:paraId="5778B5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w:t>
                  </w:r>
                </w:p>
              </w:tc>
              <w:tc>
                <w:tcPr>
                  <w:tcW w:w="750" w:type="dxa"/>
                  <w:vAlign w:val="center"/>
                </w:tcPr>
                <w:p w14:paraId="7637AB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33</w:t>
                  </w:r>
                </w:p>
              </w:tc>
              <w:tc>
                <w:tcPr>
                  <w:tcW w:w="750" w:type="dxa"/>
                  <w:vAlign w:val="center"/>
                </w:tcPr>
                <w:p w14:paraId="281007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29.5</w:t>
                  </w:r>
                </w:p>
              </w:tc>
              <w:tc>
                <w:tcPr>
                  <w:tcW w:w="753" w:type="dxa"/>
                  <w:vAlign w:val="center"/>
                </w:tcPr>
                <w:p w14:paraId="611605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w:t>
                  </w:r>
                </w:p>
              </w:tc>
              <w:tc>
                <w:tcPr>
                  <w:tcW w:w="753" w:type="dxa"/>
                  <w:vAlign w:val="center"/>
                </w:tcPr>
                <w:p w14:paraId="64F74C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776" w:type="dxa"/>
                  <w:vAlign w:val="center"/>
                </w:tcPr>
                <w:p w14:paraId="192438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23.5</w:t>
                  </w:r>
                </w:p>
              </w:tc>
            </w:tr>
            <w:tr w14:paraId="1663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0C84A0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振动筛</w:t>
                  </w:r>
                </w:p>
              </w:tc>
              <w:tc>
                <w:tcPr>
                  <w:tcW w:w="473" w:type="pct"/>
                  <w:vAlign w:val="center"/>
                </w:tcPr>
                <w:p w14:paraId="7FB5EF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6A3E17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w:t>
                  </w:r>
                </w:p>
              </w:tc>
              <w:tc>
                <w:tcPr>
                  <w:tcW w:w="830" w:type="dxa"/>
                  <w:vAlign w:val="top"/>
                </w:tcPr>
                <w:p w14:paraId="77280D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69.7</w:t>
                  </w:r>
                </w:p>
              </w:tc>
              <w:tc>
                <w:tcPr>
                  <w:tcW w:w="682" w:type="dxa"/>
                  <w:vAlign w:val="top"/>
                </w:tcPr>
                <w:p w14:paraId="5E3BF6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49.7</w:t>
                  </w:r>
                </w:p>
              </w:tc>
              <w:tc>
                <w:tcPr>
                  <w:tcW w:w="682" w:type="dxa"/>
                  <w:vAlign w:val="top"/>
                </w:tcPr>
                <w:p w14:paraId="54F245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35.7</w:t>
                  </w:r>
                </w:p>
              </w:tc>
              <w:tc>
                <w:tcPr>
                  <w:tcW w:w="750" w:type="dxa"/>
                  <w:vAlign w:val="top"/>
                </w:tcPr>
                <w:p w14:paraId="0069F0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29.7</w:t>
                  </w:r>
                </w:p>
              </w:tc>
              <w:tc>
                <w:tcPr>
                  <w:tcW w:w="750" w:type="dxa"/>
                  <w:vAlign w:val="top"/>
                </w:tcPr>
                <w:p w14:paraId="5F953B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26.2</w:t>
                  </w:r>
                </w:p>
              </w:tc>
              <w:tc>
                <w:tcPr>
                  <w:tcW w:w="753" w:type="dxa"/>
                  <w:vAlign w:val="top"/>
                </w:tcPr>
                <w:p w14:paraId="57EBD9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23.7</w:t>
                  </w:r>
                </w:p>
              </w:tc>
              <w:tc>
                <w:tcPr>
                  <w:tcW w:w="753" w:type="dxa"/>
                  <w:vAlign w:val="top"/>
                </w:tcPr>
                <w:p w14:paraId="5659A4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21.7</w:t>
                  </w:r>
                </w:p>
              </w:tc>
              <w:tc>
                <w:tcPr>
                  <w:tcW w:w="776" w:type="dxa"/>
                  <w:vAlign w:val="top"/>
                </w:tcPr>
                <w:p w14:paraId="49AD2D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p>
              </w:tc>
            </w:tr>
            <w:tr w14:paraId="4CE1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A88F8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加重泵</w:t>
                  </w:r>
                </w:p>
              </w:tc>
              <w:tc>
                <w:tcPr>
                  <w:tcW w:w="473" w:type="pct"/>
                  <w:vAlign w:val="center"/>
                </w:tcPr>
                <w:p w14:paraId="59845E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1F66BF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830" w:type="dxa"/>
                  <w:vAlign w:val="top"/>
                </w:tcPr>
                <w:p w14:paraId="4E9245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73</w:t>
                  </w:r>
                </w:p>
              </w:tc>
              <w:tc>
                <w:tcPr>
                  <w:tcW w:w="682" w:type="dxa"/>
                  <w:vAlign w:val="center"/>
                </w:tcPr>
                <w:p w14:paraId="76D8F1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53</w:t>
                  </w:r>
                </w:p>
              </w:tc>
              <w:tc>
                <w:tcPr>
                  <w:tcW w:w="682" w:type="dxa"/>
                  <w:vAlign w:val="center"/>
                </w:tcPr>
                <w:p w14:paraId="468BDA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w:t>
                  </w:r>
                </w:p>
              </w:tc>
              <w:tc>
                <w:tcPr>
                  <w:tcW w:w="750" w:type="dxa"/>
                  <w:vAlign w:val="center"/>
                </w:tcPr>
                <w:p w14:paraId="65DCB9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33</w:t>
                  </w:r>
                </w:p>
              </w:tc>
              <w:tc>
                <w:tcPr>
                  <w:tcW w:w="750" w:type="dxa"/>
                  <w:vAlign w:val="center"/>
                </w:tcPr>
                <w:p w14:paraId="4EE997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29.5</w:t>
                  </w:r>
                </w:p>
              </w:tc>
              <w:tc>
                <w:tcPr>
                  <w:tcW w:w="753" w:type="dxa"/>
                  <w:vAlign w:val="center"/>
                </w:tcPr>
                <w:p w14:paraId="6E853A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w:t>
                  </w:r>
                </w:p>
              </w:tc>
              <w:tc>
                <w:tcPr>
                  <w:tcW w:w="753" w:type="dxa"/>
                  <w:vAlign w:val="center"/>
                </w:tcPr>
                <w:p w14:paraId="0AD25A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776" w:type="dxa"/>
                  <w:vAlign w:val="center"/>
                </w:tcPr>
                <w:p w14:paraId="5EF42B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23.5</w:t>
                  </w:r>
                </w:p>
              </w:tc>
            </w:tr>
            <w:tr w14:paraId="2F00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E25C8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自动压风机</w:t>
                  </w:r>
                </w:p>
              </w:tc>
              <w:tc>
                <w:tcPr>
                  <w:tcW w:w="473" w:type="pct"/>
                  <w:vAlign w:val="center"/>
                </w:tcPr>
                <w:p w14:paraId="50411A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6F3445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830" w:type="dxa"/>
                  <w:vAlign w:val="center"/>
                </w:tcPr>
                <w:p w14:paraId="12BF49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70</w:t>
                  </w:r>
                </w:p>
              </w:tc>
              <w:tc>
                <w:tcPr>
                  <w:tcW w:w="682" w:type="dxa"/>
                  <w:vAlign w:val="center"/>
                </w:tcPr>
                <w:p w14:paraId="2CEFF2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50</w:t>
                  </w:r>
                </w:p>
              </w:tc>
              <w:tc>
                <w:tcPr>
                  <w:tcW w:w="682" w:type="dxa"/>
                  <w:vAlign w:val="center"/>
                </w:tcPr>
                <w:p w14:paraId="744416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36</w:t>
                  </w:r>
                </w:p>
              </w:tc>
              <w:tc>
                <w:tcPr>
                  <w:tcW w:w="750" w:type="dxa"/>
                  <w:vAlign w:val="center"/>
                </w:tcPr>
                <w:p w14:paraId="68A868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30</w:t>
                  </w:r>
                </w:p>
              </w:tc>
              <w:tc>
                <w:tcPr>
                  <w:tcW w:w="750" w:type="dxa"/>
                  <w:vAlign w:val="center"/>
                </w:tcPr>
                <w:p w14:paraId="7C46D6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753" w:type="dxa"/>
                  <w:vAlign w:val="center"/>
                </w:tcPr>
                <w:p w14:paraId="58D848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753" w:type="dxa"/>
                  <w:vAlign w:val="center"/>
                </w:tcPr>
                <w:p w14:paraId="111751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776" w:type="dxa"/>
                  <w:vAlign w:val="center"/>
                </w:tcPr>
                <w:p w14:paraId="736072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r>
            <w:tr w14:paraId="639E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38A22E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电动压风机</w:t>
                  </w:r>
                </w:p>
              </w:tc>
              <w:tc>
                <w:tcPr>
                  <w:tcW w:w="473" w:type="pct"/>
                  <w:vAlign w:val="center"/>
                </w:tcPr>
                <w:p w14:paraId="378374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5F137B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830" w:type="dxa"/>
                  <w:vAlign w:val="center"/>
                </w:tcPr>
                <w:p w14:paraId="0E341C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70</w:t>
                  </w:r>
                </w:p>
              </w:tc>
              <w:tc>
                <w:tcPr>
                  <w:tcW w:w="682" w:type="dxa"/>
                  <w:vAlign w:val="center"/>
                </w:tcPr>
                <w:p w14:paraId="697B84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50</w:t>
                  </w:r>
                </w:p>
              </w:tc>
              <w:tc>
                <w:tcPr>
                  <w:tcW w:w="682" w:type="dxa"/>
                  <w:vAlign w:val="center"/>
                </w:tcPr>
                <w:p w14:paraId="28C6AF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36</w:t>
                  </w:r>
                </w:p>
              </w:tc>
              <w:tc>
                <w:tcPr>
                  <w:tcW w:w="750" w:type="dxa"/>
                  <w:vAlign w:val="center"/>
                </w:tcPr>
                <w:p w14:paraId="7E7B39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30</w:t>
                  </w:r>
                </w:p>
              </w:tc>
              <w:tc>
                <w:tcPr>
                  <w:tcW w:w="750" w:type="dxa"/>
                  <w:vAlign w:val="center"/>
                </w:tcPr>
                <w:p w14:paraId="164665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753" w:type="dxa"/>
                  <w:vAlign w:val="center"/>
                </w:tcPr>
                <w:p w14:paraId="5A0F1D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753" w:type="dxa"/>
                  <w:vAlign w:val="center"/>
                </w:tcPr>
                <w:p w14:paraId="5CCBA0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776" w:type="dxa"/>
                  <w:vAlign w:val="center"/>
                </w:tcPr>
                <w:p w14:paraId="5D3A08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r>
            <w:tr w14:paraId="6119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F9549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钻井泵</w:t>
                  </w:r>
                </w:p>
              </w:tc>
              <w:tc>
                <w:tcPr>
                  <w:tcW w:w="473" w:type="pct"/>
                  <w:vAlign w:val="center"/>
                </w:tcPr>
                <w:p w14:paraId="1E7837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78ED9F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830" w:type="dxa"/>
                  <w:vAlign w:val="top"/>
                </w:tcPr>
                <w:p w14:paraId="4F0C7B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73</w:t>
                  </w:r>
                </w:p>
              </w:tc>
              <w:tc>
                <w:tcPr>
                  <w:tcW w:w="682" w:type="dxa"/>
                  <w:vAlign w:val="center"/>
                </w:tcPr>
                <w:p w14:paraId="304A8A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w:t>
                  </w:r>
                </w:p>
              </w:tc>
              <w:tc>
                <w:tcPr>
                  <w:tcW w:w="682" w:type="dxa"/>
                  <w:vAlign w:val="center"/>
                </w:tcPr>
                <w:p w14:paraId="5F1E24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39</w:t>
                  </w:r>
                </w:p>
              </w:tc>
              <w:tc>
                <w:tcPr>
                  <w:tcW w:w="750" w:type="dxa"/>
                  <w:vAlign w:val="center"/>
                </w:tcPr>
                <w:p w14:paraId="18FA3C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w:t>
                  </w:r>
                </w:p>
              </w:tc>
              <w:tc>
                <w:tcPr>
                  <w:tcW w:w="750" w:type="dxa"/>
                  <w:vAlign w:val="center"/>
                </w:tcPr>
                <w:p w14:paraId="1563C9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29.5</w:t>
                  </w:r>
                </w:p>
              </w:tc>
              <w:tc>
                <w:tcPr>
                  <w:tcW w:w="753" w:type="dxa"/>
                  <w:vAlign w:val="center"/>
                </w:tcPr>
                <w:p w14:paraId="45BE5D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27</w:t>
                  </w:r>
                </w:p>
              </w:tc>
              <w:tc>
                <w:tcPr>
                  <w:tcW w:w="753" w:type="dxa"/>
                  <w:vAlign w:val="center"/>
                </w:tcPr>
                <w:p w14:paraId="172DF7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776" w:type="dxa"/>
                  <w:vAlign w:val="center"/>
                </w:tcPr>
                <w:p w14:paraId="75FE74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23.5</w:t>
                  </w:r>
                </w:p>
              </w:tc>
            </w:tr>
            <w:tr w14:paraId="1FB7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7295E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压裂设备</w:t>
                  </w:r>
                </w:p>
              </w:tc>
              <w:tc>
                <w:tcPr>
                  <w:tcW w:w="473" w:type="pct"/>
                  <w:vAlign w:val="center"/>
                </w:tcPr>
                <w:p w14:paraId="3E360B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90</w:t>
                  </w:r>
                </w:p>
              </w:tc>
              <w:tc>
                <w:tcPr>
                  <w:tcW w:w="333" w:type="pct"/>
                  <w:vAlign w:val="center"/>
                </w:tcPr>
                <w:p w14:paraId="5324DA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tc>
              <w:tc>
                <w:tcPr>
                  <w:tcW w:w="830" w:type="dxa"/>
                  <w:vAlign w:val="top"/>
                </w:tcPr>
                <w:p w14:paraId="1B7B42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93</w:t>
                  </w:r>
                </w:p>
              </w:tc>
              <w:tc>
                <w:tcPr>
                  <w:tcW w:w="682" w:type="dxa"/>
                  <w:vAlign w:val="center"/>
                </w:tcPr>
                <w:p w14:paraId="653257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80</w:t>
                  </w:r>
                </w:p>
              </w:tc>
              <w:tc>
                <w:tcPr>
                  <w:tcW w:w="682" w:type="dxa"/>
                  <w:vAlign w:val="center"/>
                </w:tcPr>
                <w:p w14:paraId="0FBEB5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74</w:t>
                  </w:r>
                </w:p>
              </w:tc>
              <w:tc>
                <w:tcPr>
                  <w:tcW w:w="750" w:type="dxa"/>
                  <w:vAlign w:val="center"/>
                </w:tcPr>
                <w:p w14:paraId="21EAB0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68</w:t>
                  </w:r>
                </w:p>
              </w:tc>
              <w:tc>
                <w:tcPr>
                  <w:tcW w:w="750" w:type="dxa"/>
                  <w:vAlign w:val="center"/>
                </w:tcPr>
                <w:p w14:paraId="277EAA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w:t>
                  </w:r>
                </w:p>
              </w:tc>
              <w:tc>
                <w:tcPr>
                  <w:tcW w:w="753" w:type="dxa"/>
                  <w:vAlign w:val="center"/>
                </w:tcPr>
                <w:p w14:paraId="08088E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p>
              </w:tc>
              <w:tc>
                <w:tcPr>
                  <w:tcW w:w="753" w:type="dxa"/>
                  <w:vAlign w:val="center"/>
                </w:tcPr>
                <w:p w14:paraId="07EADD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p>
              </w:tc>
              <w:tc>
                <w:tcPr>
                  <w:tcW w:w="776" w:type="dxa"/>
                  <w:vAlign w:val="center"/>
                </w:tcPr>
                <w:p w14:paraId="730496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43.6</w:t>
                  </w:r>
                </w:p>
              </w:tc>
            </w:tr>
            <w:tr w14:paraId="2F6E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pct"/>
                  <w:gridSpan w:val="4"/>
                  <w:vAlign w:val="center"/>
                </w:tcPr>
                <w:p w14:paraId="6FB9DF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贡献值</w:t>
                  </w:r>
                </w:p>
              </w:tc>
              <w:tc>
                <w:tcPr>
                  <w:tcW w:w="682" w:type="dxa"/>
                  <w:vAlign w:val="center"/>
                </w:tcPr>
                <w:p w14:paraId="73434A9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682" w:type="dxa"/>
                  <w:vAlign w:val="center"/>
                </w:tcPr>
                <w:p w14:paraId="7AA91E2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61</w:t>
                  </w:r>
                </w:p>
              </w:tc>
              <w:tc>
                <w:tcPr>
                  <w:tcW w:w="750" w:type="dxa"/>
                  <w:vAlign w:val="center"/>
                </w:tcPr>
                <w:p w14:paraId="454A207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66</w:t>
                  </w:r>
                </w:p>
              </w:tc>
              <w:tc>
                <w:tcPr>
                  <w:tcW w:w="750" w:type="dxa"/>
                  <w:vAlign w:val="center"/>
                </w:tcPr>
                <w:p w14:paraId="633C1B3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51</w:t>
                  </w:r>
                </w:p>
              </w:tc>
              <w:tc>
                <w:tcPr>
                  <w:tcW w:w="753" w:type="dxa"/>
                  <w:vAlign w:val="center"/>
                </w:tcPr>
                <w:p w14:paraId="13D4F1B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49</w:t>
                  </w:r>
                </w:p>
              </w:tc>
              <w:tc>
                <w:tcPr>
                  <w:tcW w:w="753" w:type="dxa"/>
                  <w:vAlign w:val="center"/>
                </w:tcPr>
                <w:p w14:paraId="2E86171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47</w:t>
                  </w:r>
                </w:p>
              </w:tc>
              <w:tc>
                <w:tcPr>
                  <w:tcW w:w="776" w:type="dxa"/>
                  <w:vAlign w:val="center"/>
                </w:tcPr>
                <w:p w14:paraId="4BF1B80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45</w:t>
                  </w:r>
                </w:p>
              </w:tc>
            </w:tr>
          </w:tbl>
          <w:p w14:paraId="40D9D4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3、施工期声环境影响分析</w:t>
            </w:r>
          </w:p>
          <w:p w14:paraId="0FA64D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（1）土石方结算影响分析</w:t>
            </w:r>
          </w:p>
          <w:p w14:paraId="663833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土石方阶段主要使用推土机、装载机、翻斗车等设备，由于施工量较小，施工期很短，设备噪声值相对较小，类比同类型项目，昼间在距离设备50米处，夜间在距离施工设备250米处可满足《建筑施工场界环境噪声排放标准》（GB12523-2011）中相关规定。</w:t>
            </w:r>
          </w:p>
          <w:p w14:paraId="32E129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根据现场勘查，本项目100m、150</w:t>
            </w:r>
            <w:r>
              <w:rPr>
                <w:rFonts w:hint="default" w:ascii="Times New Roman" w:hAnsi="Times New Roman" w:eastAsia="宋体" w:cs="Times New Roman"/>
                <w:b w:val="0"/>
                <w:bCs w:val="0"/>
                <w:color w:val="auto"/>
                <w:sz w:val="24"/>
                <w:szCs w:val="24"/>
                <w:vertAlign w:val="baseline"/>
                <w:lang w:val="en-US" w:eastAsia="zh-CN"/>
              </w:rPr>
              <w:t>m处</w:t>
            </w:r>
            <w:r>
              <w:rPr>
                <w:rFonts w:hint="eastAsia" w:ascii="Times New Roman" w:hAnsi="Times New Roman" w:eastAsia="宋体" w:cs="Times New Roman"/>
                <w:b w:val="0"/>
                <w:bCs w:val="0"/>
                <w:color w:val="auto"/>
                <w:sz w:val="24"/>
                <w:szCs w:val="24"/>
                <w:vertAlign w:val="baseline"/>
                <w:lang w:val="en-US" w:eastAsia="zh-CN"/>
              </w:rPr>
              <w:t>无环境保护目标，土石方工程施工期段，设备间歇运行，本项目夜间严禁土石方作业。因此，土石方工程施工对居民造成影响较小。</w:t>
            </w:r>
          </w:p>
          <w:p w14:paraId="2387DA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（2）钻井作业影响分析</w:t>
            </w:r>
          </w:p>
          <w:p w14:paraId="19F05A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昼间</w:t>
            </w:r>
            <w:r>
              <w:rPr>
                <w:rFonts w:hint="default" w:ascii="Times New Roman" w:hAnsi="Times New Roman" w:eastAsia="宋体" w:cs="Times New Roman"/>
                <w:b w:val="0"/>
                <w:bCs w:val="0"/>
                <w:color w:val="auto"/>
                <w:sz w:val="24"/>
                <w:szCs w:val="24"/>
                <w:vertAlign w:val="baseline"/>
                <w:lang w:val="en-US" w:eastAsia="zh-CN"/>
              </w:rPr>
              <w:t>在距离施工设备噪声</w:t>
            </w:r>
            <w:r>
              <w:rPr>
                <w:rFonts w:hint="eastAsia" w:ascii="Times New Roman" w:hAnsi="Times New Roman" w:eastAsia="宋体" w:cs="Times New Roman"/>
                <w:b w:val="0"/>
                <w:bCs w:val="0"/>
                <w:color w:val="auto"/>
                <w:sz w:val="24"/>
                <w:szCs w:val="24"/>
                <w:highlight w:val="none"/>
                <w:vertAlign w:val="baseline"/>
                <w:lang w:val="en-US" w:eastAsia="zh-CN"/>
              </w:rPr>
              <w:t>10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baseline"/>
                <w:lang w:val="en-US" w:eastAsia="zh-CN"/>
              </w:rPr>
              <w:t>，夜间</w:t>
            </w:r>
            <w:r>
              <w:rPr>
                <w:rFonts w:hint="default" w:ascii="Times New Roman" w:hAnsi="Times New Roman" w:eastAsia="宋体" w:cs="Times New Roman"/>
                <w:b w:val="0"/>
                <w:bCs w:val="0"/>
                <w:color w:val="auto"/>
                <w:sz w:val="24"/>
                <w:szCs w:val="24"/>
                <w:highlight w:val="none"/>
                <w:vertAlign w:val="baseline"/>
                <w:lang w:val="en-US" w:eastAsia="zh-CN"/>
              </w:rPr>
              <w:t>距离施工设备噪声150m处昼夜间噪声贡献值可以满足《建筑施工场界环境噪声排放标准》（GB12523-2011）中相关规定</w:t>
            </w:r>
            <w:r>
              <w:rPr>
                <w:rFonts w:hint="default" w:ascii="Times New Roman" w:hAnsi="Times New Roman" w:eastAsia="宋体" w:cs="Times New Roman"/>
                <w:b w:val="0"/>
                <w:bCs w:val="0"/>
                <w:color w:val="auto"/>
                <w:sz w:val="24"/>
                <w:szCs w:val="24"/>
                <w:vertAlign w:val="baseline"/>
                <w:lang w:val="en-US" w:eastAsia="zh-CN"/>
              </w:rPr>
              <w:t>。</w:t>
            </w:r>
          </w:p>
          <w:p w14:paraId="458FB5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根据预测结果，距离钻井设备300米处夜间噪声方可满足《声环境质量标准》（GB3096-2008）1类区标准限值要求。根据现场踏勘，本项目100m、150</w:t>
            </w:r>
            <w:r>
              <w:rPr>
                <w:rFonts w:hint="default" w:ascii="Times New Roman" w:hAnsi="Times New Roman" w:eastAsia="宋体" w:cs="Times New Roman"/>
                <w:b w:val="0"/>
                <w:bCs w:val="0"/>
                <w:color w:val="auto"/>
                <w:sz w:val="24"/>
                <w:szCs w:val="24"/>
                <w:vertAlign w:val="baseline"/>
                <w:lang w:val="en-US" w:eastAsia="zh-CN"/>
              </w:rPr>
              <w:t>m处</w:t>
            </w:r>
            <w:r>
              <w:rPr>
                <w:rFonts w:hint="eastAsia" w:ascii="Times New Roman" w:hAnsi="Times New Roman" w:eastAsia="宋体" w:cs="Times New Roman"/>
                <w:b w:val="0"/>
                <w:bCs w:val="0"/>
                <w:color w:val="auto"/>
                <w:sz w:val="24"/>
                <w:szCs w:val="24"/>
                <w:vertAlign w:val="baseline"/>
                <w:lang w:val="en-US" w:eastAsia="zh-CN"/>
              </w:rPr>
              <w:t>无环境保护目标，能够确保环境保护目标处《声环境质量标准》（GB3096-2008）1类区标准限值要求。</w:t>
            </w:r>
          </w:p>
          <w:p w14:paraId="2A953D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（3）压裂作业噪声影响分析</w:t>
            </w:r>
          </w:p>
          <w:p w14:paraId="22A745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本项目各井场均设置4台压裂车，压裂车叠加噪声值为93dB（A）</w:t>
            </w:r>
            <w:r>
              <w:rPr>
                <w:rFonts w:hint="eastAsia" w:ascii="Times New Roman" w:hAnsi="Times New Roman" w:eastAsia="宋体" w:cs="Times New Roman"/>
                <w:b w:val="0"/>
                <w:bCs w:val="0"/>
                <w:color w:val="auto"/>
                <w:sz w:val="24"/>
                <w:szCs w:val="24"/>
                <w:vertAlign w:val="baseline"/>
                <w:lang w:val="en-US" w:eastAsia="zh-CN"/>
              </w:rPr>
              <w:t>，经预测，</w:t>
            </w:r>
            <w:r>
              <w:rPr>
                <w:rFonts w:hint="default" w:ascii="Times New Roman" w:hAnsi="Times New Roman" w:eastAsia="宋体" w:cs="Times New Roman"/>
                <w:b w:val="0"/>
                <w:bCs w:val="0"/>
                <w:color w:val="auto"/>
                <w:sz w:val="24"/>
                <w:szCs w:val="24"/>
                <w:highlight w:val="none"/>
                <w:vertAlign w:val="baseline"/>
                <w:lang w:val="en-US" w:eastAsia="zh-CN"/>
              </w:rPr>
              <w:t>距离施工设备噪声1</w:t>
            </w:r>
            <w:r>
              <w:rPr>
                <w:rFonts w:hint="eastAsia" w:ascii="Times New Roman" w:hAnsi="Times New Roman" w:eastAsia="宋体" w:cs="Times New Roman"/>
                <w:b w:val="0"/>
                <w:bCs w:val="0"/>
                <w:color w:val="auto"/>
                <w:sz w:val="24"/>
                <w:szCs w:val="24"/>
                <w:highlight w:val="none"/>
                <w:vertAlign w:val="baseline"/>
                <w:lang w:val="en-US" w:eastAsia="zh-CN"/>
              </w:rPr>
              <w:t>0</w:t>
            </w:r>
            <w:r>
              <w:rPr>
                <w:rFonts w:hint="default" w:ascii="Times New Roman" w:hAnsi="Times New Roman" w:eastAsia="宋体" w:cs="Times New Roman"/>
                <w:b w:val="0"/>
                <w:bCs w:val="0"/>
                <w:color w:val="auto"/>
                <w:sz w:val="24"/>
                <w:szCs w:val="24"/>
                <w:highlight w:val="none"/>
                <w:vertAlign w:val="baseline"/>
                <w:lang w:val="en-US" w:eastAsia="zh-CN"/>
              </w:rPr>
              <w:t>0m处昼间噪声贡献值</w:t>
            </w:r>
            <w:r>
              <w:rPr>
                <w:rFonts w:hint="eastAsia" w:ascii="Times New Roman" w:hAnsi="Times New Roman" w:eastAsia="宋体" w:cs="Times New Roman"/>
                <w:b w:val="0"/>
                <w:bCs w:val="0"/>
                <w:color w:val="auto"/>
                <w:sz w:val="24"/>
                <w:szCs w:val="24"/>
                <w:highlight w:val="none"/>
                <w:vertAlign w:val="baseline"/>
                <w:lang w:val="en-US" w:eastAsia="zh-CN"/>
              </w:rPr>
              <w:t>、距离</w:t>
            </w:r>
            <w:r>
              <w:rPr>
                <w:rFonts w:hint="default" w:ascii="Times New Roman" w:hAnsi="Times New Roman" w:eastAsia="宋体" w:cs="Times New Roman"/>
                <w:b w:val="0"/>
                <w:bCs w:val="0"/>
                <w:color w:val="auto"/>
                <w:sz w:val="24"/>
                <w:szCs w:val="24"/>
                <w:highlight w:val="none"/>
                <w:vertAlign w:val="baseline"/>
                <w:lang w:val="en-US" w:eastAsia="zh-CN"/>
              </w:rPr>
              <w:t>施工设备噪声</w:t>
            </w:r>
            <w:r>
              <w:rPr>
                <w:rFonts w:hint="eastAsia" w:ascii="Times New Roman" w:hAnsi="Times New Roman" w:eastAsia="宋体" w:cs="Times New Roman"/>
                <w:b w:val="0"/>
                <w:bCs w:val="0"/>
                <w:color w:val="auto"/>
                <w:sz w:val="24"/>
                <w:szCs w:val="24"/>
                <w:highlight w:val="none"/>
                <w:vertAlign w:val="baseline"/>
                <w:lang w:val="en-US" w:eastAsia="zh-CN"/>
              </w:rPr>
              <w:t>20</w:t>
            </w:r>
            <w:r>
              <w:rPr>
                <w:rFonts w:hint="default" w:ascii="Times New Roman" w:hAnsi="Times New Roman" w:eastAsia="宋体" w:cs="Times New Roman"/>
                <w:b w:val="0"/>
                <w:bCs w:val="0"/>
                <w:color w:val="auto"/>
                <w:sz w:val="24"/>
                <w:szCs w:val="24"/>
                <w:highlight w:val="none"/>
                <w:vertAlign w:val="baseline"/>
                <w:lang w:val="en-US" w:eastAsia="zh-CN"/>
              </w:rPr>
              <w:t>0m处</w:t>
            </w:r>
            <w:r>
              <w:rPr>
                <w:rFonts w:hint="eastAsia" w:ascii="Times New Roman" w:hAnsi="Times New Roman" w:eastAsia="宋体" w:cs="Times New Roman"/>
                <w:b w:val="0"/>
                <w:bCs w:val="0"/>
                <w:color w:val="auto"/>
                <w:sz w:val="24"/>
                <w:szCs w:val="24"/>
                <w:highlight w:val="none"/>
                <w:vertAlign w:val="baseline"/>
                <w:lang w:val="en-US" w:eastAsia="zh-CN"/>
              </w:rPr>
              <w:t>夜</w:t>
            </w:r>
            <w:r>
              <w:rPr>
                <w:rFonts w:hint="default" w:ascii="Times New Roman" w:hAnsi="Times New Roman" w:eastAsia="宋体" w:cs="Times New Roman"/>
                <w:b w:val="0"/>
                <w:bCs w:val="0"/>
                <w:color w:val="auto"/>
                <w:sz w:val="24"/>
                <w:szCs w:val="24"/>
                <w:highlight w:val="none"/>
                <w:vertAlign w:val="baseline"/>
                <w:lang w:val="en-US" w:eastAsia="zh-CN"/>
              </w:rPr>
              <w:t>间噪声贡献值可以满足《建筑施工场界环境噪声排放标准》（GB12523-2011）中相关规定</w:t>
            </w:r>
            <w:r>
              <w:rPr>
                <w:rFonts w:hint="eastAsia" w:ascii="Times New Roman" w:hAnsi="Times New Roman" w:eastAsia="宋体" w:cs="Times New Roman"/>
                <w:b w:val="0"/>
                <w:bCs w:val="0"/>
                <w:color w:val="auto"/>
                <w:sz w:val="24"/>
                <w:szCs w:val="24"/>
                <w:highlight w:val="none"/>
                <w:vertAlign w:val="baseline"/>
                <w:lang w:val="en-US" w:eastAsia="zh-CN"/>
              </w:rPr>
              <w:t>。本项目100m、150</w:t>
            </w:r>
            <w:r>
              <w:rPr>
                <w:rFonts w:hint="default" w:ascii="Times New Roman" w:hAnsi="Times New Roman" w:eastAsia="宋体" w:cs="Times New Roman"/>
                <w:b w:val="0"/>
                <w:bCs w:val="0"/>
                <w:color w:val="auto"/>
                <w:sz w:val="24"/>
                <w:szCs w:val="24"/>
                <w:highlight w:val="none"/>
                <w:vertAlign w:val="baseline"/>
                <w:lang w:val="en-US" w:eastAsia="zh-CN"/>
              </w:rPr>
              <w:t>m处</w:t>
            </w:r>
            <w:r>
              <w:rPr>
                <w:rFonts w:hint="eastAsia" w:ascii="Times New Roman" w:hAnsi="Times New Roman" w:eastAsia="宋体" w:cs="Times New Roman"/>
                <w:b w:val="0"/>
                <w:bCs w:val="0"/>
                <w:color w:val="auto"/>
                <w:sz w:val="24"/>
                <w:szCs w:val="24"/>
                <w:highlight w:val="none"/>
                <w:vertAlign w:val="baseline"/>
                <w:lang w:val="en-US" w:eastAsia="zh-CN"/>
              </w:rPr>
              <w:t>无环境保护目标，本项目要求禁止在夜间进行压裂作业。</w:t>
            </w:r>
          </w:p>
          <w:p w14:paraId="401480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2、试气放喷噪声对环境影响分析</w:t>
            </w:r>
          </w:p>
          <w:p w14:paraId="3FDA4D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测试放喷根据试气计划依次进行，测试放喷时产生的高压气流噪声为100dB(A)，均是昼夜连续作业。评价对井场试气噪声进行预测，预测模型同钻井工程噪声预测模式，预测结果见表4-5。</w:t>
            </w:r>
          </w:p>
          <w:p w14:paraId="716F4D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表4-5   放喷噪声影响范围预测结果    单位：dB（A）</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696"/>
              <w:gridCol w:w="964"/>
              <w:gridCol w:w="965"/>
              <w:gridCol w:w="965"/>
              <w:gridCol w:w="965"/>
              <w:gridCol w:w="965"/>
              <w:gridCol w:w="965"/>
              <w:gridCol w:w="976"/>
            </w:tblGrid>
            <w:tr w14:paraId="7099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restart"/>
                  <w:vAlign w:val="center"/>
                </w:tcPr>
                <w:p w14:paraId="04D191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噪声源</w:t>
                  </w:r>
                </w:p>
              </w:tc>
              <w:tc>
                <w:tcPr>
                  <w:tcW w:w="4290" w:type="pct"/>
                  <w:gridSpan w:val="8"/>
                  <w:vAlign w:val="center"/>
                </w:tcPr>
                <w:p w14:paraId="3286D5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距声源距离</w:t>
                  </w:r>
                </w:p>
              </w:tc>
            </w:tr>
            <w:tr w14:paraId="588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continue"/>
                  <w:vAlign w:val="center"/>
                </w:tcPr>
                <w:p w14:paraId="1B570D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400" w:type="pct"/>
                  <w:vAlign w:val="center"/>
                </w:tcPr>
                <w:p w14:paraId="14109B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w:t>
                  </w:r>
                </w:p>
              </w:tc>
              <w:tc>
                <w:tcPr>
                  <w:tcW w:w="554" w:type="pct"/>
                  <w:vAlign w:val="center"/>
                </w:tcPr>
                <w:p w14:paraId="050FD5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w:t>
                  </w:r>
                </w:p>
              </w:tc>
              <w:tc>
                <w:tcPr>
                  <w:tcW w:w="555" w:type="pct"/>
                  <w:vAlign w:val="center"/>
                </w:tcPr>
                <w:p w14:paraId="030F4A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40</w:t>
                  </w:r>
                </w:p>
              </w:tc>
              <w:tc>
                <w:tcPr>
                  <w:tcW w:w="555" w:type="pct"/>
                  <w:vAlign w:val="center"/>
                </w:tcPr>
                <w:p w14:paraId="52CF9E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80</w:t>
                  </w:r>
                </w:p>
              </w:tc>
              <w:tc>
                <w:tcPr>
                  <w:tcW w:w="555" w:type="pct"/>
                  <w:vAlign w:val="center"/>
                </w:tcPr>
                <w:p w14:paraId="504222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100</w:t>
                  </w:r>
                </w:p>
              </w:tc>
              <w:tc>
                <w:tcPr>
                  <w:tcW w:w="555" w:type="pct"/>
                  <w:vAlign w:val="center"/>
                </w:tcPr>
                <w:p w14:paraId="0A7FFD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150</w:t>
                  </w:r>
                </w:p>
              </w:tc>
              <w:tc>
                <w:tcPr>
                  <w:tcW w:w="555" w:type="pct"/>
                  <w:vAlign w:val="center"/>
                </w:tcPr>
                <w:p w14:paraId="58E297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200</w:t>
                  </w:r>
                </w:p>
              </w:tc>
              <w:tc>
                <w:tcPr>
                  <w:tcW w:w="557" w:type="pct"/>
                  <w:vAlign w:val="center"/>
                </w:tcPr>
                <w:p w14:paraId="06252B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400</w:t>
                  </w:r>
                </w:p>
              </w:tc>
            </w:tr>
            <w:tr w14:paraId="266C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Align w:val="center"/>
                </w:tcPr>
                <w:p w14:paraId="416967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放喷测试</w:t>
                  </w:r>
                </w:p>
              </w:tc>
              <w:tc>
                <w:tcPr>
                  <w:tcW w:w="400" w:type="pct"/>
                  <w:vAlign w:val="center"/>
                </w:tcPr>
                <w:p w14:paraId="4F5BFF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80.0</w:t>
                  </w:r>
                </w:p>
              </w:tc>
              <w:tc>
                <w:tcPr>
                  <w:tcW w:w="554" w:type="pct"/>
                  <w:vAlign w:val="center"/>
                </w:tcPr>
                <w:p w14:paraId="284818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74.0</w:t>
                  </w:r>
                </w:p>
              </w:tc>
              <w:tc>
                <w:tcPr>
                  <w:tcW w:w="555" w:type="pct"/>
                  <w:vAlign w:val="center"/>
                </w:tcPr>
                <w:p w14:paraId="4D2452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68.0</w:t>
                  </w:r>
                </w:p>
              </w:tc>
              <w:tc>
                <w:tcPr>
                  <w:tcW w:w="555" w:type="pct"/>
                  <w:vAlign w:val="center"/>
                </w:tcPr>
                <w:p w14:paraId="47446A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61.9</w:t>
                  </w:r>
                </w:p>
              </w:tc>
              <w:tc>
                <w:tcPr>
                  <w:tcW w:w="555" w:type="pct"/>
                  <w:vAlign w:val="center"/>
                </w:tcPr>
                <w:p w14:paraId="1B270C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60.0</w:t>
                  </w:r>
                </w:p>
              </w:tc>
              <w:tc>
                <w:tcPr>
                  <w:tcW w:w="555" w:type="pct"/>
                  <w:vAlign w:val="center"/>
                </w:tcPr>
                <w:p w14:paraId="41F082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56.5</w:t>
                  </w:r>
                </w:p>
              </w:tc>
              <w:tc>
                <w:tcPr>
                  <w:tcW w:w="555" w:type="pct"/>
                  <w:vAlign w:val="center"/>
                </w:tcPr>
                <w:p w14:paraId="3FE2A5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54.0</w:t>
                  </w:r>
                </w:p>
              </w:tc>
              <w:tc>
                <w:tcPr>
                  <w:tcW w:w="557" w:type="pct"/>
                  <w:vAlign w:val="center"/>
                </w:tcPr>
                <w:p w14:paraId="17E73C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48.0</w:t>
                  </w:r>
                </w:p>
              </w:tc>
            </w:tr>
          </w:tbl>
          <w:p w14:paraId="71C437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yellow"/>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根据上表预测结果，在放喷测试时，在距放喷管33m（距井场边界33m）处能够满足《建筑施工场界环境噪声排放标准》（GB12523-2011）昼间排放标准70dB(A)；</w:t>
            </w:r>
            <w:r>
              <w:rPr>
                <w:rFonts w:hint="default" w:ascii="Times New Roman" w:hAnsi="Times New Roman" w:eastAsia="宋体" w:cs="Times New Roman"/>
                <w:b w:val="0"/>
                <w:bCs w:val="0"/>
                <w:color w:val="auto"/>
                <w:sz w:val="24"/>
                <w:szCs w:val="24"/>
                <w:highlight w:val="none"/>
                <w:vertAlign w:val="baseline"/>
                <w:lang w:val="en-US" w:eastAsia="zh-CN"/>
              </w:rPr>
              <w:t>在距放喷管185m（距井场边界185m）处能够满足其夜间排放标准55dB(A)。</w:t>
            </w:r>
          </w:p>
          <w:p w14:paraId="1870C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放喷管周围200m范围内无居民点，</w:t>
            </w:r>
            <w:r>
              <w:rPr>
                <w:rFonts w:hint="default" w:ascii="Times New Roman" w:hAnsi="Times New Roman" w:eastAsia="宋体" w:cs="Times New Roman"/>
                <w:b w:val="0"/>
                <w:bCs w:val="0"/>
                <w:color w:val="auto"/>
                <w:sz w:val="24"/>
                <w:szCs w:val="24"/>
                <w:vertAlign w:val="baseline"/>
                <w:lang w:val="en-US" w:eastAsia="zh-CN"/>
              </w:rPr>
              <w:t>且钻井施工作业时间短，施工结束后影响随即消失。</w:t>
            </w:r>
          </w:p>
          <w:p w14:paraId="14490E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综上，气井在钻井过程中，对周围声环境敏感点噪声影响很小。</w:t>
            </w:r>
          </w:p>
          <w:p w14:paraId="1DF4F1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六、固体废物</w:t>
            </w:r>
          </w:p>
          <w:p w14:paraId="71BD36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项目钻井过程中产生的固体废物主要有废弃泥浆、岩屑、废机油及井队员工产生的生活垃圾。</w:t>
            </w:r>
          </w:p>
          <w:p w14:paraId="2F6137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w:t>
            </w:r>
            <w:r>
              <w:rPr>
                <w:rFonts w:hint="eastAsia" w:ascii="Times New Roman" w:hAnsi="Times New Roman" w:eastAsia="宋体" w:cs="Times New Roman"/>
                <w:b/>
                <w:bCs/>
                <w:color w:val="auto"/>
                <w:sz w:val="24"/>
                <w:szCs w:val="24"/>
                <w:vertAlign w:val="baseline"/>
                <w:lang w:val="en-US" w:eastAsia="zh-CN"/>
              </w:rPr>
              <w:t>泥饼</w:t>
            </w:r>
          </w:p>
          <w:p w14:paraId="7A43D1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废弃钻井泥浆</w:t>
            </w:r>
            <w:r>
              <w:rPr>
                <w:rFonts w:hint="eastAsia" w:ascii="Times New Roman" w:hAnsi="Times New Roman" w:eastAsia="宋体" w:cs="Times New Roman"/>
                <w:b w:val="0"/>
                <w:bCs w:val="0"/>
                <w:color w:val="auto"/>
                <w:sz w:val="24"/>
                <w:szCs w:val="24"/>
                <w:vertAlign w:val="baseline"/>
                <w:lang w:val="en-US" w:eastAsia="zh-CN"/>
              </w:rPr>
              <w:t>（泥饼）</w:t>
            </w:r>
            <w:r>
              <w:rPr>
                <w:rFonts w:hint="default" w:ascii="Times New Roman" w:hAnsi="Times New Roman" w:eastAsia="宋体" w:cs="Times New Roman"/>
                <w:b w:val="0"/>
                <w:bCs w:val="0"/>
                <w:color w:val="auto"/>
                <w:sz w:val="24"/>
                <w:szCs w:val="24"/>
                <w:vertAlign w:val="baseline"/>
                <w:lang w:val="en-US" w:eastAsia="zh-CN"/>
              </w:rPr>
              <w:t>是指在钻井过程中无法利用的剩余泥浆，其产生量随井深和井径的不同而改变。根据类比企业在该地区已建勘探井的调查情况，钻井废弃泥浆产生量可按照经验公式推算：</w:t>
            </w:r>
          </w:p>
          <w:p w14:paraId="56C2C7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position w:val="-10"/>
                <w:sz w:val="24"/>
                <w:szCs w:val="24"/>
                <w:vertAlign w:val="baseline"/>
                <w:lang w:val="en-US" w:eastAsia="zh-CN"/>
              </w:rPr>
              <w:object>
                <v:shape id="_x0000_i1029" o:spt="75" type="#_x0000_t75" style="height:18pt;width:197pt;" o:ole="t" filled="f" o:preferrelative="t" stroked="f" coordsize="21600,21600">
                  <v:path/>
                  <v:fill on="f" focussize="0,0"/>
                  <v:stroke on="f"/>
                  <v:imagedata r:id="rId24" o:title=""/>
                  <o:lock v:ext="edit" aspectratio="t"/>
                  <w10:wrap type="none"/>
                  <w10:anchorlock/>
                </v:shape>
                <o:OLEObject Type="Embed" ProgID="Equation.KSEE3" ShapeID="_x0000_i1029" DrawAspect="Content" ObjectID="_1468075729" r:id="rId23">
                  <o:LockedField>false</o:LockedField>
                </o:OLEObject>
              </w:object>
            </w:r>
          </w:p>
          <w:p w14:paraId="0D776B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w:t>
            </w:r>
          </w:p>
          <w:p w14:paraId="5E5FB2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V——钻井泥浆量，m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55E727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D——钻井直井，m，一开0.346m，二开0.273m；</w:t>
            </w:r>
          </w:p>
          <w:p w14:paraId="7D7AAE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h——钻井的深度，m，一开</w:t>
            </w:r>
            <w:r>
              <w:rPr>
                <w:rFonts w:hint="eastAsia" w:ascii="Times New Roman" w:hAnsi="Times New Roman" w:eastAsia="宋体" w:cs="Times New Roman"/>
                <w:b w:val="0"/>
                <w:bCs w:val="0"/>
                <w:color w:val="auto"/>
                <w:sz w:val="24"/>
                <w:szCs w:val="24"/>
                <w:vertAlign w:val="baseline"/>
                <w:lang w:val="en-US" w:eastAsia="zh-CN"/>
              </w:rPr>
              <w:t>600</w:t>
            </w:r>
            <w:r>
              <w:rPr>
                <w:rFonts w:hint="default" w:ascii="Times New Roman" w:hAnsi="Times New Roman" w:eastAsia="宋体" w:cs="Times New Roman"/>
                <w:b w:val="0"/>
                <w:bCs w:val="0"/>
                <w:color w:val="auto"/>
                <w:sz w:val="24"/>
                <w:szCs w:val="24"/>
                <w:vertAlign w:val="baseline"/>
                <w:lang w:val="en-US" w:eastAsia="zh-CN"/>
              </w:rPr>
              <w:t>m，</w:t>
            </w:r>
            <w:r>
              <w:rPr>
                <w:rFonts w:hint="eastAsia" w:ascii="Times New Roman" w:hAnsi="Times New Roman" w:eastAsia="宋体" w:cs="Times New Roman"/>
                <w:b w:val="0"/>
                <w:bCs w:val="0"/>
                <w:color w:val="auto"/>
                <w:sz w:val="24"/>
                <w:szCs w:val="24"/>
                <w:vertAlign w:val="baseline"/>
                <w:lang w:val="en-US" w:eastAsia="zh-CN"/>
              </w:rPr>
              <w:t>米107-3MH井</w:t>
            </w:r>
            <w:r>
              <w:rPr>
                <w:rFonts w:hint="default" w:ascii="Times New Roman" w:hAnsi="Times New Roman" w:eastAsia="宋体" w:cs="Times New Roman"/>
                <w:b w:val="0"/>
                <w:bCs w:val="0"/>
                <w:color w:val="auto"/>
                <w:sz w:val="24"/>
                <w:szCs w:val="24"/>
                <w:vertAlign w:val="baseline"/>
                <w:lang w:val="en-US" w:eastAsia="zh-CN"/>
              </w:rPr>
              <w:t>二开</w:t>
            </w:r>
            <w:r>
              <w:rPr>
                <w:rFonts w:hint="eastAsia" w:ascii="Times New Roman" w:hAnsi="Times New Roman" w:eastAsia="宋体" w:cs="Times New Roman"/>
                <w:b w:val="0"/>
                <w:bCs w:val="0"/>
                <w:color w:val="auto"/>
                <w:sz w:val="24"/>
                <w:szCs w:val="24"/>
                <w:vertAlign w:val="baseline"/>
                <w:lang w:val="en-US" w:eastAsia="zh-CN"/>
              </w:rPr>
              <w:t>2750</w:t>
            </w:r>
            <w:r>
              <w:rPr>
                <w:rFonts w:hint="default" w:ascii="Times New Roman" w:hAnsi="Times New Roman" w:eastAsia="宋体" w:cs="Times New Roman"/>
                <w:b w:val="0"/>
                <w:bCs w:val="0"/>
                <w:color w:val="auto"/>
                <w:sz w:val="24"/>
                <w:szCs w:val="24"/>
                <w:vertAlign w:val="baseline"/>
                <w:lang w:val="en-US" w:eastAsia="zh-CN"/>
              </w:rPr>
              <w:t>m。</w:t>
            </w:r>
          </w:p>
          <w:p w14:paraId="3A0A5F5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根据计算，项目单井钻井废弃泥浆产生量约为</w:t>
            </w:r>
            <w:r>
              <w:rPr>
                <w:rFonts w:hint="eastAsia" w:ascii="Times New Roman" w:hAnsi="Times New Roman" w:eastAsia="宋体" w:cs="Times New Roman"/>
                <w:b w:val="0"/>
                <w:bCs w:val="0"/>
                <w:color w:val="auto"/>
                <w:sz w:val="24"/>
                <w:szCs w:val="24"/>
                <w:vertAlign w:val="baseline"/>
                <w:lang w:val="en-US" w:eastAsia="zh-CN"/>
              </w:rPr>
              <w:t>312.15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重复利用率为95%，废弃钻井泥浆产生量为15.6t。</w:t>
            </w:r>
          </w:p>
          <w:p w14:paraId="63A9BEC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弃泥浆的主要成分是土粉、纯碱、烧碱和无机及有机添加剂，本项目使用水基泥浆，按照《榆林市油（气）开采废弃物处置环保暂行管理办法》（榆政环发〔2015〕170号）的相关要求进行收集，经场地内泥浆循环系统配套的移动式泥饼</w:t>
            </w:r>
            <w:r>
              <w:rPr>
                <w:rFonts w:hint="eastAsia" w:ascii="Times New Roman" w:hAnsi="Times New Roman" w:eastAsia="宋体" w:cs="Times New Roman"/>
                <w:b w:val="0"/>
                <w:bCs w:val="0"/>
                <w:color w:val="auto"/>
                <w:sz w:val="24"/>
                <w:szCs w:val="24"/>
                <w:vertAlign w:val="baseline"/>
                <w:lang w:val="en-US" w:eastAsia="zh-CN"/>
              </w:rPr>
              <w:t>循环罐</w:t>
            </w:r>
            <w:r>
              <w:rPr>
                <w:rFonts w:hint="default" w:ascii="Times New Roman" w:hAnsi="Times New Roman" w:eastAsia="宋体" w:cs="Times New Roman"/>
                <w:b w:val="0"/>
                <w:bCs w:val="0"/>
                <w:color w:val="auto"/>
                <w:sz w:val="24"/>
                <w:szCs w:val="24"/>
                <w:vertAlign w:val="baseline"/>
                <w:lang w:val="en-US" w:eastAsia="zh-CN"/>
              </w:rPr>
              <w:t>收集</w:t>
            </w:r>
            <w:r>
              <w:rPr>
                <w:rFonts w:hint="eastAsia" w:ascii="Times New Roman" w:hAnsi="Times New Roman" w:eastAsia="宋体" w:cs="Times New Roman"/>
                <w:b w:val="0"/>
                <w:bCs w:val="0"/>
                <w:color w:val="auto"/>
                <w:sz w:val="24"/>
                <w:szCs w:val="24"/>
                <w:vertAlign w:val="baseline"/>
                <w:lang w:val="en-US" w:eastAsia="zh-CN"/>
              </w:rPr>
              <w:t>在不同的井场之间进行循环使用</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最终使用完后</w:t>
            </w:r>
            <w:r>
              <w:rPr>
                <w:rFonts w:hint="default" w:ascii="Times New Roman" w:hAnsi="Times New Roman" w:cs="Times New Roman"/>
                <w:color w:val="auto"/>
                <w:lang w:val="en-US" w:eastAsia="zh-CN"/>
              </w:rPr>
              <w:t>由罐车拉运至陕西德禾鑫盛环保科技有限公司处置。</w:t>
            </w:r>
          </w:p>
          <w:p w14:paraId="5AF435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（2）钻井岩屑</w:t>
            </w:r>
          </w:p>
          <w:p w14:paraId="32610F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钻井过程中，岩石被钻头破碎成岩屑，随着泥浆经循环泵带出井口，经地面的泥浆不落地系统处理分离，钻井岩屑的产生量按以下公式计算：</w:t>
            </w:r>
          </w:p>
          <w:p w14:paraId="67BF4CF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position w:val="-6"/>
                <w:sz w:val="24"/>
                <w:szCs w:val="24"/>
                <w:vertAlign w:val="baseline"/>
                <w:lang w:val="en-US" w:eastAsia="zh-CN"/>
              </w:rPr>
              <w:object>
                <v:shape id="_x0000_i1030" o:spt="75" type="#_x0000_t75" style="height:16pt;width:72pt;" o:ole="t" filled="f" o:preferrelative="t" stroked="f" coordsize="21600,21600">
                  <v:path/>
                  <v:fill on="f" focussize="0,0"/>
                  <v:stroke on="f"/>
                  <v:imagedata r:id="rId26" o:title=""/>
                  <o:lock v:ext="edit" aspectratio="t"/>
                  <w10:wrap type="none"/>
                  <w10:anchorlock/>
                </v:shape>
                <o:OLEObject Type="Embed" ProgID="Equation.KSEE3" ShapeID="_x0000_i1030" DrawAspect="Content" ObjectID="_1468075730" r:id="rId25">
                  <o:LockedField>false</o:LockedField>
                </o:OLEObject>
              </w:object>
            </w:r>
          </w:p>
          <w:p w14:paraId="32DB64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w:t>
            </w:r>
          </w:p>
          <w:p w14:paraId="48CAD7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W——钻井岩屑产生量，t；</w:t>
            </w:r>
          </w:p>
          <w:p w14:paraId="39CCB0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D——钻井直井，m，一开0.346m，二开0.273m；</w:t>
            </w:r>
          </w:p>
          <w:p w14:paraId="341CCB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h——钻井的深度，m，一开6</w:t>
            </w:r>
            <w:r>
              <w:rPr>
                <w:rFonts w:hint="eastAsia" w:ascii="Times New Roman" w:hAnsi="Times New Roman" w:eastAsia="宋体" w:cs="Times New Roman"/>
                <w:b w:val="0"/>
                <w:bCs w:val="0"/>
                <w:color w:val="auto"/>
                <w:sz w:val="24"/>
                <w:szCs w:val="24"/>
                <w:vertAlign w:val="baseline"/>
                <w:lang w:val="en-US" w:eastAsia="zh-CN"/>
              </w:rPr>
              <w:t>0</w:t>
            </w:r>
            <w:r>
              <w:rPr>
                <w:rFonts w:hint="default" w:ascii="Times New Roman" w:hAnsi="Times New Roman" w:eastAsia="宋体" w:cs="Times New Roman"/>
                <w:b w:val="0"/>
                <w:bCs w:val="0"/>
                <w:color w:val="auto"/>
                <w:sz w:val="24"/>
                <w:szCs w:val="24"/>
                <w:vertAlign w:val="baseline"/>
                <w:lang w:val="en-US" w:eastAsia="zh-CN"/>
              </w:rPr>
              <w:t>0m，</w:t>
            </w:r>
            <w:r>
              <w:rPr>
                <w:rFonts w:hint="eastAsia" w:ascii="Times New Roman" w:hAnsi="Times New Roman" w:eastAsia="宋体" w:cs="Times New Roman"/>
                <w:b w:val="0"/>
                <w:bCs w:val="0"/>
                <w:color w:val="auto"/>
                <w:sz w:val="24"/>
                <w:szCs w:val="24"/>
                <w:vertAlign w:val="baseline"/>
                <w:lang w:val="en-US" w:eastAsia="zh-CN"/>
              </w:rPr>
              <w:t>米107-3MH井</w:t>
            </w:r>
            <w:r>
              <w:rPr>
                <w:rFonts w:hint="default" w:ascii="Times New Roman" w:hAnsi="Times New Roman" w:eastAsia="宋体" w:cs="Times New Roman"/>
                <w:b w:val="0"/>
                <w:bCs w:val="0"/>
                <w:color w:val="auto"/>
                <w:sz w:val="24"/>
                <w:szCs w:val="24"/>
                <w:vertAlign w:val="baseline"/>
                <w:lang w:val="en-US" w:eastAsia="zh-CN"/>
              </w:rPr>
              <w:t>二开</w:t>
            </w:r>
            <w:r>
              <w:rPr>
                <w:rFonts w:hint="eastAsia" w:ascii="Times New Roman" w:hAnsi="Times New Roman" w:eastAsia="宋体" w:cs="Times New Roman"/>
                <w:b w:val="0"/>
                <w:bCs w:val="0"/>
                <w:color w:val="auto"/>
                <w:sz w:val="24"/>
                <w:szCs w:val="24"/>
                <w:vertAlign w:val="baseline"/>
                <w:lang w:val="en-US" w:eastAsia="zh-CN"/>
              </w:rPr>
              <w:t>2750</w:t>
            </w:r>
            <w:r>
              <w:rPr>
                <w:rFonts w:hint="default" w:ascii="Times New Roman" w:hAnsi="Times New Roman" w:eastAsia="宋体" w:cs="Times New Roman"/>
                <w:b w:val="0"/>
                <w:bCs w:val="0"/>
                <w:color w:val="auto"/>
                <w:sz w:val="24"/>
                <w:szCs w:val="24"/>
                <w:vertAlign w:val="baseline"/>
                <w:lang w:val="en-US" w:eastAsia="zh-CN"/>
              </w:rPr>
              <w:t>m；</w:t>
            </w:r>
          </w:p>
          <w:p w14:paraId="461438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d——岩石密度，t/m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，取2.71t/m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59342D5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sz w:val="24"/>
                <w:szCs w:val="24"/>
                <w:vertAlign w:val="baseline"/>
                <w:lang w:val="en-US" w:eastAsia="zh-CN"/>
              </w:rPr>
              <w:t>根</w:t>
            </w:r>
            <w:r>
              <w:rPr>
                <w:rFonts w:hint="default" w:ascii="Times New Roman" w:hAnsi="Times New Roman" w:eastAsia="宋体" w:cs="Times New Roman"/>
                <w:b w:val="0"/>
                <w:bCs w:val="0"/>
                <w:color w:val="auto"/>
                <w:sz w:val="24"/>
                <w:szCs w:val="24"/>
                <w:highlight w:val="none"/>
                <w:vertAlign w:val="baseline"/>
                <w:lang w:val="en-US" w:eastAsia="zh-CN"/>
              </w:rPr>
              <w:t>据本项目钻井的直径及钻井深度计算得出，</w:t>
            </w:r>
            <w:r>
              <w:rPr>
                <w:rFonts w:hint="eastAsia" w:ascii="Times New Roman" w:hAnsi="Times New Roman" w:eastAsia="宋体" w:cs="Times New Roman"/>
                <w:b w:val="0"/>
                <w:bCs w:val="0"/>
                <w:color w:val="auto"/>
                <w:sz w:val="24"/>
                <w:szCs w:val="24"/>
                <w:vertAlign w:val="baseline"/>
                <w:lang w:val="en-US" w:eastAsia="zh-CN"/>
              </w:rPr>
              <w:t>米107-3MH井</w:t>
            </w:r>
            <w:r>
              <w:rPr>
                <w:rFonts w:hint="default" w:ascii="Times New Roman" w:hAnsi="Times New Roman" w:eastAsia="宋体" w:cs="Times New Roman"/>
                <w:b w:val="0"/>
                <w:bCs w:val="0"/>
                <w:color w:val="auto"/>
                <w:sz w:val="24"/>
                <w:szCs w:val="24"/>
                <w:highlight w:val="none"/>
                <w:vertAlign w:val="baseline"/>
                <w:lang w:val="en-US" w:eastAsia="zh-CN"/>
              </w:rPr>
              <w:t>单井钻井岩屑量</w:t>
            </w:r>
            <w:r>
              <w:rPr>
                <w:rFonts w:hint="eastAsia" w:ascii="Times New Roman" w:hAnsi="Times New Roman" w:eastAsia="宋体" w:cs="Times New Roman"/>
                <w:b w:val="0"/>
                <w:bCs w:val="0"/>
                <w:color w:val="auto"/>
                <w:sz w:val="24"/>
                <w:szCs w:val="24"/>
                <w:highlight w:val="none"/>
                <w:vertAlign w:val="baseline"/>
                <w:lang w:val="en-US" w:eastAsia="zh-CN"/>
              </w:rPr>
              <w:t>452</w:t>
            </w:r>
            <w:r>
              <w:rPr>
                <w:rFonts w:hint="default" w:ascii="Times New Roman" w:hAnsi="Times New Roman" w:eastAsia="宋体" w:cs="Times New Roman"/>
                <w:b w:val="0"/>
                <w:bCs w:val="0"/>
                <w:color w:val="auto"/>
                <w:sz w:val="24"/>
                <w:szCs w:val="24"/>
                <w:highlight w:val="none"/>
                <w:vertAlign w:val="baseline"/>
                <w:lang w:val="en-US" w:eastAsia="zh-CN"/>
              </w:rPr>
              <w:t>t，</w:t>
            </w:r>
            <w:r>
              <w:rPr>
                <w:rFonts w:hint="default" w:ascii="Times New Roman" w:hAnsi="Times New Roman" w:eastAsia="宋体" w:cs="Times New Roman"/>
                <w:b w:val="0"/>
                <w:bCs w:val="0"/>
                <w:color w:val="auto"/>
                <w:sz w:val="24"/>
                <w:szCs w:val="24"/>
                <w:vertAlign w:val="baseline"/>
                <w:lang w:val="en-US" w:eastAsia="zh-CN"/>
              </w:rPr>
              <w:t>井场设置移动式泥饼和岩屑收集罐，罐区设置围堰，铺设防渗HDPE膜，设遮雨设施，</w:t>
            </w:r>
            <w:r>
              <w:rPr>
                <w:rFonts w:hint="default" w:ascii="Times New Roman" w:hAnsi="Times New Roman" w:cs="Times New Roman"/>
                <w:color w:val="auto"/>
                <w:lang w:val="en-US" w:eastAsia="zh-CN"/>
              </w:rPr>
              <w:t>符合《榆林市油气开采废弃物不落地集中处置推广项目建设管理指南（试行）》（榆林市生态环境局于2018年8月21日发布）的要求。经场地内泥浆循环系统配套的移动式泥饼和岩屑收集罐暂存，由罐车拉运至陕西德禾鑫盛环保科技有限公司处置。</w:t>
            </w:r>
          </w:p>
          <w:p w14:paraId="48298F19">
            <w:pPr>
              <w:pStyle w:val="2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lang w:val="en-US" w:eastAsia="zh-CN"/>
              </w:rPr>
              <w:t>本项目使用水基泥浆。钻井岩屑按照《榆林市油（气）开采废弃物处置环保暂行管理办法》（榆政环发〔2015〕170号）的相关要求进行收集，根据本地区同类项目工程经验，钻井岩屑中不含重金属和放射性含量物质，属于Ⅱ类一般固废。</w:t>
            </w:r>
          </w:p>
          <w:p w14:paraId="438E87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（3）废机油</w:t>
            </w:r>
          </w:p>
          <w:p w14:paraId="40A1C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主要来源于清洗钻具、套管时产生的废机油。根据建设单位同类型项目资料，预计单井废机油产生量为0.04t，委托有资质的单位进行处置。</w:t>
            </w:r>
          </w:p>
          <w:p w14:paraId="56D338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废纯碱、膨润土包装袋</w:t>
            </w:r>
            <w:r>
              <w:rPr>
                <w:rFonts w:hint="eastAsia" w:ascii="Times New Roman" w:hAnsi="Times New Roman" w:eastAsia="宋体" w:cs="Times New Roman"/>
                <w:b/>
                <w:bCs/>
                <w:color w:val="auto"/>
                <w:sz w:val="24"/>
                <w:szCs w:val="24"/>
                <w:vertAlign w:val="baseline"/>
                <w:lang w:val="en-US" w:eastAsia="zh-CN"/>
              </w:rPr>
              <w:t>、不含油废防渗布</w:t>
            </w:r>
          </w:p>
          <w:p w14:paraId="6DFC4B1E">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废弃包装袋主要为钻井材料中纯碱、膨润土废弃包装</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不含油废防渗布主要为施工场地铺设的未沾染油类物质的防渗布，</w:t>
            </w:r>
            <w:r>
              <w:rPr>
                <w:rFonts w:hint="default" w:ascii="Times New Roman" w:hAnsi="Times New Roman" w:cs="Times New Roman"/>
                <w:color w:val="auto"/>
                <w:sz w:val="24"/>
              </w:rPr>
              <w:t>其中</w:t>
            </w:r>
            <w:r>
              <w:rPr>
                <w:rFonts w:hint="default" w:ascii="Times New Roman" w:hAnsi="Times New Roman" w:cs="Times New Roman"/>
                <w:color w:val="auto"/>
                <w:sz w:val="24"/>
                <w:lang w:eastAsia="zh-CN"/>
              </w:rPr>
              <w:t>单井</w:t>
            </w:r>
            <w:r>
              <w:rPr>
                <w:rFonts w:hint="default" w:ascii="Times New Roman" w:hAnsi="Times New Roman" w:cs="Times New Roman"/>
                <w:color w:val="auto"/>
                <w:sz w:val="24"/>
              </w:rPr>
              <w:t>膨润土、纯碱包装袋产生量约为0.015t，</w:t>
            </w:r>
            <w:r>
              <w:rPr>
                <w:rFonts w:hint="default" w:ascii="Times New Roman" w:hAnsi="Times New Roman" w:cs="Times New Roman"/>
                <w:color w:val="auto"/>
                <w:sz w:val="24"/>
                <w:lang w:eastAsia="zh-CN"/>
              </w:rPr>
              <w:t>单井</w:t>
            </w:r>
            <w:r>
              <w:rPr>
                <w:rFonts w:hint="default" w:ascii="Times New Roman" w:hAnsi="Times New Roman" w:cs="Times New Roman"/>
                <w:color w:val="auto"/>
                <w:sz w:val="24"/>
                <w:lang w:val="en-US" w:eastAsia="zh-CN"/>
              </w:rPr>
              <w:t>不含油废防渗布</w:t>
            </w:r>
            <w:r>
              <w:rPr>
                <w:rFonts w:hint="default" w:ascii="Times New Roman" w:hAnsi="Times New Roman" w:cs="Times New Roman"/>
                <w:color w:val="auto"/>
                <w:sz w:val="24"/>
              </w:rPr>
              <w:t>产生量约为0.0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5t，属于一般固体废物，施工结束后回收综合利用。</w:t>
            </w:r>
          </w:p>
          <w:p w14:paraId="6C2D14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（5）废弃防渗膜</w:t>
            </w:r>
          </w:p>
          <w:p w14:paraId="3283BA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为防止在钻井过程中钻井泥浆、钻井污水等污染地面从而造成对土壤、地下水的影响，需要在钻井过程中在钻井平台附近铺设防渗布</w:t>
            </w:r>
            <w:r>
              <w:rPr>
                <w:rFonts w:hint="default" w:ascii="Times New Roman" w:hAnsi="Times New Roman" w:cs="Times New Roman"/>
                <w:color w:val="auto"/>
                <w:sz w:val="24"/>
                <w:lang w:val="en-US" w:eastAsia="zh-CN"/>
              </w:rPr>
              <w:t>。沾染油类物质的防渗膜属于危险废物，</w:t>
            </w:r>
            <w:r>
              <w:rPr>
                <w:rFonts w:hint="default" w:ascii="Times New Roman" w:hAnsi="Times New Roman" w:cs="Times New Roman"/>
                <w:color w:val="auto"/>
                <w:sz w:val="24"/>
              </w:rPr>
              <w:t>危废代码为900-041-49。根据建设单位</w:t>
            </w:r>
            <w:r>
              <w:rPr>
                <w:rFonts w:hint="default" w:ascii="Times New Roman" w:hAnsi="Times New Roman" w:cs="Times New Roman"/>
                <w:color w:val="auto"/>
                <w:sz w:val="24"/>
                <w:lang w:val="en-US" w:eastAsia="zh-CN"/>
              </w:rPr>
              <w:t>提供资料</w:t>
            </w:r>
            <w:r>
              <w:rPr>
                <w:rFonts w:hint="default" w:ascii="Times New Roman" w:hAnsi="Times New Roman" w:cs="Times New Roman"/>
                <w:color w:val="auto"/>
                <w:sz w:val="24"/>
              </w:rPr>
              <w:t>，本项目施工单井</w:t>
            </w:r>
            <w:r>
              <w:rPr>
                <w:rFonts w:hint="default" w:ascii="Times New Roman" w:hAnsi="Times New Roman" w:cs="Times New Roman"/>
                <w:color w:val="auto"/>
                <w:sz w:val="24"/>
                <w:lang w:val="en-US" w:eastAsia="zh-CN"/>
              </w:rPr>
              <w:t>含油</w:t>
            </w:r>
            <w:r>
              <w:rPr>
                <w:rFonts w:hint="default" w:ascii="Times New Roman" w:hAnsi="Times New Roman" w:cs="Times New Roman"/>
                <w:color w:val="auto"/>
                <w:sz w:val="24"/>
              </w:rPr>
              <w:t>废防渗布产生量约为0.0</w:t>
            </w:r>
            <w:r>
              <w:rPr>
                <w:rFonts w:hint="default" w:ascii="Times New Roman" w:hAnsi="Times New Roman" w:cs="Times New Roman"/>
                <w:color w:val="auto"/>
                <w:sz w:val="24"/>
                <w:lang w:val="en-US" w:eastAsia="zh-CN"/>
              </w:rPr>
              <w:t>05</w:t>
            </w:r>
            <w:r>
              <w:rPr>
                <w:rFonts w:hint="default" w:ascii="Times New Roman" w:hAnsi="Times New Roman" w:cs="Times New Roman"/>
                <w:color w:val="auto"/>
                <w:sz w:val="24"/>
              </w:rPr>
              <w:t>t。施工结束后沾染了</w:t>
            </w:r>
            <w:r>
              <w:rPr>
                <w:rFonts w:hint="default" w:ascii="Times New Roman" w:hAnsi="Times New Roman" w:eastAsia="宋体" w:cs="Times New Roman"/>
                <w:color w:val="auto"/>
                <w:sz w:val="24"/>
                <w:lang w:val="en-US" w:eastAsia="zh-CN"/>
              </w:rPr>
              <w:t>油类物质的</w:t>
            </w:r>
            <w:r>
              <w:rPr>
                <w:rFonts w:hint="default" w:ascii="Times New Roman" w:hAnsi="Times New Roman" w:cs="Times New Roman"/>
                <w:color w:val="auto"/>
                <w:sz w:val="24"/>
              </w:rPr>
              <w:t>的废防渗布作为危险废物委托有资质单位外运处置。</w:t>
            </w:r>
          </w:p>
          <w:p w14:paraId="4C8EE5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w:t>
            </w:r>
            <w:r>
              <w:rPr>
                <w:rFonts w:hint="eastAsia" w:ascii="Times New Roman" w:hAnsi="Times New Roman" w:eastAsia="宋体" w:cs="Times New Roman"/>
                <w:b/>
                <w:bCs/>
                <w:color w:val="auto"/>
                <w:sz w:val="24"/>
                <w:szCs w:val="24"/>
                <w:vertAlign w:val="baseline"/>
                <w:lang w:val="en-US" w:eastAsia="zh-CN"/>
              </w:rPr>
              <w:t>6</w:t>
            </w:r>
            <w:r>
              <w:rPr>
                <w:rFonts w:hint="default" w:ascii="Times New Roman" w:hAnsi="Times New Roman" w:eastAsia="宋体" w:cs="Times New Roman"/>
                <w:b/>
                <w:bCs/>
                <w:color w:val="auto"/>
                <w:sz w:val="24"/>
                <w:szCs w:val="24"/>
                <w:vertAlign w:val="baseline"/>
                <w:lang w:val="en-US" w:eastAsia="zh-CN"/>
              </w:rPr>
              <w:t>）生活垃圾</w:t>
            </w:r>
          </w:p>
          <w:p w14:paraId="2D7FF5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职工生活垃圾每人每天0.5kg计，单井生活垃圾产生量约为0.875t（总产生量为</w:t>
            </w:r>
            <w:r>
              <w:rPr>
                <w:rFonts w:hint="eastAsia" w:ascii="Times New Roman" w:hAnsi="Times New Roman" w:cs="Times New Roman"/>
                <w:color w:val="auto"/>
                <w:sz w:val="24"/>
                <w:lang w:val="en-US" w:eastAsia="zh-CN"/>
              </w:rPr>
              <w:t>2.625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lang w:eastAsia="zh-CN"/>
              </w:rPr>
              <w:t>井场设置垃圾箱，施工结束后送附近垃圾中转站</w:t>
            </w:r>
            <w:r>
              <w:rPr>
                <w:rFonts w:hint="default" w:ascii="Times New Roman" w:hAnsi="Times New Roman" w:cs="Times New Roman"/>
                <w:color w:val="auto"/>
                <w:sz w:val="24"/>
                <w:lang w:val="en-US" w:eastAsia="zh-CN"/>
              </w:rPr>
              <w:t>，由当地环卫部门统一拉运处置</w:t>
            </w:r>
            <w:r>
              <w:rPr>
                <w:rFonts w:hint="default" w:ascii="Times New Roman" w:hAnsi="Times New Roman" w:cs="Times New Roman"/>
                <w:color w:val="auto"/>
                <w:sz w:val="24"/>
                <w:lang w:eastAsia="zh-CN"/>
              </w:rPr>
              <w:t>。</w:t>
            </w:r>
          </w:p>
          <w:p w14:paraId="260403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项目固体废物产生与处置措施表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494"/>
              <w:gridCol w:w="1197"/>
              <w:gridCol w:w="1132"/>
              <w:gridCol w:w="1376"/>
              <w:gridCol w:w="2739"/>
            </w:tblGrid>
            <w:tr w14:paraId="1732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C6FF2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859" w:type="pct"/>
                  <w:vAlign w:val="center"/>
                </w:tcPr>
                <w:p w14:paraId="0CA377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固废种类</w:t>
                  </w:r>
                </w:p>
              </w:tc>
              <w:tc>
                <w:tcPr>
                  <w:tcW w:w="688" w:type="pct"/>
                  <w:vAlign w:val="center"/>
                </w:tcPr>
                <w:p w14:paraId="4A75BE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产生量（t）</w:t>
                  </w:r>
                </w:p>
              </w:tc>
              <w:tc>
                <w:tcPr>
                  <w:tcW w:w="651" w:type="pct"/>
                  <w:vAlign w:val="center"/>
                </w:tcPr>
                <w:p w14:paraId="7D378E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性质</w:t>
                  </w:r>
                </w:p>
              </w:tc>
              <w:tc>
                <w:tcPr>
                  <w:tcW w:w="791" w:type="pct"/>
                  <w:vAlign w:val="center"/>
                </w:tcPr>
                <w:p w14:paraId="21C03B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代码</w:t>
                  </w:r>
                </w:p>
              </w:tc>
              <w:tc>
                <w:tcPr>
                  <w:tcW w:w="1575" w:type="pct"/>
                  <w:vAlign w:val="center"/>
                </w:tcPr>
                <w:p w14:paraId="53CB3A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处置措施</w:t>
                  </w:r>
                </w:p>
              </w:tc>
            </w:tr>
            <w:tr w14:paraId="527B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21CD7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859" w:type="pct"/>
                  <w:vAlign w:val="center"/>
                </w:tcPr>
                <w:p w14:paraId="7FAFE1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泥饼</w:t>
                  </w:r>
                </w:p>
              </w:tc>
              <w:tc>
                <w:tcPr>
                  <w:tcW w:w="688" w:type="pct"/>
                  <w:vAlign w:val="center"/>
                </w:tcPr>
                <w:p w14:paraId="015CF2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w:t>
                  </w:r>
                </w:p>
              </w:tc>
              <w:tc>
                <w:tcPr>
                  <w:tcW w:w="651" w:type="pct"/>
                  <w:vAlign w:val="center"/>
                </w:tcPr>
                <w:p w14:paraId="15D20B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51EEBD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SW12</w:t>
                  </w:r>
                </w:p>
                <w:p w14:paraId="7E9421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072-001-S12</w:t>
                  </w:r>
                </w:p>
              </w:tc>
              <w:tc>
                <w:tcPr>
                  <w:tcW w:w="1575" w:type="pct"/>
                  <w:vMerge w:val="restart"/>
                  <w:vAlign w:val="center"/>
                </w:tcPr>
                <w:p w14:paraId="496A1E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交</w:t>
                  </w:r>
                  <w:r>
                    <w:rPr>
                      <w:rFonts w:hint="default" w:ascii="Times New Roman" w:hAnsi="Times New Roman" w:cs="Times New Roman"/>
                      <w:color w:val="auto"/>
                      <w:sz w:val="21"/>
                      <w:szCs w:val="21"/>
                      <w:lang w:val="en-US" w:eastAsia="zh-CN"/>
                    </w:rPr>
                    <w:t>陕西德禾鑫盛环保科技有限公司处置</w:t>
                  </w:r>
                </w:p>
              </w:tc>
            </w:tr>
            <w:tr w14:paraId="12A5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79222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859" w:type="pct"/>
                  <w:vAlign w:val="center"/>
                </w:tcPr>
                <w:p w14:paraId="3DD450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钻井岩屑</w:t>
                  </w:r>
                </w:p>
              </w:tc>
              <w:tc>
                <w:tcPr>
                  <w:tcW w:w="688" w:type="pct"/>
                  <w:vAlign w:val="center"/>
                </w:tcPr>
                <w:p w14:paraId="7B95E6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452</w:t>
                  </w:r>
                </w:p>
              </w:tc>
              <w:tc>
                <w:tcPr>
                  <w:tcW w:w="651" w:type="pct"/>
                  <w:vAlign w:val="center"/>
                </w:tcPr>
                <w:p w14:paraId="0B2D6D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73315D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SW12 072-001-S12</w:t>
                  </w:r>
                </w:p>
              </w:tc>
              <w:tc>
                <w:tcPr>
                  <w:tcW w:w="1575" w:type="pct"/>
                  <w:vMerge w:val="continue"/>
                  <w:vAlign w:val="center"/>
                </w:tcPr>
                <w:p w14:paraId="724A7E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1E2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76DA7E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859" w:type="pct"/>
                  <w:vAlign w:val="center"/>
                </w:tcPr>
                <w:p w14:paraId="003245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废纯碱、膨润土包装袋</w:t>
                  </w:r>
                  <w:r>
                    <w:rPr>
                      <w:rFonts w:hint="eastAsia" w:ascii="Times New Roman" w:hAnsi="Times New Roman" w:eastAsia="宋体" w:cs="Times New Roman"/>
                      <w:b w:val="0"/>
                      <w:bCs w:val="0"/>
                      <w:color w:val="auto"/>
                      <w:sz w:val="21"/>
                      <w:szCs w:val="21"/>
                      <w:vertAlign w:val="baseline"/>
                      <w:lang w:val="en-US" w:eastAsia="zh-CN"/>
                    </w:rPr>
                    <w:t>、不含油废防渗布</w:t>
                  </w:r>
                </w:p>
              </w:tc>
              <w:tc>
                <w:tcPr>
                  <w:tcW w:w="688" w:type="pct"/>
                  <w:vAlign w:val="center"/>
                </w:tcPr>
                <w:p w14:paraId="1F8784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0.02</w:t>
                  </w:r>
                </w:p>
              </w:tc>
              <w:tc>
                <w:tcPr>
                  <w:tcW w:w="651" w:type="pct"/>
                  <w:vAlign w:val="center"/>
                </w:tcPr>
                <w:p w14:paraId="5E0AC0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068C48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SW17 900-099-S17</w:t>
                  </w:r>
                </w:p>
              </w:tc>
              <w:tc>
                <w:tcPr>
                  <w:tcW w:w="1575" w:type="pct"/>
                  <w:vAlign w:val="center"/>
                </w:tcPr>
                <w:p w14:paraId="7490C5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回收</w:t>
                  </w:r>
                  <w:r>
                    <w:rPr>
                      <w:rFonts w:hint="eastAsia" w:ascii="Times New Roman" w:hAnsi="Times New Roman" w:cs="Times New Roman"/>
                      <w:color w:val="auto"/>
                      <w:sz w:val="21"/>
                      <w:szCs w:val="21"/>
                      <w:lang w:val="en-US" w:eastAsia="zh-CN"/>
                    </w:rPr>
                    <w:t>后</w:t>
                  </w:r>
                  <w:r>
                    <w:rPr>
                      <w:rFonts w:hint="default" w:ascii="Times New Roman" w:hAnsi="Times New Roman" w:cs="Times New Roman"/>
                      <w:color w:val="auto"/>
                      <w:sz w:val="21"/>
                      <w:szCs w:val="21"/>
                      <w:lang w:val="en-US" w:eastAsia="zh-CN"/>
                    </w:rPr>
                    <w:t>综合利用</w:t>
                  </w:r>
                </w:p>
              </w:tc>
            </w:tr>
            <w:tr w14:paraId="0B9D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0E7E81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859" w:type="pct"/>
                  <w:vAlign w:val="center"/>
                </w:tcPr>
                <w:p w14:paraId="4303BF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688" w:type="pct"/>
                  <w:vAlign w:val="center"/>
                </w:tcPr>
                <w:p w14:paraId="726461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0.875</w:t>
                  </w:r>
                </w:p>
              </w:tc>
              <w:tc>
                <w:tcPr>
                  <w:tcW w:w="651" w:type="pct"/>
                  <w:vAlign w:val="center"/>
                </w:tcPr>
                <w:p w14:paraId="73AB51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5BE94F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SW64 900-099-S64</w:t>
                  </w:r>
                </w:p>
              </w:tc>
              <w:tc>
                <w:tcPr>
                  <w:tcW w:w="1575" w:type="pct"/>
                  <w:vAlign w:val="center"/>
                </w:tcPr>
                <w:p w14:paraId="6EAAE0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施工结束后送附近垃圾中转站，由当地环卫部门统一拉运处置</w:t>
                  </w:r>
                </w:p>
              </w:tc>
            </w:tr>
            <w:tr w14:paraId="57E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D1491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859" w:type="pct"/>
                  <w:vAlign w:val="center"/>
                </w:tcPr>
                <w:p w14:paraId="7C031B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废机油</w:t>
                  </w:r>
                </w:p>
              </w:tc>
              <w:tc>
                <w:tcPr>
                  <w:tcW w:w="688" w:type="pct"/>
                  <w:vAlign w:val="center"/>
                </w:tcPr>
                <w:p w14:paraId="78059A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0.04</w:t>
                  </w:r>
                </w:p>
              </w:tc>
              <w:tc>
                <w:tcPr>
                  <w:tcW w:w="651" w:type="pct"/>
                  <w:vAlign w:val="center"/>
                </w:tcPr>
                <w:p w14:paraId="71AD3B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w:t>
                  </w:r>
                </w:p>
              </w:tc>
              <w:tc>
                <w:tcPr>
                  <w:tcW w:w="791" w:type="pct"/>
                  <w:shd w:val="clear" w:color="auto" w:fill="auto"/>
                  <w:vAlign w:val="center"/>
                </w:tcPr>
                <w:p w14:paraId="53CD07B6">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p w14:paraId="6FE27A9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lang w:val="en-US" w:eastAsia="zh-CN"/>
                    </w:rPr>
                    <w:t>900-214-08</w:t>
                  </w:r>
                </w:p>
              </w:tc>
              <w:tc>
                <w:tcPr>
                  <w:tcW w:w="1575" w:type="pct"/>
                  <w:vAlign w:val="center"/>
                </w:tcPr>
                <w:p w14:paraId="7F1B93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交有资质单位处置</w:t>
                  </w:r>
                </w:p>
              </w:tc>
            </w:tr>
            <w:tr w14:paraId="124A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29B9E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p>
              </w:tc>
              <w:tc>
                <w:tcPr>
                  <w:tcW w:w="859" w:type="pct"/>
                  <w:vAlign w:val="center"/>
                </w:tcPr>
                <w:p w14:paraId="5241A0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废弃防渗膜</w:t>
                  </w:r>
                </w:p>
              </w:tc>
              <w:tc>
                <w:tcPr>
                  <w:tcW w:w="688" w:type="pct"/>
                  <w:vAlign w:val="center"/>
                </w:tcPr>
                <w:p w14:paraId="729CA5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w:t>
                  </w:r>
                  <w:r>
                    <w:rPr>
                      <w:rFonts w:hint="eastAsia" w:ascii="Times New Roman" w:hAnsi="Times New Roman" w:eastAsia="宋体" w:cs="Times New Roman"/>
                      <w:b w:val="0"/>
                      <w:bCs w:val="0"/>
                      <w:color w:val="auto"/>
                      <w:sz w:val="21"/>
                      <w:szCs w:val="21"/>
                      <w:vertAlign w:val="baseline"/>
                      <w:lang w:val="en-US" w:eastAsia="zh-CN"/>
                    </w:rPr>
                    <w:t>05</w:t>
                  </w:r>
                </w:p>
              </w:tc>
              <w:tc>
                <w:tcPr>
                  <w:tcW w:w="651" w:type="pct"/>
                  <w:vAlign w:val="center"/>
                </w:tcPr>
                <w:p w14:paraId="2DDD9E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w:t>
                  </w:r>
                </w:p>
              </w:tc>
              <w:tc>
                <w:tcPr>
                  <w:tcW w:w="791" w:type="pct"/>
                  <w:shd w:val="clear" w:color="auto" w:fill="auto"/>
                  <w:vAlign w:val="center"/>
                </w:tcPr>
                <w:p w14:paraId="4A1858FE">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w:t>
                  </w:r>
                </w:p>
                <w:p w14:paraId="380CA7B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lang w:val="en-US" w:eastAsia="zh-CN"/>
                    </w:rPr>
                    <w:t>900-041-49</w:t>
                  </w:r>
                </w:p>
              </w:tc>
              <w:tc>
                <w:tcPr>
                  <w:tcW w:w="1575" w:type="pct"/>
                  <w:vAlign w:val="center"/>
                </w:tcPr>
                <w:p w14:paraId="7937AA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交有资质单位处置</w:t>
                  </w:r>
                </w:p>
              </w:tc>
            </w:tr>
          </w:tbl>
          <w:p w14:paraId="55A382DE">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ascii="Times New Roman" w:hAnsi="Times New Roman" w:cs="Times New Roman"/>
                <w:b/>
                <w:bCs/>
                <w:color w:val="auto"/>
                <w:lang w:val="en-US" w:eastAsia="zh-CN"/>
              </w:rPr>
              <w:t>9</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危险废物产生情况一览表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4"/>
              <w:gridCol w:w="1111"/>
              <w:gridCol w:w="918"/>
              <w:gridCol w:w="1179"/>
              <w:gridCol w:w="791"/>
              <w:gridCol w:w="908"/>
              <w:gridCol w:w="492"/>
              <w:gridCol w:w="503"/>
              <w:gridCol w:w="704"/>
              <w:gridCol w:w="453"/>
              <w:gridCol w:w="1184"/>
            </w:tblGrid>
            <w:tr w14:paraId="7AEE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2DE26B1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639" w:type="pct"/>
                  <w:noWrap w:val="0"/>
                  <w:vAlign w:val="center"/>
                </w:tcPr>
                <w:p w14:paraId="0E96D3AA">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危险废物名称</w:t>
                  </w:r>
                </w:p>
              </w:tc>
              <w:tc>
                <w:tcPr>
                  <w:tcW w:w="528" w:type="pct"/>
                  <w:noWrap w:val="0"/>
                  <w:vAlign w:val="center"/>
                </w:tcPr>
                <w:p w14:paraId="7BF38445">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w:t>
                  </w:r>
                </w:p>
                <w:p w14:paraId="47892C61">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类别</w:t>
                  </w:r>
                </w:p>
              </w:tc>
              <w:tc>
                <w:tcPr>
                  <w:tcW w:w="678" w:type="pct"/>
                  <w:noWrap w:val="0"/>
                  <w:vAlign w:val="center"/>
                </w:tcPr>
                <w:p w14:paraId="632720E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危险废物代码</w:t>
                  </w:r>
                </w:p>
              </w:tc>
              <w:tc>
                <w:tcPr>
                  <w:tcW w:w="455" w:type="pct"/>
                  <w:noWrap w:val="0"/>
                  <w:vAlign w:val="center"/>
                </w:tcPr>
                <w:p w14:paraId="65F526A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w:t>
                  </w:r>
                </w:p>
              </w:tc>
              <w:tc>
                <w:tcPr>
                  <w:tcW w:w="522" w:type="pct"/>
                  <w:noWrap w:val="0"/>
                  <w:vAlign w:val="center"/>
                </w:tcPr>
                <w:p w14:paraId="180FD04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产生工序及装置</w:t>
                  </w:r>
                </w:p>
              </w:tc>
              <w:tc>
                <w:tcPr>
                  <w:tcW w:w="283" w:type="pct"/>
                  <w:noWrap w:val="0"/>
                  <w:vAlign w:val="center"/>
                </w:tcPr>
                <w:p w14:paraId="10F76B5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形态</w:t>
                  </w:r>
                </w:p>
              </w:tc>
              <w:tc>
                <w:tcPr>
                  <w:tcW w:w="289" w:type="pct"/>
                  <w:noWrap w:val="0"/>
                  <w:vAlign w:val="center"/>
                </w:tcPr>
                <w:p w14:paraId="470D8AA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主要成分</w:t>
                  </w:r>
                </w:p>
              </w:tc>
              <w:tc>
                <w:tcPr>
                  <w:tcW w:w="405" w:type="pct"/>
                  <w:noWrap w:val="0"/>
                  <w:vAlign w:val="center"/>
                </w:tcPr>
                <w:p w14:paraId="5996138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产废</w:t>
                  </w:r>
                </w:p>
                <w:p w14:paraId="237E8C2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周期</w:t>
                  </w:r>
                </w:p>
              </w:tc>
              <w:tc>
                <w:tcPr>
                  <w:tcW w:w="260" w:type="pct"/>
                  <w:noWrap w:val="0"/>
                  <w:vAlign w:val="center"/>
                </w:tcPr>
                <w:p w14:paraId="0590B9E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危险特性</w:t>
                  </w:r>
                </w:p>
              </w:tc>
              <w:tc>
                <w:tcPr>
                  <w:tcW w:w="680" w:type="pct"/>
                  <w:noWrap w:val="0"/>
                  <w:vAlign w:val="center"/>
                </w:tcPr>
                <w:p w14:paraId="4C0F004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污染防治措施</w:t>
                  </w:r>
                </w:p>
              </w:tc>
            </w:tr>
            <w:tr w14:paraId="69B4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55" w:type="pct"/>
                  <w:noWrap w:val="0"/>
                  <w:vAlign w:val="center"/>
                </w:tcPr>
                <w:p w14:paraId="639BA8AC">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39" w:type="pct"/>
                  <w:noWrap w:val="0"/>
                  <w:vAlign w:val="top"/>
                </w:tcPr>
                <w:p w14:paraId="34131328">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废机油</w:t>
                  </w:r>
                </w:p>
              </w:tc>
              <w:tc>
                <w:tcPr>
                  <w:tcW w:w="528" w:type="pct"/>
                  <w:noWrap w:val="0"/>
                  <w:vAlign w:val="center"/>
                </w:tcPr>
                <w:p w14:paraId="770719B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tc>
              <w:tc>
                <w:tcPr>
                  <w:tcW w:w="678" w:type="pct"/>
                  <w:noWrap w:val="0"/>
                  <w:vAlign w:val="center"/>
                </w:tcPr>
                <w:p w14:paraId="6DF36E8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900-214-08</w:t>
                  </w:r>
                </w:p>
              </w:tc>
              <w:tc>
                <w:tcPr>
                  <w:tcW w:w="455" w:type="pct"/>
                  <w:noWrap w:val="0"/>
                  <w:vAlign w:val="center"/>
                </w:tcPr>
                <w:p w14:paraId="2DFEF07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auto"/>
                      <w:sz w:val="21"/>
                      <w:szCs w:val="21"/>
                      <w:highlight w:val="green"/>
                      <w:lang w:val="en-US" w:eastAsia="zh-CN"/>
                    </w:rPr>
                  </w:pPr>
                  <w:r>
                    <w:rPr>
                      <w:rFonts w:hint="eastAsia" w:ascii="Times New Roman" w:hAnsi="Times New Roman" w:cs="Times New Roman"/>
                      <w:color w:val="auto"/>
                      <w:sz w:val="21"/>
                      <w:szCs w:val="21"/>
                      <w:highlight w:val="none"/>
                      <w:lang w:val="en-US" w:eastAsia="zh-CN"/>
                    </w:rPr>
                    <w:t>0.04</w:t>
                  </w:r>
                  <w:r>
                    <w:rPr>
                      <w:rFonts w:hint="default" w:ascii="Times New Roman" w:hAnsi="Times New Roman" w:cs="Times New Roman"/>
                      <w:color w:val="auto"/>
                      <w:sz w:val="21"/>
                      <w:szCs w:val="21"/>
                      <w:highlight w:val="none"/>
                      <w:lang w:val="en-US" w:eastAsia="zh-CN"/>
                    </w:rPr>
                    <w:t>t</w:t>
                  </w:r>
                </w:p>
              </w:tc>
              <w:tc>
                <w:tcPr>
                  <w:tcW w:w="522" w:type="pct"/>
                  <w:noWrap w:val="0"/>
                  <w:vAlign w:val="center"/>
                </w:tcPr>
                <w:p w14:paraId="6E20616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钻井</w:t>
                  </w:r>
                </w:p>
              </w:tc>
              <w:tc>
                <w:tcPr>
                  <w:tcW w:w="283" w:type="pct"/>
                  <w:noWrap w:val="0"/>
                  <w:vAlign w:val="center"/>
                </w:tcPr>
                <w:p w14:paraId="52AD03D6">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液态</w:t>
                  </w:r>
                </w:p>
              </w:tc>
              <w:tc>
                <w:tcPr>
                  <w:tcW w:w="289" w:type="pct"/>
                  <w:noWrap w:val="0"/>
                  <w:vAlign w:val="center"/>
                </w:tcPr>
                <w:p w14:paraId="3CD713D1">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w:t>
                  </w:r>
                </w:p>
              </w:tc>
              <w:tc>
                <w:tcPr>
                  <w:tcW w:w="405" w:type="pct"/>
                  <w:noWrap w:val="0"/>
                  <w:vAlign w:val="center"/>
                </w:tcPr>
                <w:p w14:paraId="19D9B56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探井期</w:t>
                  </w:r>
                </w:p>
              </w:tc>
              <w:tc>
                <w:tcPr>
                  <w:tcW w:w="260" w:type="pct"/>
                  <w:noWrap w:val="0"/>
                  <w:vAlign w:val="center"/>
                </w:tcPr>
                <w:p w14:paraId="06DBA14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w:t>
                  </w:r>
                </w:p>
              </w:tc>
              <w:tc>
                <w:tcPr>
                  <w:tcW w:w="680" w:type="pct"/>
                  <w:vMerge w:val="restart"/>
                  <w:noWrap w:val="0"/>
                  <w:vAlign w:val="top"/>
                </w:tcPr>
                <w:p w14:paraId="58F1ECF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专用容器收集，待钻井结束后全部委托有资质单位拉运处置</w:t>
                  </w:r>
                </w:p>
              </w:tc>
            </w:tr>
            <w:tr w14:paraId="621B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5B97F0C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639" w:type="pct"/>
                  <w:noWrap w:val="0"/>
                  <w:vAlign w:val="center"/>
                </w:tcPr>
                <w:p w14:paraId="4509F61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含油废防渗布</w:t>
                  </w:r>
                </w:p>
              </w:tc>
              <w:tc>
                <w:tcPr>
                  <w:tcW w:w="528" w:type="pct"/>
                  <w:noWrap w:val="0"/>
                  <w:vAlign w:val="center"/>
                </w:tcPr>
                <w:p w14:paraId="03E3B4C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w:t>
                  </w:r>
                </w:p>
              </w:tc>
              <w:tc>
                <w:tcPr>
                  <w:tcW w:w="678" w:type="pct"/>
                  <w:noWrap w:val="0"/>
                  <w:vAlign w:val="center"/>
                </w:tcPr>
                <w:p w14:paraId="29B5E91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900-041-49</w:t>
                  </w:r>
                </w:p>
              </w:tc>
              <w:tc>
                <w:tcPr>
                  <w:tcW w:w="455" w:type="pct"/>
                  <w:noWrap w:val="0"/>
                  <w:vAlign w:val="center"/>
                </w:tcPr>
                <w:p w14:paraId="207F51E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0.005t</w:t>
                  </w:r>
                </w:p>
              </w:tc>
              <w:tc>
                <w:tcPr>
                  <w:tcW w:w="522" w:type="pct"/>
                  <w:noWrap w:val="0"/>
                  <w:vAlign w:val="center"/>
                </w:tcPr>
                <w:p w14:paraId="6E7B65B7">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钻井</w:t>
                  </w:r>
                </w:p>
              </w:tc>
              <w:tc>
                <w:tcPr>
                  <w:tcW w:w="283" w:type="pct"/>
                  <w:noWrap w:val="0"/>
                  <w:vAlign w:val="center"/>
                </w:tcPr>
                <w:p w14:paraId="3BFA8388">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289" w:type="pct"/>
                  <w:noWrap w:val="0"/>
                  <w:vAlign w:val="center"/>
                </w:tcPr>
                <w:p w14:paraId="258D202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w:t>
                  </w:r>
                </w:p>
              </w:tc>
              <w:tc>
                <w:tcPr>
                  <w:tcW w:w="405" w:type="pct"/>
                  <w:noWrap w:val="0"/>
                  <w:vAlign w:val="center"/>
                </w:tcPr>
                <w:p w14:paraId="1CA0F6CC">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探井期</w:t>
                  </w:r>
                </w:p>
              </w:tc>
              <w:tc>
                <w:tcPr>
                  <w:tcW w:w="260" w:type="pct"/>
                  <w:noWrap w:val="0"/>
                  <w:vAlign w:val="center"/>
                </w:tcPr>
                <w:p w14:paraId="4A13B1D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T/In</w:t>
                  </w:r>
                </w:p>
              </w:tc>
              <w:tc>
                <w:tcPr>
                  <w:tcW w:w="680" w:type="pct"/>
                  <w:vMerge w:val="continue"/>
                  <w:noWrap w:val="0"/>
                  <w:vAlign w:val="top"/>
                </w:tcPr>
                <w:p w14:paraId="2C46CC3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p>
              </w:tc>
            </w:tr>
          </w:tbl>
          <w:p w14:paraId="283498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lang w:val="en-US" w:eastAsia="zh-CN"/>
              </w:rPr>
              <w:t>评价要求建设单位做好施工期固体废物管理工作，一般固体废物及危险废物均记录台账并妥善保管，台账包括废物名称、产生时间、产生量、储存位置、储存方式、转移时间、转移单位等信息，确保施工期各类固体废物全部得到妥善处置。</w:t>
            </w:r>
          </w:p>
          <w:p w14:paraId="5F8EC6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七、土壤环境影响分析</w:t>
            </w:r>
          </w:p>
          <w:p w14:paraId="4483E4C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前工程期间的开挖和填埋行为将会破坏土壤结构。对场地平整产生的剥离表层土，在井场的临时土石方堆存点集中临时堆放，完井后用于场地复垦用土。剥离表层土临时堆场地设置截排水沟等严格的水保措施防止水土流失。通井场地面采用碎石和混凝土敷设，有效保护占地原表层土壤。完井后，随着生态保护措施的进行，井场对土壤的影响将得到尽快恢复。项目对土壤环境的影响主要表现为对土壤性质、土壤肥力的影响以及土壤污染三个方面。</w:t>
            </w:r>
          </w:p>
          <w:p w14:paraId="5D206FA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（1）土壤性质影响</w:t>
            </w:r>
          </w:p>
          <w:p w14:paraId="29E38E8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钻井前会对井场进行场地的清理，土石方开挖、堆放、回填以及材料堆放、人工践踏、机械设备碾压等活动都将对土壤理化性质产生影响。</w:t>
            </w:r>
          </w:p>
          <w:p w14:paraId="5ED4650F">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①扰乱土壤耕作层，破坏土壤耕层结构</w:t>
            </w:r>
          </w:p>
          <w:p w14:paraId="411C282E">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表开挖必定扰乱和破坏土壤耕作层，这种扰乱和破坏，除开挖处受到直接的破坏外，挖出土方的堆放将直接占压开挖处附近的土地，破坏土壤表层及其结构。由于表层的团粒结构是经过较长的历史时期形成的，一旦遭到破坏，短期内难以恢复。因此，施工过程中，对土壤表层的影响最为严重。</w:t>
            </w:r>
          </w:p>
          <w:p w14:paraId="5E3CC65E">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②混合土壤层次，改变土体构型</w:t>
            </w:r>
          </w:p>
          <w:p w14:paraId="10BC88A6">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在形成过程中，由于物质和能量长期垂直分异，形成质地、结构、性质和厚度差异明显的土壤剖面构型。项目的土石方的开挖与回填，使原土壤层次混合，原土体构型破坏。土体构型的破坏，将改变土体中物质和能量的运动变化规律，使表层通气透水性变差，使亚表层保水、保肥性能降低，造成对植物的生长、发育及其产量影响。</w:t>
            </w:r>
          </w:p>
          <w:p w14:paraId="1EE44854">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③影响土壤紧实度</w:t>
            </w:r>
          </w:p>
          <w:p w14:paraId="3F69DD6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土壤在自重作用下，形成上松下紧的土壤紧实度垂直差异。施工过程中的机械碾压，尤其在坡度较大的地段，甚至进行掺灰固结，这种碾压或固结，将大大改变土壤的紧实程度，与原有的上松下紧结构相比，极不利于土壤的通气、透水作用，影响植被生长，甚至导致压实地表寸草不生，形成局部人工荒漠现象。</w:t>
            </w:r>
          </w:p>
          <w:p w14:paraId="0075D15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（2）土壤肥力影响</w:t>
            </w:r>
          </w:p>
          <w:p w14:paraId="30231EE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中的有机质、氮、磷、钾等养分含量，均表现为表土层远高于心土层；在土壤肥力其它方面如紧实度、空隙性、适耕性、团粒结构含量等，也都表现为表土层优于心土层。施工期土石方的开挖与回填，将扰动甚至打乱原土体构型，使土壤养分、水分含量及肥力状况受到较大的影响，影响植被正常生长。因此在土石方开挖、回填过程中，必须严格对表层土实行分层堆放和分层回填。</w:t>
            </w:r>
          </w:p>
          <w:p w14:paraId="77A337D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（3）土壤污染影响</w:t>
            </w:r>
          </w:p>
          <w:p w14:paraId="1BC004A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本项目为天然气勘探工程，不会导致场地土壤的盐化、碱化、酸化等，可能对土壤产生的影响主要为施工过程涉及的油类物质、钻井液、压裂液及其他原辅材料发生泄露通过地面漫流和垂直入渗的方式污染土壤。</w:t>
            </w:r>
          </w:p>
          <w:p w14:paraId="71D39E5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减少本项目施工对土壤环境的影响，钻井工作区、泥浆不落地系统区、钻井液材料房、储罐区等采取重点防渗措施，地面底部利用机械将衬层压实，废液、固废储罐四周设置围堰，围堰内地面连同四周围堰整体铺设防渗材料（</w:t>
            </w:r>
            <w:r>
              <w:rPr>
                <w:rFonts w:hint="eastAsia" w:ascii="Times New Roman" w:hAnsi="Times New Roman" w:cs="Times New Roman"/>
                <w:color w:val="auto"/>
                <w:lang w:val="en-US" w:eastAsia="zh-CN"/>
              </w:rPr>
              <w:t>HDPE膜，不低于2mm厚</w:t>
            </w:r>
            <w:r>
              <w:rPr>
                <w:rFonts w:hint="default" w:ascii="Times New Roman" w:hAnsi="Times New Roman" w:cs="Times New Roman"/>
                <w:color w:val="auto"/>
                <w:lang w:val="en-US" w:eastAsia="zh-CN"/>
              </w:rPr>
              <w:t>），等效黏土防渗层Mb≥6.0m，K≤1×10</w:t>
            </w:r>
            <w:r>
              <w:rPr>
                <w:rFonts w:hint="default" w:ascii="Times New Roman" w:hAnsi="Times New Roman" w:cs="Times New Roman"/>
                <w:color w:val="auto"/>
                <w:vertAlign w:val="superscript"/>
                <w:lang w:val="en-US" w:eastAsia="zh-CN"/>
              </w:rPr>
              <w:t>-7</w:t>
            </w:r>
            <w:r>
              <w:rPr>
                <w:rFonts w:hint="default" w:ascii="Times New Roman" w:hAnsi="Times New Roman" w:cs="Times New Roman"/>
                <w:color w:val="auto"/>
                <w:lang w:val="en-US" w:eastAsia="zh-CN"/>
              </w:rPr>
              <w:t>cm/s，HDPE膜敷设面积应适当扩大，覆盖围堰区外延1.0m范围；采用撬装式</w:t>
            </w:r>
            <w:r>
              <w:rPr>
                <w:rFonts w:hint="eastAsia" w:ascii="Times New Roman" w:hAnsi="Times New Roman" w:cs="Times New Roman"/>
                <w:color w:val="auto"/>
                <w:lang w:val="en-US" w:eastAsia="zh-CN"/>
              </w:rPr>
              <w:t>危废贮存库</w:t>
            </w:r>
            <w:r>
              <w:rPr>
                <w:rFonts w:hint="default" w:ascii="Times New Roman" w:hAnsi="Times New Roman" w:cs="Times New Roman"/>
                <w:color w:val="auto"/>
                <w:lang w:val="en-US" w:eastAsia="zh-CN"/>
              </w:rPr>
              <w:t>，渗透系数小于1×10</w:t>
            </w:r>
            <w:r>
              <w:rPr>
                <w:rFonts w:hint="default" w:ascii="Times New Roman" w:hAnsi="Times New Roman" w:cs="Times New Roman"/>
                <w:color w:val="auto"/>
                <w:vertAlign w:val="superscript"/>
                <w:lang w:val="en-US" w:eastAsia="zh-CN"/>
              </w:rPr>
              <w:t>-10</w:t>
            </w:r>
            <w:r>
              <w:rPr>
                <w:rFonts w:hint="default" w:ascii="Times New Roman" w:hAnsi="Times New Roman" w:cs="Times New Roman"/>
                <w:color w:val="auto"/>
                <w:lang w:val="en-US" w:eastAsia="zh-CN"/>
              </w:rPr>
              <w:t>cm/s。设置防渗防雨的应急罐，用于随钻不落地回收系统出现事故时，临时存放钻井泥浆和岩屑，避免钻井泥浆外泄。</w:t>
            </w:r>
          </w:p>
          <w:p w14:paraId="7EBA1C9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根据《陕西省煤炭石油天然气开发生态环境保护条例》（2019年9月27日修订）中“第三十一条 石油、天然气开发单位在生产过程中，有下列情形之一的，应当按照规定开展土壤污染状况调查、风险评估，实施风险管控和修复：（一）在钻井、压裂、固井、试井及开采过程中造成井场及周边土壤污染的；（二）关闭或者废弃油（气）井、油气站（场）等地面设施和工业固体废物集中处置设施的；（三）输油管线破裂或者原油泄露造成土壤污染的；（四）其他造成土壤污染情形的”的要求，本次评价提出如下要求：</w:t>
            </w:r>
          </w:p>
          <w:p w14:paraId="7310411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在钻井、压裂、固井、试井过程中造成探井场地及周边土壤污染的，以及出现其他造成土壤污染情形的，应立即按照规定开展土壤污染状况调查、风险评估，实施风险管控和修复。</w:t>
            </w:r>
          </w:p>
          <w:p w14:paraId="1C3399A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综上，由于项目占地均为临时占地，占地规模小，施工期短，施工结束后即恢复原有土地利用类型，不改变原有土地性质，且对井场重点区域进行防渗处理，因此对土壤环境影响较小。</w:t>
            </w:r>
          </w:p>
          <w:p w14:paraId="05F62A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八、环境风险影响分析</w:t>
            </w:r>
          </w:p>
          <w:p w14:paraId="5C153E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天然气勘探作业是多专业工种的野外作业，由于地下情况复杂，钻井作业隐藏着对环境的多种不安全因素，钻井作业可能出现的环境事故主要为洗井废水、压裂返排液泄漏使用和储运过程泄漏以及井喷。</w:t>
            </w:r>
          </w:p>
          <w:p w14:paraId="25E4E5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（1）风险物质调查</w:t>
            </w:r>
          </w:p>
          <w:p w14:paraId="0AFEEB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本项目涉及到的物料主要有钻井过程地层中可能出现的天然气（CH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设备维修保养产生的废油、钻井液（及其主要添加剂纯碱、烧碱、乳化石蜡、重晶石粉等）、压裂返排液（及压裂液主要添加剂胍胶、氯化钾、氢氧化钠等）等，其中钻井液和压裂液的添加剂不属于危险物质，钻井液和压裂返排液主要成分为有机物类、无机盐类，均为无害物质，因此项目涉及的危险物质主要为钻井过程地层中可能出现的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）、设备维修保养产生的废机油，在输运及贮存过程中均存在一定危险有害性。</w:t>
            </w:r>
          </w:p>
          <w:p w14:paraId="3C14BB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（2）环境风险及环境影响途径识别</w:t>
            </w:r>
          </w:p>
          <w:p w14:paraId="42742B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勘探井开发过程环境风险事故中，影响范围较广的风险事故主要为井喷及井喷引起天然气（CH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）泄漏，可能影响环境的途径主要是井喷泄漏直接进入大气环境引发中毒，或天然气泄漏发生火灾爆炸事故时伴生污染物进入大气环境，通过大气扩散对项目周围环境造成危害，天然气（CH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）主要分布在钻井区域、天然气管道等处</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废油主要分布在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，可能影响环境的途径主要是油类物质泄露通过井场地面下渗至地下含水层并向下游迁移，对下游地下水环境造成污染事故，或油类泄漏发生火灾事故时伴生污染物进入大气环境，造成周围大气环境污染事故。</w:t>
            </w:r>
          </w:p>
          <w:p w14:paraId="467825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项目危险物质分布及环境影响途径见表4-7。</w:t>
            </w:r>
          </w:p>
          <w:p w14:paraId="5CD1C9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表4-7   项目环境风险及环境影响途径识别表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244"/>
              <w:gridCol w:w="1314"/>
              <w:gridCol w:w="1228"/>
              <w:gridCol w:w="1573"/>
              <w:gridCol w:w="1100"/>
              <w:gridCol w:w="1563"/>
            </w:tblGrid>
            <w:tr w14:paraId="5743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702270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715" w:type="pct"/>
                  <w:vAlign w:val="center"/>
                </w:tcPr>
                <w:p w14:paraId="66C171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危险物质</w:t>
                  </w:r>
                </w:p>
              </w:tc>
              <w:tc>
                <w:tcPr>
                  <w:tcW w:w="755" w:type="pct"/>
                  <w:vAlign w:val="center"/>
                </w:tcPr>
                <w:p w14:paraId="4E3A38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风险单元</w:t>
                  </w:r>
                </w:p>
              </w:tc>
              <w:tc>
                <w:tcPr>
                  <w:tcW w:w="706" w:type="pct"/>
                  <w:vAlign w:val="center"/>
                </w:tcPr>
                <w:p w14:paraId="671004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作业特点</w:t>
                  </w:r>
                </w:p>
              </w:tc>
              <w:tc>
                <w:tcPr>
                  <w:tcW w:w="904" w:type="pct"/>
                  <w:vAlign w:val="center"/>
                </w:tcPr>
                <w:p w14:paraId="4727EB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环境风险类型</w:t>
                  </w:r>
                </w:p>
              </w:tc>
              <w:tc>
                <w:tcPr>
                  <w:tcW w:w="632" w:type="pct"/>
                  <w:vAlign w:val="center"/>
                </w:tcPr>
                <w:p w14:paraId="513163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环境影响途径</w:t>
                  </w:r>
                </w:p>
              </w:tc>
              <w:tc>
                <w:tcPr>
                  <w:tcW w:w="898" w:type="pct"/>
                  <w:vAlign w:val="center"/>
                </w:tcPr>
                <w:p w14:paraId="73E5EA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可能受影响的环境敏感目标</w:t>
                  </w:r>
                </w:p>
              </w:tc>
            </w:tr>
            <w:tr w14:paraId="5917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0CB21A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715" w:type="pct"/>
                  <w:vAlign w:val="center"/>
                </w:tcPr>
                <w:p w14:paraId="185225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天然气（甲烷）</w:t>
                  </w:r>
                </w:p>
              </w:tc>
              <w:tc>
                <w:tcPr>
                  <w:tcW w:w="755" w:type="pct"/>
                  <w:vAlign w:val="center"/>
                </w:tcPr>
                <w:p w14:paraId="01E143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钻井区域、天然气管道等处</w:t>
                  </w:r>
                </w:p>
              </w:tc>
              <w:tc>
                <w:tcPr>
                  <w:tcW w:w="706" w:type="pct"/>
                  <w:vAlign w:val="center"/>
                </w:tcPr>
                <w:p w14:paraId="7237D8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常温、常压</w:t>
                  </w:r>
                </w:p>
              </w:tc>
              <w:tc>
                <w:tcPr>
                  <w:tcW w:w="904" w:type="pct"/>
                  <w:vAlign w:val="center"/>
                </w:tcPr>
                <w:p w14:paraId="34B8AE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泄露、火灾、爆炸及次生污染物排放</w:t>
                  </w:r>
                </w:p>
              </w:tc>
              <w:tc>
                <w:tcPr>
                  <w:tcW w:w="632" w:type="pct"/>
                  <w:vAlign w:val="center"/>
                </w:tcPr>
                <w:p w14:paraId="394A53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大气扩散</w:t>
                  </w:r>
                </w:p>
              </w:tc>
              <w:tc>
                <w:tcPr>
                  <w:tcW w:w="898" w:type="pct"/>
                  <w:vAlign w:val="center"/>
                </w:tcPr>
                <w:p w14:paraId="69C2B8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2CC4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restart"/>
                  <w:vAlign w:val="center"/>
                </w:tcPr>
                <w:p w14:paraId="7B4EC7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715" w:type="pct"/>
                  <w:vMerge w:val="restart"/>
                  <w:vAlign w:val="center"/>
                </w:tcPr>
                <w:p w14:paraId="5109BF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废机油</w:t>
                  </w:r>
                </w:p>
              </w:tc>
              <w:tc>
                <w:tcPr>
                  <w:tcW w:w="755" w:type="pct"/>
                  <w:vMerge w:val="restart"/>
                  <w:vAlign w:val="center"/>
                </w:tcPr>
                <w:p w14:paraId="5AD8A4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危废贮存库</w:t>
                  </w:r>
                </w:p>
              </w:tc>
              <w:tc>
                <w:tcPr>
                  <w:tcW w:w="706" w:type="pct"/>
                  <w:vMerge w:val="restart"/>
                  <w:vAlign w:val="center"/>
                </w:tcPr>
                <w:p w14:paraId="229C3E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常温、常压</w:t>
                  </w:r>
                </w:p>
              </w:tc>
              <w:tc>
                <w:tcPr>
                  <w:tcW w:w="904" w:type="pct"/>
                  <w:vMerge w:val="restart"/>
                  <w:vAlign w:val="center"/>
                </w:tcPr>
                <w:p w14:paraId="5FB443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泄露、火灾、爆炸及次生污染物排放</w:t>
                  </w:r>
                </w:p>
              </w:tc>
              <w:tc>
                <w:tcPr>
                  <w:tcW w:w="632" w:type="pct"/>
                  <w:vAlign w:val="center"/>
                </w:tcPr>
                <w:p w14:paraId="733AAE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大气扩散</w:t>
                  </w:r>
                </w:p>
              </w:tc>
              <w:tc>
                <w:tcPr>
                  <w:tcW w:w="898" w:type="pct"/>
                  <w:vAlign w:val="center"/>
                </w:tcPr>
                <w:p w14:paraId="6FA77A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r>
            <w:tr w14:paraId="73B0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14:paraId="035A15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15" w:type="pct"/>
                  <w:vMerge w:val="continue"/>
                  <w:vAlign w:val="center"/>
                </w:tcPr>
                <w:p w14:paraId="6C415F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5" w:type="pct"/>
                  <w:vMerge w:val="continue"/>
                  <w:vAlign w:val="center"/>
                </w:tcPr>
                <w:p w14:paraId="0954A9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06" w:type="pct"/>
                  <w:vMerge w:val="continue"/>
                  <w:vAlign w:val="center"/>
                </w:tcPr>
                <w:p w14:paraId="78ED29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04" w:type="pct"/>
                  <w:vMerge w:val="continue"/>
                  <w:vAlign w:val="center"/>
                </w:tcPr>
                <w:p w14:paraId="36B894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32" w:type="pct"/>
                  <w:vAlign w:val="center"/>
                </w:tcPr>
                <w:p w14:paraId="1788F9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地下水扩散</w:t>
                  </w:r>
                </w:p>
              </w:tc>
              <w:tc>
                <w:tcPr>
                  <w:tcW w:w="898" w:type="pct"/>
                  <w:vAlign w:val="center"/>
                </w:tcPr>
                <w:p w14:paraId="4A8DCB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地下水</w:t>
                  </w:r>
                </w:p>
              </w:tc>
            </w:tr>
          </w:tbl>
          <w:p w14:paraId="312662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4-8   项目危险化学品储存状况一览表</w:t>
            </w:r>
          </w:p>
          <w:tbl>
            <w:tblPr>
              <w:tblStyle w:val="1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874"/>
              <w:gridCol w:w="1291"/>
              <w:gridCol w:w="1368"/>
              <w:gridCol w:w="1078"/>
              <w:gridCol w:w="1359"/>
              <w:gridCol w:w="1215"/>
            </w:tblGrid>
            <w:tr w14:paraId="5243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9" w:type="pct"/>
                  <w:noWrap w:val="0"/>
                  <w:vAlign w:val="center"/>
                </w:tcPr>
                <w:p w14:paraId="6B2DD745">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78" w:type="pct"/>
                  <w:noWrap w:val="0"/>
                  <w:vAlign w:val="center"/>
                </w:tcPr>
                <w:p w14:paraId="4785D800">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危险物质名称</w:t>
                  </w:r>
                </w:p>
              </w:tc>
              <w:tc>
                <w:tcPr>
                  <w:tcW w:w="742" w:type="pct"/>
                  <w:noWrap w:val="0"/>
                  <w:vAlign w:val="center"/>
                </w:tcPr>
                <w:p w14:paraId="7707E133">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CAS号</w:t>
                  </w:r>
                </w:p>
              </w:tc>
              <w:tc>
                <w:tcPr>
                  <w:tcW w:w="787" w:type="pct"/>
                  <w:noWrap w:val="0"/>
                  <w:vAlign w:val="center"/>
                </w:tcPr>
                <w:p w14:paraId="7E70909A">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厂区最大储存量(t)</w:t>
                  </w:r>
                </w:p>
              </w:tc>
              <w:tc>
                <w:tcPr>
                  <w:tcW w:w="620" w:type="pct"/>
                  <w:noWrap w:val="0"/>
                  <w:vAlign w:val="center"/>
                </w:tcPr>
                <w:p w14:paraId="4A86A335">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临界量（t）</w:t>
                  </w:r>
                </w:p>
              </w:tc>
              <w:tc>
                <w:tcPr>
                  <w:tcW w:w="781" w:type="pct"/>
                  <w:noWrap w:val="0"/>
                  <w:vAlign w:val="center"/>
                </w:tcPr>
                <w:p w14:paraId="3498C932">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该物质Q值</w:t>
                  </w:r>
                </w:p>
              </w:tc>
              <w:tc>
                <w:tcPr>
                  <w:tcW w:w="699" w:type="pct"/>
                  <w:noWrap w:val="0"/>
                  <w:vAlign w:val="center"/>
                </w:tcPr>
                <w:p w14:paraId="3961290B">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生产工艺特点</w:t>
                  </w:r>
                </w:p>
              </w:tc>
            </w:tr>
            <w:tr w14:paraId="78F0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5DA55136">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78" w:type="pct"/>
                  <w:noWrap w:val="0"/>
                  <w:vAlign w:val="center"/>
                </w:tcPr>
                <w:p w14:paraId="3D058462">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742" w:type="pct"/>
                  <w:noWrap w:val="0"/>
                  <w:vAlign w:val="center"/>
                </w:tcPr>
                <w:p w14:paraId="120410D4">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87" w:type="pct"/>
                  <w:noWrap w:val="0"/>
                  <w:vAlign w:val="center"/>
                </w:tcPr>
                <w:p w14:paraId="66FE4D69">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4</w:t>
                  </w:r>
                </w:p>
              </w:tc>
              <w:tc>
                <w:tcPr>
                  <w:tcW w:w="620" w:type="pct"/>
                  <w:noWrap w:val="0"/>
                  <w:vAlign w:val="center"/>
                </w:tcPr>
                <w:p w14:paraId="19C36D30">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781" w:type="pct"/>
                  <w:noWrap w:val="0"/>
                  <w:vAlign w:val="center"/>
                </w:tcPr>
                <w:p w14:paraId="2F4EE867">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w:t>
                  </w:r>
                  <w:r>
                    <w:rPr>
                      <w:rFonts w:hint="eastAsia" w:ascii="Times New Roman" w:hAnsi="Times New Roman" w:eastAsia="宋体" w:cs="Times New Roman"/>
                      <w:color w:val="auto"/>
                      <w:sz w:val="21"/>
                      <w:szCs w:val="21"/>
                      <w:lang w:val="en-US" w:eastAsia="zh-CN"/>
                    </w:rPr>
                    <w:t>8</w:t>
                  </w:r>
                </w:p>
              </w:tc>
              <w:tc>
                <w:tcPr>
                  <w:tcW w:w="699" w:type="pct"/>
                  <w:noWrap w:val="0"/>
                  <w:vAlign w:val="center"/>
                </w:tcPr>
                <w:p w14:paraId="4241FCAC">
                  <w:pPr>
                    <w:pStyle w:val="30"/>
                    <w:adjustRightInd w:val="0"/>
                    <w:snapToGrid w:val="0"/>
                    <w:spacing w:line="320" w:lineRule="exact"/>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14:paraId="1E17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pct"/>
                  <w:gridSpan w:val="3"/>
                  <w:noWrap w:val="0"/>
                  <w:vAlign w:val="center"/>
                </w:tcPr>
                <w:p w14:paraId="64FC05F0">
                  <w:pPr>
                    <w:pStyle w:val="30"/>
                    <w:adjustRightInd w:val="0"/>
                    <w:snapToGrid w:val="0"/>
                    <w:spacing w:line="320" w:lineRule="exact"/>
                    <w:ind w:firstLine="0" w:firstLineChars="0"/>
                    <w:jc w:val="center"/>
                    <w:rPr>
                      <w:color w:val="auto"/>
                    </w:rPr>
                  </w:pPr>
                  <w:r>
                    <w:rPr>
                      <w:rFonts w:hint="default" w:ascii="Times New Roman" w:hAnsi="Times New Roman" w:eastAsia="宋体" w:cs="Times New Roman"/>
                      <w:color w:val="auto"/>
                      <w:sz w:val="21"/>
                      <w:szCs w:val="21"/>
                      <w:lang w:val="en-US" w:eastAsia="zh-CN"/>
                    </w:rPr>
                    <w:t>合计</w:t>
                  </w:r>
                </w:p>
              </w:tc>
              <w:tc>
                <w:tcPr>
                  <w:tcW w:w="2189" w:type="pct"/>
                  <w:gridSpan w:val="3"/>
                  <w:noWrap w:val="0"/>
                  <w:vAlign w:val="center"/>
                </w:tcPr>
                <w:p w14:paraId="28C28DC2">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008</w:t>
                  </w:r>
                </w:p>
              </w:tc>
              <w:tc>
                <w:tcPr>
                  <w:tcW w:w="699" w:type="pct"/>
                  <w:noWrap w:val="0"/>
                  <w:vAlign w:val="center"/>
                </w:tcPr>
                <w:p w14:paraId="6ADF595E">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1A0172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由表4-9可知，项目</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Q=0.0</w:t>
            </w:r>
            <w:r>
              <w:rPr>
                <w:rFonts w:hint="eastAsia" w:ascii="Times New Roman" w:hAnsi="Times New Roman" w:eastAsia="宋体" w:cs="Times New Roman"/>
                <w:b w:val="0"/>
                <w:bCs w:val="0"/>
                <w:color w:val="auto"/>
                <w:sz w:val="24"/>
                <w:szCs w:val="24"/>
                <w:vertAlign w:val="baseline"/>
                <w:lang w:val="en-US" w:eastAsia="zh-CN"/>
              </w:rPr>
              <w:t>008</w:t>
            </w:r>
            <w:r>
              <w:rPr>
                <w:rFonts w:hint="default" w:ascii="Times New Roman" w:hAnsi="Times New Roman" w:eastAsia="宋体" w:cs="Times New Roman"/>
                <w:b w:val="0"/>
                <w:bCs w:val="0"/>
                <w:color w:val="auto"/>
                <w:sz w:val="24"/>
                <w:szCs w:val="24"/>
                <w:vertAlign w:val="baseline"/>
                <w:lang w:val="en-US" w:eastAsia="zh-CN"/>
              </w:rPr>
              <w:t>&lt;1，环境风险较小。</w:t>
            </w:r>
          </w:p>
          <w:p w14:paraId="6F61AA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各危险物质理化性质见下表：</w:t>
            </w:r>
          </w:p>
          <w:p w14:paraId="09986B1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4"/>
                <w:szCs w:val="24"/>
                <w:lang w:val="en-US" w:eastAsia="zh-CN"/>
              </w:rPr>
              <w:t>①天然气</w:t>
            </w:r>
          </w:p>
          <w:p w14:paraId="66D01D8C">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 xml:space="preserve"> 天然气</w:t>
            </w:r>
            <w:r>
              <w:rPr>
                <w:rFonts w:hint="default" w:ascii="Times New Roman" w:hAnsi="Times New Roman" w:cs="Times New Roman"/>
                <w:color w:val="auto"/>
                <w:sz w:val="21"/>
                <w:szCs w:val="21"/>
                <w:lang w:eastAsia="zh-CN"/>
              </w:rPr>
              <w:t>理化特性及危险性一览表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91"/>
              <w:gridCol w:w="1596"/>
              <w:gridCol w:w="2241"/>
              <w:gridCol w:w="2193"/>
              <w:gridCol w:w="1975"/>
            </w:tblGrid>
            <w:tr w14:paraId="6197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4273301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1485" w:type="dxa"/>
                  <w:vAlign w:val="center"/>
                </w:tcPr>
                <w:p w14:paraId="772455D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w:t>
                  </w:r>
                </w:p>
              </w:tc>
              <w:tc>
                <w:tcPr>
                  <w:tcW w:w="2085" w:type="dxa"/>
                  <w:vAlign w:val="center"/>
                </w:tcPr>
                <w:p w14:paraId="297E5DF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w:t>
                  </w:r>
                </w:p>
              </w:tc>
              <w:tc>
                <w:tcPr>
                  <w:tcW w:w="2040" w:type="dxa"/>
                  <w:vAlign w:val="center"/>
                </w:tcPr>
                <w:p w14:paraId="183642F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w:t>
                  </w:r>
                </w:p>
              </w:tc>
              <w:tc>
                <w:tcPr>
                  <w:tcW w:w="1836" w:type="dxa"/>
                  <w:vAlign w:val="center"/>
                </w:tcPr>
                <w:p w14:paraId="02F8FC9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Marsh gas</w:t>
                  </w:r>
                </w:p>
              </w:tc>
            </w:tr>
            <w:tr w14:paraId="75E3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26309F7">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71AC876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w:t>
                  </w:r>
                </w:p>
              </w:tc>
              <w:tc>
                <w:tcPr>
                  <w:tcW w:w="2085" w:type="dxa"/>
                  <w:vAlign w:val="center"/>
                </w:tcPr>
                <w:p w14:paraId="5A87D6B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CH</w:t>
                  </w:r>
                  <w:r>
                    <w:rPr>
                      <w:rFonts w:hint="default" w:ascii="Times New Roman" w:hAnsi="Times New Roman" w:cs="Times New Roman"/>
                      <w:color w:val="auto"/>
                      <w:sz w:val="21"/>
                      <w:szCs w:val="21"/>
                      <w:vertAlign w:val="subscript"/>
                      <w:lang w:val="en-US" w:eastAsia="zh-CN"/>
                    </w:rPr>
                    <w:t>4</w:t>
                  </w:r>
                </w:p>
              </w:tc>
              <w:tc>
                <w:tcPr>
                  <w:tcW w:w="2040" w:type="dxa"/>
                  <w:vAlign w:val="center"/>
                </w:tcPr>
                <w:p w14:paraId="7EC5C08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1836" w:type="dxa"/>
                  <w:vAlign w:val="center"/>
                </w:tcPr>
                <w:p w14:paraId="1A92160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74-82-8</w:t>
                  </w:r>
                </w:p>
              </w:tc>
            </w:tr>
            <w:tr w14:paraId="03DC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70D6F87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理化特性</w:t>
                  </w:r>
                </w:p>
              </w:tc>
              <w:tc>
                <w:tcPr>
                  <w:tcW w:w="1485" w:type="dxa"/>
                  <w:vAlign w:val="center"/>
                </w:tcPr>
                <w:p w14:paraId="1177CDE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w:t>
                  </w:r>
                </w:p>
              </w:tc>
              <w:tc>
                <w:tcPr>
                  <w:tcW w:w="2085" w:type="dxa"/>
                  <w:vAlign w:val="center"/>
                </w:tcPr>
                <w:p w14:paraId="6C8D114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-182.5</w:t>
                  </w:r>
                </w:p>
              </w:tc>
              <w:tc>
                <w:tcPr>
                  <w:tcW w:w="2040" w:type="dxa"/>
                  <w:vAlign w:val="center"/>
                </w:tcPr>
                <w:p w14:paraId="45045D0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w:t>
                  </w:r>
                </w:p>
              </w:tc>
              <w:tc>
                <w:tcPr>
                  <w:tcW w:w="1836" w:type="dxa"/>
                  <w:vAlign w:val="center"/>
                </w:tcPr>
                <w:p w14:paraId="24F4BAE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0.55</w:t>
                  </w:r>
                </w:p>
              </w:tc>
            </w:tr>
            <w:tr w14:paraId="1DCE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BD1DD3E">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36F5EF5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5961" w:type="dxa"/>
                  <w:gridSpan w:val="3"/>
                  <w:vAlign w:val="center"/>
                </w:tcPr>
                <w:p w14:paraId="5C191F7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无色或无臭气体（天然气中已加入识别臭味）。</w:t>
                  </w:r>
                </w:p>
              </w:tc>
            </w:tr>
            <w:tr w14:paraId="43CE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235A9037">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71C93A0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5961" w:type="dxa"/>
                  <w:gridSpan w:val="3"/>
                  <w:vAlign w:val="center"/>
                </w:tcPr>
                <w:p w14:paraId="22AE919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微溶于水，溶于醇、乙醚。</w:t>
                  </w:r>
                </w:p>
              </w:tc>
            </w:tr>
            <w:tr w14:paraId="468E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57D64AE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燃爆特性</w:t>
                  </w:r>
                </w:p>
              </w:tc>
              <w:tc>
                <w:tcPr>
                  <w:tcW w:w="1485" w:type="dxa"/>
                  <w:vAlign w:val="center"/>
                </w:tcPr>
                <w:p w14:paraId="25B72C3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w:t>
                  </w:r>
                </w:p>
              </w:tc>
              <w:tc>
                <w:tcPr>
                  <w:tcW w:w="2085" w:type="dxa"/>
                  <w:vAlign w:val="center"/>
                </w:tcPr>
                <w:p w14:paraId="7B61B19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-188</w:t>
                  </w:r>
                </w:p>
              </w:tc>
              <w:tc>
                <w:tcPr>
                  <w:tcW w:w="2040" w:type="dxa"/>
                  <w:vAlign w:val="center"/>
                </w:tcPr>
                <w:p w14:paraId="5488A54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爆炸极限（%）</w:t>
                  </w:r>
                </w:p>
              </w:tc>
              <w:tc>
                <w:tcPr>
                  <w:tcW w:w="1836" w:type="dxa"/>
                  <w:vAlign w:val="center"/>
                </w:tcPr>
                <w:p w14:paraId="64E7B34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5.3～15</w:t>
                  </w:r>
                </w:p>
              </w:tc>
            </w:tr>
            <w:tr w14:paraId="4CD0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5725F6AD">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2EBD1DA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w:t>
                  </w:r>
                </w:p>
              </w:tc>
              <w:tc>
                <w:tcPr>
                  <w:tcW w:w="2085" w:type="dxa"/>
                  <w:vAlign w:val="center"/>
                </w:tcPr>
                <w:p w14:paraId="4DCE73A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538</w:t>
                  </w:r>
                </w:p>
              </w:tc>
              <w:tc>
                <w:tcPr>
                  <w:tcW w:w="2040" w:type="dxa"/>
                  <w:vAlign w:val="center"/>
                </w:tcPr>
                <w:p w14:paraId="6B3CE0C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稳定性</w:t>
                  </w:r>
                </w:p>
              </w:tc>
              <w:tc>
                <w:tcPr>
                  <w:tcW w:w="1836" w:type="dxa"/>
                  <w:vAlign w:val="center"/>
                </w:tcPr>
                <w:p w14:paraId="7DE5A83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w:t>
                  </w:r>
                </w:p>
              </w:tc>
            </w:tr>
            <w:tr w14:paraId="1C03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4E24F0B3">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20A3A85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火灾危险类别</w:t>
                  </w:r>
                </w:p>
              </w:tc>
              <w:tc>
                <w:tcPr>
                  <w:tcW w:w="2085" w:type="dxa"/>
                  <w:vAlign w:val="center"/>
                </w:tcPr>
                <w:p w14:paraId="772EDF9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第2.1类，易燃气体</w:t>
                  </w:r>
                </w:p>
              </w:tc>
              <w:tc>
                <w:tcPr>
                  <w:tcW w:w="2040" w:type="dxa"/>
                  <w:vAlign w:val="center"/>
                </w:tcPr>
                <w:p w14:paraId="2F99E2F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爆炸危险组别类别</w:t>
                  </w:r>
                </w:p>
              </w:tc>
              <w:tc>
                <w:tcPr>
                  <w:tcW w:w="1836" w:type="dxa"/>
                  <w:vAlign w:val="center"/>
                </w:tcPr>
                <w:p w14:paraId="15E1D7F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T3/ⅡΑ</w:t>
                  </w:r>
                </w:p>
              </w:tc>
            </w:tr>
            <w:tr w14:paraId="2A97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68B2F680">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668C34A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5961" w:type="dxa"/>
                  <w:gridSpan w:val="3"/>
                  <w:vAlign w:val="center"/>
                </w:tcPr>
                <w:p w14:paraId="5CC80F7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易燃，与与空气混合能形成爆炸性混合物，遇热源和明火易引起燃烧爆炸，与五氧化溴、氯气、次氯酸、三氟化氮、液氧、二氟化氮及其它强氧化剂接触能发生剧烈反应。</w:t>
                  </w:r>
                </w:p>
                <w:p w14:paraId="51EEE0F3">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燃烧（分解）产物：一氧化碳、二氧化碳。</w:t>
                  </w:r>
                </w:p>
                <w:p w14:paraId="565FEBEC">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天然气除了有上述危险特性外，还具有下列特性：天然气中含有少量的硫化氢，长期吸入，对人的神经系统有毒害；在高压、高温、有水的情况下，对金属可产生硫化氢应力开裂。</w:t>
                  </w:r>
                </w:p>
              </w:tc>
            </w:tr>
            <w:tr w14:paraId="29BC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C4E1464">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0F6FBC7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w:t>
                  </w:r>
                </w:p>
              </w:tc>
              <w:tc>
                <w:tcPr>
                  <w:tcW w:w="5961" w:type="dxa"/>
                  <w:gridSpan w:val="3"/>
                  <w:vAlign w:val="center"/>
                </w:tcPr>
                <w:p w14:paraId="4CB3C53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泡沫、干粉、CO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、雾状水。</w:t>
                  </w:r>
                </w:p>
              </w:tc>
            </w:tr>
            <w:tr w14:paraId="6E18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10F87F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对人体危害</w:t>
                  </w:r>
                </w:p>
              </w:tc>
              <w:tc>
                <w:tcPr>
                  <w:tcW w:w="7446" w:type="dxa"/>
                  <w:gridSpan w:val="4"/>
                  <w:vAlign w:val="center"/>
                </w:tcPr>
                <w:p w14:paraId="106E79A9">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w:t>
                  </w:r>
                </w:p>
                <w:p w14:paraId="61CFF7FE">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14:paraId="18FB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66B7111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7446" w:type="dxa"/>
                  <w:gridSpan w:val="4"/>
                  <w:vAlign w:val="center"/>
                </w:tcPr>
                <w:p w14:paraId="43F259D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皮肤冻伤：若有冻伤，就医治疗。</w:t>
                  </w:r>
                </w:p>
                <w:p w14:paraId="13D6A721">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tc>
            </w:tr>
            <w:tr w14:paraId="0C30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1D3810D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w:t>
                  </w:r>
                </w:p>
              </w:tc>
              <w:tc>
                <w:tcPr>
                  <w:tcW w:w="7446" w:type="dxa"/>
                  <w:gridSpan w:val="4"/>
                  <w:vAlign w:val="center"/>
                </w:tcPr>
                <w:p w14:paraId="462225CD">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工程防护：生产过程密闭，全面通风。</w:t>
                  </w:r>
                </w:p>
                <w:p w14:paraId="5F960F5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个人防护：一般不需要特殊防护，但建议特殊情况下，佩戴自吸过滤式防毒面具（半面罩）。眼睛防护一般不需要特殊防护，高浓度接触时可戴安全防护眼镜，穿防静电工作服。戴一般作业防护手套。工作现场严禁吸烟。避免长期反复接触，进入罐、限制性空间或其它高浓度区作业，须有人监护。</w:t>
                  </w:r>
                </w:p>
              </w:tc>
            </w:tr>
            <w:tr w14:paraId="4C68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1422ED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泄漏处理</w:t>
                  </w:r>
                </w:p>
              </w:tc>
              <w:tc>
                <w:tcPr>
                  <w:tcW w:w="7446" w:type="dxa"/>
                  <w:gridSpan w:val="4"/>
                  <w:vAlign w:val="center"/>
                </w:tcPr>
                <w:p w14:paraId="7CB1C563">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019C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098E65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贮运</w:t>
                  </w:r>
                </w:p>
              </w:tc>
              <w:tc>
                <w:tcPr>
                  <w:tcW w:w="7446" w:type="dxa"/>
                  <w:gridSpan w:val="4"/>
                  <w:vAlign w:val="center"/>
                </w:tcPr>
                <w:p w14:paraId="74A6DBB0">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条件：易燃压缩气体。储存于阴凉、通风仓间内。仓温不宜超过30℃。远离火种、热源。防止阳光直射。应与氧气、压缩空气、卤素（氟、氯、溴）等分开存放。切忌混储混运。储存间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bl>
          <w:p w14:paraId="017A69A0">
            <w:pPr>
              <w:pStyle w:val="26"/>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②机油</w:t>
            </w:r>
          </w:p>
          <w:p w14:paraId="4A700120">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4-1</w:t>
            </w:r>
            <w:r>
              <w:rPr>
                <w:rFonts w:hint="eastAsia" w:ascii="Times New Roman" w:hAnsi="Times New Roman" w:cs="Times New Roman"/>
                <w:color w:val="auto"/>
                <w:sz w:val="21"/>
                <w:szCs w:val="21"/>
                <w:lang w:val="en-US" w:eastAsia="zh-CN"/>
              </w:rPr>
              <w:t xml:space="preserve">0 </w:t>
            </w:r>
            <w:r>
              <w:rPr>
                <w:rFonts w:hint="default" w:ascii="Times New Roman" w:hAnsi="Times New Roman" w:cs="Times New Roman"/>
                <w:color w:val="auto"/>
                <w:sz w:val="21"/>
                <w:szCs w:val="21"/>
                <w:lang w:eastAsia="zh-CN"/>
              </w:rPr>
              <w:t>机油理化特性及危险性一览表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9"/>
              <w:gridCol w:w="1719"/>
              <w:gridCol w:w="1603"/>
              <w:gridCol w:w="2225"/>
              <w:gridCol w:w="2580"/>
            </w:tblGrid>
            <w:tr w14:paraId="1922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57BC605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1599" w:type="dxa"/>
                  <w:vAlign w:val="center"/>
                </w:tcPr>
                <w:p w14:paraId="4241B03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w:t>
                  </w:r>
                </w:p>
              </w:tc>
              <w:tc>
                <w:tcPr>
                  <w:tcW w:w="1491" w:type="dxa"/>
                  <w:vAlign w:val="center"/>
                </w:tcPr>
                <w:p w14:paraId="41FD0E2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机油</w:t>
                  </w:r>
                </w:p>
              </w:tc>
              <w:tc>
                <w:tcPr>
                  <w:tcW w:w="2070" w:type="dxa"/>
                  <w:vAlign w:val="center"/>
                </w:tcPr>
                <w:p w14:paraId="21D497D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w:t>
                  </w:r>
                </w:p>
              </w:tc>
              <w:tc>
                <w:tcPr>
                  <w:tcW w:w="2400" w:type="dxa"/>
                  <w:vAlign w:val="center"/>
                </w:tcPr>
                <w:p w14:paraId="079F64D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lubricating oil；Lube oil</w:t>
                  </w:r>
                </w:p>
              </w:tc>
            </w:tr>
            <w:tr w14:paraId="1AB8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111209CD">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260A281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w:t>
                  </w:r>
                </w:p>
              </w:tc>
              <w:tc>
                <w:tcPr>
                  <w:tcW w:w="1491" w:type="dxa"/>
                  <w:vAlign w:val="center"/>
                </w:tcPr>
                <w:p w14:paraId="7AE39385">
                  <w:pPr>
                    <w:pStyle w:val="27"/>
                    <w:bidi w:val="0"/>
                    <w:jc w:val="center"/>
                    <w:rPr>
                      <w:rFonts w:hint="default" w:ascii="Times New Roman" w:hAnsi="Times New Roman" w:cs="Times New Roman"/>
                      <w:color w:val="auto"/>
                      <w:sz w:val="21"/>
                      <w:szCs w:val="21"/>
                      <w:lang w:val="en-US" w:eastAsia="zh-CN"/>
                    </w:rPr>
                  </w:pPr>
                </w:p>
              </w:tc>
              <w:tc>
                <w:tcPr>
                  <w:tcW w:w="2070" w:type="dxa"/>
                  <w:vAlign w:val="center"/>
                </w:tcPr>
                <w:p w14:paraId="413A3CB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2400" w:type="dxa"/>
                  <w:vAlign w:val="center"/>
                </w:tcPr>
                <w:p w14:paraId="6126FBE5">
                  <w:pPr>
                    <w:pStyle w:val="27"/>
                    <w:bidi w:val="0"/>
                    <w:jc w:val="center"/>
                    <w:rPr>
                      <w:rFonts w:hint="default" w:ascii="Times New Roman" w:hAnsi="Times New Roman" w:cs="Times New Roman"/>
                      <w:color w:val="auto"/>
                      <w:sz w:val="21"/>
                      <w:szCs w:val="21"/>
                      <w:lang w:val="en-US" w:eastAsia="zh-CN"/>
                    </w:rPr>
                  </w:pPr>
                </w:p>
              </w:tc>
            </w:tr>
            <w:tr w14:paraId="5115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2D4A263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理化特性</w:t>
                  </w:r>
                </w:p>
              </w:tc>
              <w:tc>
                <w:tcPr>
                  <w:tcW w:w="1599" w:type="dxa"/>
                  <w:vAlign w:val="center"/>
                </w:tcPr>
                <w:p w14:paraId="01CDB8D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w:t>
                  </w:r>
                </w:p>
              </w:tc>
              <w:tc>
                <w:tcPr>
                  <w:tcW w:w="1491" w:type="dxa"/>
                  <w:vAlign w:val="center"/>
                </w:tcPr>
                <w:p w14:paraId="394F5ADA">
                  <w:pPr>
                    <w:pStyle w:val="27"/>
                    <w:bidi w:val="0"/>
                    <w:jc w:val="center"/>
                    <w:rPr>
                      <w:rFonts w:hint="default" w:ascii="Times New Roman" w:hAnsi="Times New Roman" w:cs="Times New Roman"/>
                      <w:color w:val="auto"/>
                      <w:sz w:val="21"/>
                      <w:szCs w:val="21"/>
                      <w:lang w:val="en-US" w:eastAsia="zh-CN"/>
                    </w:rPr>
                  </w:pPr>
                </w:p>
              </w:tc>
              <w:tc>
                <w:tcPr>
                  <w:tcW w:w="2070" w:type="dxa"/>
                  <w:vAlign w:val="center"/>
                </w:tcPr>
                <w:p w14:paraId="43CC484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w:t>
                  </w:r>
                </w:p>
              </w:tc>
              <w:tc>
                <w:tcPr>
                  <w:tcW w:w="2400" w:type="dxa"/>
                  <w:vAlign w:val="center"/>
                </w:tcPr>
                <w:p w14:paraId="3309A7A6">
                  <w:pPr>
                    <w:pStyle w:val="27"/>
                    <w:bidi w:val="0"/>
                    <w:jc w:val="center"/>
                    <w:rPr>
                      <w:rFonts w:hint="default" w:ascii="Times New Roman" w:hAnsi="Times New Roman" w:cs="Times New Roman"/>
                      <w:color w:val="auto"/>
                      <w:sz w:val="21"/>
                      <w:szCs w:val="21"/>
                      <w:lang w:val="en-US" w:eastAsia="zh-CN"/>
                    </w:rPr>
                  </w:pPr>
                </w:p>
              </w:tc>
            </w:tr>
            <w:tr w14:paraId="6F0D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4291C8D4">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498F5F77">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5961" w:type="dxa"/>
                  <w:gridSpan w:val="3"/>
                  <w:vAlign w:val="center"/>
                </w:tcPr>
                <w:p w14:paraId="044220E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油状液体，淡黄色至褐色，无气味或略带异味。</w:t>
                  </w:r>
                </w:p>
              </w:tc>
            </w:tr>
            <w:tr w14:paraId="1D32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4F132AFA">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072A23E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5961" w:type="dxa"/>
                  <w:gridSpan w:val="3"/>
                  <w:vAlign w:val="center"/>
                </w:tcPr>
                <w:p w14:paraId="042F8EE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不溶于水。</w:t>
                  </w:r>
                </w:p>
              </w:tc>
            </w:tr>
            <w:tr w14:paraId="04C4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0E22141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燃爆特性</w:t>
                  </w:r>
                </w:p>
              </w:tc>
              <w:tc>
                <w:tcPr>
                  <w:tcW w:w="1599" w:type="dxa"/>
                  <w:vAlign w:val="center"/>
                </w:tcPr>
                <w:p w14:paraId="21B3FC37">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w:t>
                  </w:r>
                </w:p>
              </w:tc>
              <w:tc>
                <w:tcPr>
                  <w:tcW w:w="1491" w:type="dxa"/>
                  <w:vAlign w:val="center"/>
                </w:tcPr>
                <w:p w14:paraId="7FE93D4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2070" w:type="dxa"/>
                  <w:vAlign w:val="center"/>
                </w:tcPr>
                <w:p w14:paraId="1E1A111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爆炸极限（%）</w:t>
                  </w:r>
                </w:p>
              </w:tc>
              <w:tc>
                <w:tcPr>
                  <w:tcW w:w="2400" w:type="dxa"/>
                  <w:vAlign w:val="center"/>
                </w:tcPr>
                <w:p w14:paraId="6EC57633">
                  <w:pPr>
                    <w:pStyle w:val="27"/>
                    <w:bidi w:val="0"/>
                    <w:jc w:val="center"/>
                    <w:rPr>
                      <w:rFonts w:hint="default" w:ascii="Times New Roman" w:hAnsi="Times New Roman" w:cs="Times New Roman"/>
                      <w:color w:val="auto"/>
                      <w:sz w:val="21"/>
                      <w:szCs w:val="21"/>
                      <w:lang w:val="en-US" w:eastAsia="zh-CN"/>
                    </w:rPr>
                  </w:pPr>
                </w:p>
              </w:tc>
            </w:tr>
            <w:tr w14:paraId="4445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0C44D45D">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38C9F5A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w:t>
                  </w:r>
                </w:p>
              </w:tc>
              <w:tc>
                <w:tcPr>
                  <w:tcW w:w="1491" w:type="dxa"/>
                  <w:vAlign w:val="center"/>
                </w:tcPr>
                <w:p w14:paraId="79F300C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248</w:t>
                  </w:r>
                </w:p>
              </w:tc>
              <w:tc>
                <w:tcPr>
                  <w:tcW w:w="2070" w:type="dxa"/>
                  <w:vAlign w:val="center"/>
                </w:tcPr>
                <w:p w14:paraId="68DF2A08">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稳定性</w:t>
                  </w:r>
                </w:p>
              </w:tc>
              <w:tc>
                <w:tcPr>
                  <w:tcW w:w="2400" w:type="dxa"/>
                  <w:vAlign w:val="center"/>
                </w:tcPr>
                <w:p w14:paraId="1B826358">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稳定</w:t>
                  </w:r>
                </w:p>
              </w:tc>
            </w:tr>
            <w:tr w14:paraId="2B49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211570F0">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48E9F1C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5961" w:type="dxa"/>
                  <w:gridSpan w:val="3"/>
                  <w:vAlign w:val="center"/>
                </w:tcPr>
                <w:p w14:paraId="0E3AFE3F">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遇明火、高热可燃。</w:t>
                  </w:r>
                </w:p>
              </w:tc>
            </w:tr>
            <w:tr w14:paraId="2658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0943E277">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5DAE62B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w:t>
                  </w:r>
                </w:p>
              </w:tc>
              <w:tc>
                <w:tcPr>
                  <w:tcW w:w="5961" w:type="dxa"/>
                  <w:gridSpan w:val="3"/>
                  <w:vAlign w:val="center"/>
                </w:tcPr>
                <w:p w14:paraId="5C3F065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雾状水、泡沫、干粉、二氧化碳、砂土。</w:t>
                  </w:r>
                </w:p>
              </w:tc>
            </w:tr>
            <w:tr w14:paraId="50DE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74C787D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对人体危害</w:t>
                  </w:r>
                </w:p>
              </w:tc>
              <w:tc>
                <w:tcPr>
                  <w:tcW w:w="7560" w:type="dxa"/>
                  <w:gridSpan w:val="4"/>
                  <w:vAlign w:val="center"/>
                </w:tcPr>
                <w:p w14:paraId="54B5CBFE">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侵入途径：吸入、食入；</w:t>
                  </w:r>
                </w:p>
                <w:p w14:paraId="791F08B8">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急性吸入，可出现乏力、头晕、头痛、恶心，严重者可引起油脂性肺炎。慢接触者，暴露部位可发生油性痤疮和接触性皮炎。可引起神经衰弱综合征，呼吸道和眼刺激症状及慢性油脂性肺炎。</w:t>
                  </w:r>
                </w:p>
              </w:tc>
            </w:tr>
            <w:tr w14:paraId="65CC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1585A97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7560" w:type="dxa"/>
                  <w:gridSpan w:val="4"/>
                  <w:vAlign w:val="center"/>
                </w:tcPr>
                <w:p w14:paraId="24960206">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皮肤接触：立即脱去被污染的衣着，用大量清水冲洗；</w:t>
                  </w:r>
                </w:p>
                <w:p w14:paraId="3EA36F9D">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眼睛接触：立即提起眼睑，用大量流动清水或生理盐水冲洗，就医；</w:t>
                  </w:r>
                </w:p>
                <w:p w14:paraId="3719DBC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p w14:paraId="0559FF4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食入：饮足量温水，催吐，就医。</w:t>
                  </w:r>
                </w:p>
              </w:tc>
            </w:tr>
            <w:tr w14:paraId="188C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3330569B">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w:t>
                  </w:r>
                </w:p>
              </w:tc>
              <w:tc>
                <w:tcPr>
                  <w:tcW w:w="7560" w:type="dxa"/>
                  <w:gridSpan w:val="4"/>
                  <w:vAlign w:val="center"/>
                </w:tcPr>
                <w:p w14:paraId="2E57B596">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工程控制：密闭操作，注意通风；</w:t>
                  </w:r>
                </w:p>
                <w:p w14:paraId="30FE0F94">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呼吸系统防护：空气中浓度超标时，建议佩戴自吸过滤式防毒面具(半面)。紧急事态抢救或撤离时，应该佩戴空气呼吸器。</w:t>
                  </w:r>
                </w:p>
                <w:p w14:paraId="6C06C250">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眼睛防护：戴化学安全防护眼镜；</w:t>
                  </w:r>
                </w:p>
                <w:p w14:paraId="38D00E4F">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身体防护:穿防毒物渗透工作服；</w:t>
                  </w:r>
                </w:p>
                <w:p w14:paraId="22C708FE">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手防护：戴橡胶耐油手套；</w:t>
                  </w:r>
                </w:p>
                <w:p w14:paraId="48FC267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其他：工作现场严禁吸烟，避免长期反复接触。</w:t>
                  </w:r>
                </w:p>
              </w:tc>
            </w:tr>
            <w:tr w14:paraId="39DF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2BC8606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泄漏处理</w:t>
                  </w:r>
                </w:p>
              </w:tc>
              <w:tc>
                <w:tcPr>
                  <w:tcW w:w="7560" w:type="dxa"/>
                  <w:gridSpan w:val="4"/>
                  <w:vAlign w:val="center"/>
                </w:tcPr>
                <w:p w14:paraId="53E2C49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迅速撤离泄漏污染区人员至安全区，并进行隔离，严格限制出入。切断火源。建议应急处理人员戴自给正压式呼吸器，穿防毒服。尽可能切断泄漏源。防止流入下水道、排洪沟等限制性空间。</w:t>
                  </w:r>
                </w:p>
                <w:p w14:paraId="57061EE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小量泄漏：用砂土或其它不燃材料吸附或吸收。</w:t>
                  </w:r>
                </w:p>
                <w:p w14:paraId="13E74041">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大量泄漏：构筑围堤或挖坑收容。用泵转移至槽车或专用收集器内，回收或运至废物处理场所处置。</w:t>
                  </w:r>
                </w:p>
              </w:tc>
            </w:tr>
            <w:tr w14:paraId="2778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375E75B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贮运</w:t>
                  </w:r>
                </w:p>
              </w:tc>
              <w:tc>
                <w:tcPr>
                  <w:tcW w:w="7560" w:type="dxa"/>
                  <w:gridSpan w:val="4"/>
                  <w:vAlign w:val="center"/>
                </w:tcPr>
                <w:p w14:paraId="208810DA">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储存于阴凉、通风的库房。远离火种、热源。应与氧化剂分开存放，切忌混储。配备相应品种和数量的消防器材。储区应备有泄漏应急处理设备和合适的收容材料。</w:t>
                  </w:r>
                </w:p>
                <w:p w14:paraId="69F06786">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前应先检查包装容器是否完整、密封，运输过程中要确保容器不泄漏、不倒塌、不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73FF2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（3）环境风险分析</w:t>
            </w:r>
          </w:p>
          <w:p w14:paraId="7F47F8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1）大气环境风险分析</w:t>
            </w:r>
          </w:p>
          <w:p w14:paraId="63C313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①井喷事故</w:t>
            </w:r>
          </w:p>
          <w:p w14:paraId="040C49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当钻井进入气层后，遇到高压气流，因各种原因使井底压力不能平衡底层压力时而造成井喷和井喷失控事故。井喷失控发生的机率虽然很小，但危害较大，主要表现在井喷后会有大量的天然气逸散到空气中，对周围的环境空气造成一定的影响；井喷失控喷射出的天然气遇火燃烧爆炸造成冲击波和热辐射伤人。尽管井喷造成的后果是严重的，但井喷发生的概率非常小，只有在钻井遇</w:t>
            </w:r>
            <w:r>
              <w:rPr>
                <w:rFonts w:hint="eastAsia" w:ascii="Times New Roman" w:hAnsi="Times New Roman" w:eastAsia="宋体" w:cs="Times New Roman"/>
                <w:b w:val="0"/>
                <w:bCs w:val="0"/>
                <w:color w:val="auto"/>
                <w:sz w:val="24"/>
                <w:szCs w:val="24"/>
                <w:vertAlign w:val="baseline"/>
                <w:lang w:val="en-US" w:eastAsia="zh-CN"/>
              </w:rPr>
              <w:t>高压采</w:t>
            </w:r>
            <w:r>
              <w:rPr>
                <w:rFonts w:hint="default" w:ascii="Times New Roman" w:hAnsi="Times New Roman" w:eastAsia="宋体" w:cs="Times New Roman"/>
                <w:b w:val="0"/>
                <w:bCs w:val="0"/>
                <w:color w:val="auto"/>
                <w:sz w:val="24"/>
                <w:szCs w:val="24"/>
                <w:vertAlign w:val="baseline"/>
                <w:lang w:val="en-US" w:eastAsia="zh-CN"/>
              </w:rPr>
              <w:t>气层且操作不当时才有可能发生。而由于操作者直接责任而引起井控措施不当、违反操作规程、井控措施故障等是造成井喷失控事故的主要因素。本项目在钻井时采用了安装防喷器和控制装置等防喷措施，项目发生井喷的概率很小。</w:t>
            </w:r>
          </w:p>
          <w:p w14:paraId="440E5E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②放喷事故</w:t>
            </w:r>
          </w:p>
          <w:p w14:paraId="233DC5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为了解气井的产气量，在完井及压裂后，需进行测试放喷，项目通过</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进行测试。</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周围50m范围内进行清理，远离易燃物品，同时应远离居民区，</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用于储存随放喷气体带出的地下水及洗井废水。项目设置10</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，能够满足放喷气体带出的废水存储。</w:t>
            </w:r>
          </w:p>
          <w:p w14:paraId="7D7789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w:t>
            </w:r>
          </w:p>
          <w:p w14:paraId="6287BA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风险影响主要是</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废油泄漏的火灾爆炸。本项目</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内废油储存量较少，发生泄漏后全部收集在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内，工作人员可及时发现并清理，引发环境风险事故的可能性极低。</w:t>
            </w:r>
          </w:p>
          <w:p w14:paraId="4C220E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2）地表水环境风险分析</w:t>
            </w:r>
          </w:p>
          <w:p w14:paraId="651661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正常情况下，本项目井场设置泥浆不落地系统，生产废水全部妥善处置，不会外排出场地，井喷等事故情况下，喷出的泥浆废液可由井场内应急储罐收集处理，不会外排引发地表水体污染。</w:t>
            </w:r>
          </w:p>
          <w:p w14:paraId="228946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3）地下水环境风险分析</w:t>
            </w:r>
          </w:p>
          <w:p w14:paraId="4323AD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w:t>
            </w:r>
          </w:p>
          <w:p w14:paraId="14696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的废油泄漏，石油烃类污染物可能通过井场地面下渗至地下含水层并向下游迁移，对下游地下水环境造成风险事故，由于项目</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均已按照相关要求采取分区防渗，可有效防止污染物下渗进入地下水。</w:t>
            </w:r>
          </w:p>
          <w:p w14:paraId="52376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②井漏事故</w:t>
            </w:r>
          </w:p>
          <w:p w14:paraId="71D3B8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井漏事故对地下水的污染是指在钻井过程中，钻井废水、泥浆漏失于地下水含水层中，造成地下含水层水质污染。就钻井漏失而言，发生在局部且持续时间较短。</w:t>
            </w:r>
          </w:p>
          <w:p w14:paraId="6D6623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一开钻井泥浆主要成分为膨润土和碳酸钠等，不含有毒有害物质，一开井深基本涵盖了可能具有使用功能的地下水，因此本项目一开钻井过程不会对可能具备使用功能的地下水造成影响。二开施工时，表层套管已完成固井，因此钻井泥浆不会在表层套管范围内漏失，漏失发生在表层套管以下的二开范围内，二开范围内的地层地下水埋深较深，不具备使用功能。</w:t>
            </w:r>
          </w:p>
          <w:p w14:paraId="25A1AD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漏主要发生于具有特殊地质结构的气藏区，如具有溶洞、裂隙等不稳定的地层构造区域。本企业在油气资源勘探过程中未发现不稳定地质因素。另外，施工单位针对井漏制定有完善的应对措施，钻井过程中一旦发现异常，施工单位将立即停钻采取添加桥堵剂、打水泥塞等措施，防止井漏事故的发生，可有效减轻井漏对地下水的影响。</w:t>
            </w:r>
          </w:p>
          <w:p w14:paraId="710386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综上，在采取一系列风险防范措施之后，项目环境风险在可控范围内，对周边环境影响较小。</w:t>
            </w:r>
          </w:p>
          <w:p w14:paraId="05E2DA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九、封井环境影响分析</w:t>
            </w:r>
          </w:p>
          <w:p w14:paraId="22EA61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本项目为天然气评价井项目，封井分为临时封井和永久封井，当评价井具有开发价值时对其进行管网建设用于生产输送，或采取临时封井等待管网建设以及开发生产。当评价井不具有开发价值时，采取永久封井。</w:t>
            </w:r>
          </w:p>
          <w:p w14:paraId="29CF16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（1）临时封井</w:t>
            </w:r>
          </w:p>
          <w:p w14:paraId="0630BB9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临时封井时按行业规范进行封井作业，对钻井设备、基础进行拆除、搬迁，井口安装采气设施。在井口位置设标记，注明该井的启用与封闭时间及使用单位等，在封井结束后清理井场，</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59ABA8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（2）永久封井</w:t>
            </w:r>
          </w:p>
          <w:p w14:paraId="41B446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的目的主要包括：保护淡水层免受地层流体或地表水窜入的污染；隔离开采井段与未开采利用井段；保护地表土壤和地面水不受地层流体污染；隔离开污水的层段；封井措施按照中石油企业标准《废弃井封井处置规范》（QSH0653-2015）要求执行，关键性层段之间应隔离开，主要包括以下工作：</w:t>
            </w:r>
          </w:p>
          <w:p w14:paraId="1FEFB9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①隔离各个</w:t>
            </w:r>
            <w:r>
              <w:rPr>
                <w:rFonts w:hint="eastAsia" w:ascii="Times New Roman" w:hAnsi="Times New Roman" w:eastAsia="宋体" w:cs="Times New Roman"/>
                <w:b w:val="0"/>
                <w:bCs w:val="0"/>
                <w:color w:val="auto"/>
                <w:sz w:val="24"/>
                <w:szCs w:val="24"/>
                <w:vertAlign w:val="baseline"/>
                <w:lang w:val="en-US" w:eastAsia="zh-CN"/>
              </w:rPr>
              <w:t>采</w:t>
            </w:r>
            <w:r>
              <w:rPr>
                <w:rFonts w:hint="default" w:ascii="Times New Roman" w:hAnsi="Times New Roman" w:eastAsia="宋体" w:cs="Times New Roman"/>
                <w:b w:val="0"/>
                <w:bCs w:val="0"/>
                <w:color w:val="auto"/>
                <w:sz w:val="24"/>
                <w:szCs w:val="24"/>
                <w:vertAlign w:val="baseline"/>
                <w:lang w:val="en-US" w:eastAsia="zh-CN"/>
              </w:rPr>
              <w:t>气层和处理废水的层段，并在最下部淡水层的底部打一个水泥塞；</w:t>
            </w:r>
          </w:p>
          <w:p w14:paraId="518708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②打地表水泥塞，阻止地面水渗入井内，并流入淡水层，同时限制境内流体流出地表，从而保护土壤和地面水；</w:t>
            </w:r>
          </w:p>
          <w:p w14:paraId="7DE788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为防止层间窜流干扰邻井开发，在废弃井井内选择水泥塞或桥塞的位置，要确保隔离开已确认有生产能力的气层或注水层，使井内所有注采井段都被隔离开，将油气及注入液限值在各自的层段内，阻止各层之间的井内窜流；</w:t>
            </w:r>
          </w:p>
          <w:p w14:paraId="66F412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④恢复地貌，去掉井口装置和割掉一定深度以上的表层套管，使井与土地使用的矛盾最小化。</w:t>
            </w:r>
          </w:p>
          <w:p w14:paraId="7EA3E3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⑤封井后使用GPS重新定位，建立档案。</w:t>
            </w:r>
          </w:p>
          <w:p w14:paraId="690AAD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（3）其他影响</w:t>
            </w:r>
          </w:p>
          <w:p w14:paraId="063173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封井期还需对井场的地面设施进行拆除，在拆除过程中会产生少量扬尘，扬尘受影响人群主要为拆除人员，拆除时间较短，且与当地自然条件导致的风沙相比较，清理过程中扬尘造成的环境影响可忽略不计。</w:t>
            </w:r>
          </w:p>
          <w:p w14:paraId="42A60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封井之后需进行场地生态恢复，并进行植树种草，播撒种植当地适宜生长的草籽，以促进当地生态环境的恢复，项目占地面积较小，故对生态环境影响较小。</w:t>
            </w:r>
          </w:p>
          <w:p w14:paraId="17FD99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综上，项目封井对周边环境影响较小。</w:t>
            </w:r>
          </w:p>
        </w:tc>
      </w:tr>
      <w:tr w14:paraId="58C4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4D2C5AF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运营期生态环境影响分析</w:t>
            </w:r>
          </w:p>
        </w:tc>
        <w:tc>
          <w:tcPr>
            <w:tcW w:w="8629" w:type="dxa"/>
            <w:vAlign w:val="center"/>
          </w:tcPr>
          <w:p w14:paraId="684E3A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本项目为天然气评价井的钻井工程，使用功能为天然气勘探、完井并测试，不涉及运营期。</w:t>
            </w:r>
          </w:p>
        </w:tc>
      </w:tr>
      <w:tr w14:paraId="4BA3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top"/>
          </w:tcPr>
          <w:p w14:paraId="12F9E06C">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选址选线环境合理性分析</w:t>
            </w:r>
          </w:p>
        </w:tc>
        <w:tc>
          <w:tcPr>
            <w:tcW w:w="8629" w:type="dxa"/>
            <w:vAlign w:val="top"/>
          </w:tcPr>
          <w:p w14:paraId="2B8B7BE4">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1.</w:t>
            </w:r>
            <w:r>
              <w:rPr>
                <w:rFonts w:hint="default" w:ascii="Times New Roman" w:hAnsi="Times New Roman" w:cs="Times New Roman"/>
                <w:b/>
                <w:color w:val="auto"/>
                <w:kern w:val="0"/>
                <w:sz w:val="24"/>
              </w:rPr>
              <w:t>占地合理性</w:t>
            </w:r>
          </w:p>
          <w:p w14:paraId="160FD0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highlight w:val="none"/>
              </w:rPr>
            </w:pPr>
            <w:r>
              <w:rPr>
                <w:color w:val="auto"/>
                <w:sz w:val="24"/>
                <w:highlight w:val="none"/>
              </w:rPr>
              <w:t>本项目</w:t>
            </w:r>
            <w:r>
              <w:rPr>
                <w:rFonts w:hint="eastAsia"/>
                <w:color w:val="auto"/>
                <w:sz w:val="24"/>
                <w:highlight w:val="none"/>
                <w:lang w:val="en-US" w:eastAsia="zh-CN"/>
              </w:rPr>
              <w:t>探井</w:t>
            </w:r>
            <w:r>
              <w:rPr>
                <w:color w:val="auto"/>
                <w:sz w:val="24"/>
                <w:highlight w:val="none"/>
              </w:rPr>
              <w:t>勘探</w:t>
            </w:r>
            <w:r>
              <w:rPr>
                <w:rFonts w:hint="eastAsia"/>
                <w:color w:val="auto"/>
                <w:sz w:val="24"/>
                <w:highlight w:val="none"/>
                <w:lang w:val="en-US" w:eastAsia="zh-CN"/>
              </w:rPr>
              <w:t>测试</w:t>
            </w:r>
            <w:r>
              <w:rPr>
                <w:color w:val="auto"/>
                <w:sz w:val="24"/>
                <w:highlight w:val="none"/>
              </w:rPr>
              <w:t>后如有开采价值，将依法办理国土征地手续等，无开采价值将恢复原貌</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本项目临时</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占地面积</w:t>
            </w:r>
            <w:r>
              <w:rPr>
                <w:rFonts w:hint="eastAsia" w:ascii="Times New Roman" w:hAnsi="Times New Roman" w:eastAsia="宋体" w:cs="Times New Roman"/>
                <w:color w:val="auto"/>
                <w:sz w:val="24"/>
                <w:szCs w:val="24"/>
                <w:highlight w:val="none"/>
                <w:lang w:val="en-US" w:eastAsia="zh-CN"/>
              </w:rPr>
              <w:t>12801.6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bCs/>
                <w:color w:val="auto"/>
                <w:sz w:val="24"/>
                <w:szCs w:val="24"/>
                <w:highlight w:val="none"/>
                <w:lang w:val="en-US" w:eastAsia="zh-CN" w:bidi="ar"/>
              </w:rPr>
              <w:t>目前正在办理临时用地手续，</w:t>
            </w:r>
            <w:r>
              <w:rPr>
                <w:rFonts w:hint="default" w:ascii="Times New Roman" w:hAnsi="Times New Roman" w:eastAsia="宋体" w:cs="Times New Roman"/>
                <w:color w:val="auto"/>
                <w:sz w:val="24"/>
                <w:szCs w:val="24"/>
                <w:highlight w:val="none"/>
                <w:lang w:val="en-US" w:eastAsia="zh-CN"/>
              </w:rPr>
              <w:t>占地类型主要为</w:t>
            </w:r>
            <w:r>
              <w:rPr>
                <w:rFonts w:hint="eastAsia" w:ascii="Times New Roman" w:hAnsi="Times New Roman" w:eastAsia="宋体" w:cs="Times New Roman"/>
                <w:color w:val="auto"/>
                <w:sz w:val="24"/>
                <w:szCs w:val="24"/>
                <w:highlight w:val="none"/>
                <w:lang w:val="en-US" w:eastAsia="zh-CN"/>
              </w:rPr>
              <w:t>园地、</w:t>
            </w:r>
            <w:r>
              <w:rPr>
                <w:rFonts w:hint="eastAsia"/>
                <w:bCs/>
                <w:color w:val="auto"/>
                <w:sz w:val="24"/>
                <w:szCs w:val="24"/>
                <w:highlight w:val="none"/>
                <w:lang w:val="en-US" w:eastAsia="zh-CN" w:bidi="ar"/>
              </w:rPr>
              <w:t>林地和草地，</w:t>
            </w:r>
            <w:r>
              <w:rPr>
                <w:rFonts w:hint="default" w:ascii="Times New Roman" w:hAnsi="Times New Roman" w:cs="Times New Roman"/>
                <w:color w:val="auto"/>
                <w:sz w:val="24"/>
                <w:highlight w:val="none"/>
                <w:lang w:eastAsia="zh-CN"/>
              </w:rPr>
              <w:t>不涉及基本农田、生态红线和禁止建设区，</w:t>
            </w:r>
            <w:r>
              <w:rPr>
                <w:rFonts w:hint="eastAsia" w:ascii="Times New Roman" w:hAnsi="Times New Roman" w:eastAsia="宋体" w:cs="Times New Roman"/>
                <w:bCs/>
                <w:snapToGrid w:val="0"/>
                <w:color w:val="auto"/>
                <w:kern w:val="0"/>
                <w:sz w:val="24"/>
                <w:highlight w:val="none"/>
              </w:rPr>
              <w:t>项目建设符合榆林市投资项目选址“一张图”控制线要求</w:t>
            </w:r>
            <w:r>
              <w:rPr>
                <w:rFonts w:hint="eastAsia" w:ascii="Times New Roman" w:hAnsi="Times New Roman" w:eastAsia="宋体" w:cs="Times New Roman"/>
                <w:bCs/>
                <w:snapToGrid w:val="0"/>
                <w:color w:val="auto"/>
                <w:kern w:val="0"/>
                <w:sz w:val="24"/>
                <w:highlight w:val="none"/>
                <w:lang w:eastAsia="zh-CN"/>
              </w:rPr>
              <w:t>，</w:t>
            </w:r>
            <w:r>
              <w:rPr>
                <w:rFonts w:hint="eastAsia" w:ascii="Times New Roman" w:hAnsi="Times New Roman" w:eastAsia="宋体" w:cs="Times New Roman"/>
                <w:bCs/>
                <w:snapToGrid w:val="0"/>
                <w:color w:val="auto"/>
                <w:kern w:val="0"/>
                <w:sz w:val="24"/>
                <w:highlight w:val="none"/>
                <w:lang w:val="en-US" w:eastAsia="zh-CN"/>
              </w:rPr>
              <w:t>故项目</w:t>
            </w:r>
            <w:r>
              <w:rPr>
                <w:rFonts w:hint="default" w:ascii="Times New Roman" w:hAnsi="Times New Roman" w:cs="Times New Roman"/>
                <w:color w:val="auto"/>
                <w:sz w:val="24"/>
                <w:highlight w:val="none"/>
              </w:rPr>
              <w:t>占地合理。</w:t>
            </w:r>
          </w:p>
          <w:p w14:paraId="1CAF6A93">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highlight w:val="none"/>
              </w:rPr>
              <w:t>选址合理性</w:t>
            </w:r>
          </w:p>
          <w:p w14:paraId="625D5F42">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项目位于</w:t>
            </w:r>
            <w:r>
              <w:rPr>
                <w:rFonts w:hint="eastAsia" w:ascii="Times New Roman" w:hAnsi="Times New Roman" w:eastAsia="宋体" w:cs="Times New Roman"/>
                <w:color w:val="auto"/>
                <w:sz w:val="24"/>
                <w:szCs w:val="24"/>
                <w:highlight w:val="none"/>
                <w:lang w:val="en-US" w:eastAsia="zh-CN"/>
              </w:rPr>
              <w:t>榆林市佳县通镇</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临时</w:t>
            </w:r>
            <w:r>
              <w:rPr>
                <w:rFonts w:hint="default" w:ascii="Times New Roman" w:hAnsi="Times New Roman" w:eastAsia="宋体" w:cs="Times New Roman"/>
                <w:color w:val="auto"/>
                <w:sz w:val="24"/>
                <w:szCs w:val="24"/>
                <w:highlight w:val="none"/>
                <w:lang w:val="en-US" w:eastAsia="zh-CN"/>
              </w:rPr>
              <w:t>占地类型主要为</w:t>
            </w:r>
            <w:r>
              <w:rPr>
                <w:rFonts w:hint="eastAsia" w:ascii="Times New Roman" w:hAnsi="Times New Roman" w:eastAsia="宋体" w:cs="Times New Roman"/>
                <w:color w:val="auto"/>
                <w:sz w:val="24"/>
                <w:szCs w:val="24"/>
                <w:highlight w:val="none"/>
                <w:lang w:val="en-US" w:eastAsia="zh-CN"/>
              </w:rPr>
              <w:t>园地、</w:t>
            </w:r>
            <w:r>
              <w:rPr>
                <w:rFonts w:hint="eastAsia"/>
                <w:bCs/>
                <w:color w:val="auto"/>
                <w:sz w:val="24"/>
                <w:szCs w:val="24"/>
                <w:highlight w:val="none"/>
                <w:lang w:val="en-US" w:eastAsia="zh-CN" w:bidi="ar"/>
              </w:rPr>
              <w:t>林地和草地</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rPr>
              <w:t>不</w:t>
            </w:r>
            <w:r>
              <w:rPr>
                <w:rFonts w:hint="default" w:ascii="Times New Roman" w:hAnsi="Times New Roman" w:cs="Times New Roman"/>
                <w:color w:val="auto"/>
                <w:sz w:val="24"/>
                <w:szCs w:val="24"/>
                <w:highlight w:val="none"/>
                <w:lang w:eastAsia="zh-CN"/>
              </w:rPr>
              <w:t>占用</w:t>
            </w:r>
            <w:r>
              <w:rPr>
                <w:rFonts w:hint="default" w:ascii="Times New Roman" w:hAnsi="Times New Roman" w:cs="Times New Roman"/>
                <w:color w:val="auto"/>
                <w:sz w:val="24"/>
                <w:szCs w:val="24"/>
                <w:highlight w:val="none"/>
              </w:rPr>
              <w:t>基本农田</w:t>
            </w:r>
            <w:r>
              <w:rPr>
                <w:rFonts w:hint="default" w:ascii="Times New Roman" w:hAnsi="Times New Roman" w:cs="Times New Roman"/>
                <w:color w:val="auto"/>
                <w:sz w:val="24"/>
                <w:szCs w:val="24"/>
                <w:highlight w:val="none"/>
                <w:lang w:eastAsia="zh-CN"/>
              </w:rPr>
              <w:t>和生态红线</w:t>
            </w:r>
            <w:r>
              <w:rPr>
                <w:rFonts w:hint="default" w:ascii="Times New Roman" w:hAnsi="Times New Roman" w:cs="Times New Roman"/>
                <w:color w:val="auto"/>
                <w:sz w:val="24"/>
                <w:szCs w:val="24"/>
                <w:highlight w:val="none"/>
              </w:rPr>
              <w:t>。根据《建设项目环境影响评价分类管理名录（2021年版）》中关于环境敏感因素的界定原则，本项目影响区不涉及饮用水水源保护区、自然保护区、风景名胜区等环境敏感区域。</w:t>
            </w:r>
          </w:p>
          <w:p w14:paraId="5674DD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项目探井建设</w:t>
            </w:r>
            <w:r>
              <w:rPr>
                <w:rFonts w:hint="default" w:ascii="Times New Roman" w:hAnsi="Times New Roman" w:eastAsia="宋体" w:cs="Times New Roman"/>
                <w:color w:val="auto"/>
                <w:sz w:val="24"/>
                <w:szCs w:val="24"/>
                <w:highlight w:val="none"/>
                <w:lang w:val="en-US" w:eastAsia="zh-CN"/>
              </w:rPr>
              <w:t>临时用地较小，工程仅涉及施工期，施工期采取各类措施后污染物可实现达标排放或不外排</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施工结束后，对不具有利用价值的勘探井进行永久封井，</w:t>
            </w:r>
            <w:r>
              <w:rPr>
                <w:rFonts w:hint="eastAsia" w:ascii="Times New Roman" w:hAnsi="Times New Roman" w:eastAsia="宋体" w:cs="Times New Roman"/>
                <w:color w:val="auto"/>
                <w:sz w:val="24"/>
                <w:szCs w:val="24"/>
                <w:highlight w:val="none"/>
                <w:lang w:val="en-US" w:eastAsia="zh-CN"/>
              </w:rPr>
              <w:t>现有井场内占地恢复原状，临时占地</w:t>
            </w:r>
            <w:r>
              <w:rPr>
                <w:rFonts w:hint="default" w:ascii="Times New Roman" w:hAnsi="Times New Roman" w:eastAsia="宋体" w:cs="Times New Roman"/>
                <w:color w:val="auto"/>
                <w:sz w:val="24"/>
                <w:szCs w:val="24"/>
                <w:highlight w:val="none"/>
              </w:rPr>
              <w:t>恢复原土地类型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若测试具有工业产能，</w:t>
            </w:r>
            <w:r>
              <w:rPr>
                <w:rFonts w:hint="eastAsia" w:ascii="Times New Roman" w:hAnsi="Times New Roman" w:eastAsia="宋体" w:cs="Times New Roman"/>
                <w:color w:val="auto"/>
                <w:sz w:val="24"/>
                <w:szCs w:val="24"/>
                <w:highlight w:val="none"/>
                <w:lang w:val="en-US" w:eastAsia="zh-CN"/>
              </w:rPr>
              <w:t>交</w:t>
            </w:r>
            <w:r>
              <w:rPr>
                <w:rFonts w:hint="default" w:ascii="Times New Roman" w:hAnsi="Times New Roman" w:cs="Times New Roman"/>
                <w:color w:val="auto"/>
                <w:sz w:val="24"/>
                <w:szCs w:val="24"/>
                <w:highlight w:val="none"/>
                <w:lang w:val="en-US" w:eastAsia="zh-CN"/>
              </w:rPr>
              <w:t>长庆油田分公司第二采气厂</w:t>
            </w:r>
            <w:r>
              <w:rPr>
                <w:rFonts w:hint="eastAsia" w:ascii="Times New Roman" w:hAnsi="Times New Roman" w:eastAsia="宋体" w:cs="Times New Roman"/>
                <w:color w:val="auto"/>
                <w:sz w:val="24"/>
                <w:szCs w:val="24"/>
                <w:highlight w:val="none"/>
                <w:lang w:val="en-US" w:eastAsia="zh-CN"/>
              </w:rPr>
              <w:t>按标准化建设进行建设，临时占地不恢复。经分析，项目建设</w:t>
            </w:r>
            <w:r>
              <w:rPr>
                <w:rFonts w:hint="default" w:ascii="Times New Roman" w:hAnsi="Times New Roman" w:eastAsia="宋体" w:cs="Times New Roman"/>
                <w:color w:val="auto"/>
                <w:sz w:val="24"/>
                <w:szCs w:val="24"/>
                <w:highlight w:val="none"/>
                <w:lang w:val="en-US" w:eastAsia="zh-CN"/>
              </w:rPr>
              <w:t>符合榆林市</w:t>
            </w:r>
            <w:r>
              <w:rPr>
                <w:rFonts w:hint="default" w:ascii="Times New Roman" w:hAnsi="Times New Roman" w:eastAsia="宋体" w:cs="Times New Roman"/>
                <w:color w:val="auto"/>
                <w:sz w:val="24"/>
                <w:szCs w:val="24"/>
                <w:highlight w:val="none"/>
              </w:rPr>
              <w:t>生态环境分区管控</w:t>
            </w:r>
            <w:r>
              <w:rPr>
                <w:rFonts w:hint="default" w:ascii="Times New Roman" w:hAnsi="Times New Roman" w:eastAsia="宋体" w:cs="Times New Roman"/>
                <w:color w:val="auto"/>
                <w:sz w:val="24"/>
                <w:szCs w:val="24"/>
                <w:highlight w:val="none"/>
                <w:lang w:val="en-US" w:eastAsia="zh-CN"/>
              </w:rPr>
              <w:t>中一般管控单元要求。</w:t>
            </w:r>
          </w:p>
          <w:p w14:paraId="3221545B">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color w:val="auto"/>
                <w:sz w:val="24"/>
                <w:highlight w:val="none"/>
                <w:lang w:val="en-US" w:eastAsia="zh-CN"/>
              </w:rPr>
              <w:t>本次新建1口气勘探层位与探井周边已有气井层位不同，属于新气层层位勘探</w:t>
            </w:r>
            <w:r>
              <w:rPr>
                <w:rFonts w:hint="eastAsia" w:ascii="Times New Roman" w:hAnsi="Times New Roman" w:eastAsia="宋体" w:cs="Times New Roman"/>
                <w:b w:val="0"/>
                <w:color w:val="auto"/>
                <w:sz w:val="24"/>
                <w:szCs w:val="24"/>
                <w:highlight w:val="none"/>
                <w:lang w:val="en-US" w:eastAsia="zh-CN"/>
              </w:rPr>
              <w:t>，符合天然气探井勘探布局要求，旨在现有气田区域内</w:t>
            </w:r>
            <w:r>
              <w:rPr>
                <w:rFonts w:hint="default" w:ascii="Times New Roman" w:hAnsi="Times New Roman" w:eastAsia="宋体" w:cs="Times New Roman"/>
                <w:color w:val="auto"/>
                <w:sz w:val="24"/>
                <w:highlight w:val="none"/>
              </w:rPr>
              <w:t>寻找新的适合开发的</w:t>
            </w:r>
            <w:r>
              <w:rPr>
                <w:rFonts w:hint="eastAsia" w:ascii="Times New Roman" w:hAnsi="Times New Roman" w:eastAsia="宋体" w:cs="Times New Roman"/>
                <w:color w:val="auto"/>
                <w:sz w:val="24"/>
                <w:highlight w:val="none"/>
                <w:lang w:val="en-US" w:eastAsia="zh-CN"/>
              </w:rPr>
              <w:t>气藏</w:t>
            </w:r>
            <w:r>
              <w:rPr>
                <w:rFonts w:hint="default" w:ascii="Times New Roman" w:hAnsi="Times New Roman" w:eastAsia="宋体" w:cs="Times New Roman"/>
                <w:color w:val="auto"/>
                <w:sz w:val="24"/>
                <w:highlight w:val="none"/>
              </w:rPr>
              <w:t>层位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为气田后续产能建设提供决策依据</w:t>
            </w:r>
            <w:r>
              <w:rPr>
                <w:rFonts w:hint="default" w:ascii="Times New Roman" w:hAnsi="Times New Roman" w:eastAsia="宋体" w:cs="Times New Roman"/>
                <w:b w:val="0"/>
                <w:color w:val="auto"/>
                <w:kern w:val="2"/>
                <w:sz w:val="24"/>
                <w:szCs w:val="24"/>
                <w:highlight w:val="none"/>
                <w:lang w:val="en-US" w:eastAsia="zh-CN" w:bidi="ar-SA"/>
              </w:rPr>
              <w:t>。</w:t>
            </w:r>
          </w:p>
          <w:p w14:paraId="7D5879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val="0"/>
                <w:color w:val="auto"/>
                <w:kern w:val="2"/>
                <w:sz w:val="24"/>
                <w:szCs w:val="24"/>
                <w:highlight w:val="none"/>
                <w:lang w:val="en-US" w:eastAsia="zh-CN" w:bidi="ar-SA"/>
              </w:rPr>
              <w:t>据现场调查，本项目探井</w:t>
            </w:r>
            <w:r>
              <w:rPr>
                <w:rFonts w:hint="eastAsia" w:ascii="Times New Roman" w:hAnsi="Times New Roman" w:eastAsia="宋体" w:cs="Times New Roman"/>
                <w:b w:val="0"/>
                <w:color w:val="auto"/>
                <w:kern w:val="2"/>
                <w:sz w:val="24"/>
                <w:szCs w:val="24"/>
                <w:highlight w:val="none"/>
                <w:lang w:val="en-US" w:eastAsia="zh-CN" w:bidi="ar-SA"/>
              </w:rPr>
              <w:t>5</w:t>
            </w:r>
            <w:r>
              <w:rPr>
                <w:rFonts w:hint="default" w:ascii="Times New Roman" w:hAnsi="Times New Roman" w:eastAsia="宋体" w:cs="Times New Roman"/>
                <w:b w:val="0"/>
                <w:color w:val="auto"/>
                <w:kern w:val="2"/>
                <w:sz w:val="24"/>
                <w:szCs w:val="24"/>
                <w:highlight w:val="none"/>
                <w:lang w:val="en-US" w:eastAsia="zh-CN" w:bidi="ar-SA"/>
              </w:rPr>
              <w:t>00m范围内无学校、医院和大型油库等密集型、高危性场所，</w:t>
            </w:r>
            <w:r>
              <w:rPr>
                <w:rFonts w:hint="eastAsia" w:ascii="Times New Roman" w:hAnsi="Times New Roman" w:eastAsia="宋体" w:cs="Times New Roman"/>
                <w:b w:val="0"/>
                <w:color w:val="auto"/>
                <w:kern w:val="2"/>
                <w:sz w:val="24"/>
                <w:szCs w:val="24"/>
                <w:highlight w:val="none"/>
                <w:lang w:val="en-US" w:eastAsia="zh-CN" w:bidi="ar-SA"/>
              </w:rPr>
              <w:t>100</w:t>
            </w:r>
            <w:r>
              <w:rPr>
                <w:rFonts w:hint="default" w:ascii="Times New Roman" w:hAnsi="Times New Roman" w:eastAsia="宋体" w:cs="Times New Roman"/>
                <w:b w:val="0"/>
                <w:color w:val="auto"/>
                <w:kern w:val="2"/>
                <w:sz w:val="24"/>
                <w:szCs w:val="24"/>
                <w:highlight w:val="none"/>
                <w:lang w:val="en-US" w:eastAsia="zh-CN" w:bidi="ar-SA"/>
              </w:rPr>
              <w:t>m范围内无高压线及其它永久性设施，</w:t>
            </w:r>
            <w:r>
              <w:rPr>
                <w:rFonts w:hint="eastAsia" w:ascii="Times New Roman" w:hAnsi="Times New Roman" w:eastAsia="宋体" w:cs="Times New Roman"/>
                <w:b w:val="0"/>
                <w:color w:val="auto"/>
                <w:kern w:val="2"/>
                <w:sz w:val="24"/>
                <w:szCs w:val="24"/>
                <w:highlight w:val="none"/>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00m范围内无铁路、高速公路等，</w:t>
            </w:r>
            <w:r>
              <w:rPr>
                <w:rFonts w:hint="eastAsia" w:ascii="Times New Roman" w:hAnsi="Times New Roman" w:eastAsia="宋体" w:cs="Times New Roman"/>
                <w:b w:val="0"/>
                <w:color w:val="auto"/>
                <w:kern w:val="2"/>
                <w:sz w:val="24"/>
                <w:szCs w:val="24"/>
                <w:highlight w:val="none"/>
                <w:lang w:val="en-US" w:eastAsia="zh-CN" w:bidi="ar-SA"/>
              </w:rPr>
              <w:t>100m范围内无居民点，探井选址</w:t>
            </w:r>
            <w:r>
              <w:rPr>
                <w:rFonts w:hint="default" w:ascii="Times New Roman" w:hAnsi="Times New Roman" w:cs="Times New Roman"/>
                <w:color w:val="auto"/>
                <w:sz w:val="24"/>
                <w:highlight w:val="none"/>
              </w:rPr>
              <w:t>符合《钻前工程及井场布置技术要求》（SY/T5466-2013）中3.2.2节规定。</w:t>
            </w:r>
            <w:r>
              <w:rPr>
                <w:rFonts w:hint="eastAsia" w:ascii="Times New Roman" w:hAnsi="Times New Roman" w:cs="Times New Roman"/>
                <w:color w:val="auto"/>
                <w:sz w:val="24"/>
                <w:highlight w:val="none"/>
                <w:lang w:val="en-US" w:eastAsia="zh-CN"/>
              </w:rPr>
              <w:t>根据项目施工期平面布置图，放喷池位于井场歪，与井口距离大于30m，放散管位于井场外下风向，与井口距离大于50m，</w:t>
            </w:r>
            <w:r>
              <w:rPr>
                <w:rFonts w:hint="default" w:ascii="Times New Roman" w:hAnsi="Times New Roman" w:cs="Times New Roman"/>
                <w:color w:val="auto"/>
                <w:sz w:val="24"/>
                <w:highlight w:val="none"/>
              </w:rPr>
              <w:t>符合《钻前工程及井场布置技术要求》（SY/T5466-2013）</w:t>
            </w:r>
            <w:r>
              <w:rPr>
                <w:rFonts w:hint="eastAsia" w:ascii="Times New Roman" w:hAnsi="Times New Roman" w:cs="Times New Roman"/>
                <w:color w:val="auto"/>
                <w:sz w:val="24"/>
                <w:highlight w:val="none"/>
                <w:lang w:val="en-US" w:eastAsia="zh-CN"/>
              </w:rPr>
              <w:t>相关</w:t>
            </w:r>
            <w:r>
              <w:rPr>
                <w:rFonts w:hint="default" w:ascii="Times New Roman" w:hAnsi="Times New Roman" w:cs="Times New Roman"/>
                <w:color w:val="auto"/>
                <w:sz w:val="24"/>
                <w:highlight w:val="none"/>
              </w:rPr>
              <w:t>规定</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放喷池和放散管选址合理</w:t>
            </w:r>
            <w:r>
              <w:rPr>
                <w:rFonts w:hint="eastAsia" w:ascii="Times New Roman" w:hAnsi="Times New Roman" w:cs="Times New Roman"/>
                <w:color w:val="auto"/>
                <w:sz w:val="24"/>
                <w:highlight w:val="none"/>
                <w:lang w:eastAsia="zh-CN"/>
              </w:rPr>
              <w:t>。</w:t>
            </w:r>
          </w:p>
          <w:p w14:paraId="57F847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4"/>
                <w:szCs w:val="24"/>
                <w:highlight w:val="none"/>
                <w:lang w:val="en-US" w:eastAsia="zh-CN" w:bidi="ar-SA"/>
              </w:rPr>
              <w:t>项目选址与重要设施或民宅的距离下表4-</w:t>
            </w:r>
            <w:r>
              <w:rPr>
                <w:rFonts w:hint="eastAsia" w:ascii="Times New Roman" w:hAnsi="Times New Roman" w:eastAsia="宋体" w:cs="Times New Roman"/>
                <w:b w:val="0"/>
                <w:color w:val="auto"/>
                <w:kern w:val="2"/>
                <w:sz w:val="24"/>
                <w:szCs w:val="24"/>
                <w:highlight w:val="none"/>
                <w:lang w:val="en-US" w:eastAsia="zh-CN" w:bidi="ar-SA"/>
              </w:rPr>
              <w:t>14</w:t>
            </w:r>
            <w:r>
              <w:rPr>
                <w:rFonts w:hint="default" w:ascii="Times New Roman" w:hAnsi="Times New Roman" w:eastAsia="宋体" w:cs="Times New Roman"/>
                <w:b w:val="0"/>
                <w:color w:val="auto"/>
                <w:kern w:val="2"/>
                <w:sz w:val="24"/>
                <w:szCs w:val="24"/>
                <w:highlight w:val="none"/>
                <w:lang w:val="en-US" w:eastAsia="zh-CN" w:bidi="ar-SA"/>
              </w:rPr>
              <w:t>和附图。</w:t>
            </w:r>
          </w:p>
          <w:p w14:paraId="04E0AA5B">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Chars="0"/>
              <w:jc w:val="center"/>
              <w:textAlignment w:val="auto"/>
              <w:rPr>
                <w:rFonts w:hint="default" w:ascii="Times New Roman" w:hAnsi="Times New Roman" w:eastAsia="等线"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cs="Times New Roman"/>
                <w:color w:val="auto"/>
                <w:sz w:val="21"/>
                <w:szCs w:val="21"/>
              </w:rPr>
              <w:t>4-</w:t>
            </w:r>
            <w:r>
              <w:rPr>
                <w:rFonts w:hint="eastAsia" w:cs="Times New Roman"/>
                <w:color w:val="auto"/>
                <w:sz w:val="21"/>
                <w:szCs w:val="21"/>
                <w:lang w:val="en-US" w:eastAsia="zh-CN"/>
              </w:rPr>
              <w:t>14</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 </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钻井井口周边</w:t>
            </w:r>
            <w:r>
              <w:rPr>
                <w:rFonts w:hint="default" w:ascii="Times New Roman" w:hAnsi="Times New Roman" w:eastAsia="宋体" w:cs="Times New Roman"/>
                <w:color w:val="auto"/>
                <w:sz w:val="21"/>
                <w:szCs w:val="21"/>
              </w:rPr>
              <w:t>敏感目标调查表</w:t>
            </w:r>
          </w:p>
          <w:tbl>
            <w:tblPr>
              <w:tblStyle w:val="19"/>
              <w:tblW w:w="5000" w:type="pct"/>
              <w:jc w:val="center"/>
              <w:tblLayout w:type="autofit"/>
              <w:tblCellMar>
                <w:top w:w="0" w:type="dxa"/>
                <w:left w:w="108" w:type="dxa"/>
                <w:bottom w:w="0" w:type="dxa"/>
                <w:right w:w="108" w:type="dxa"/>
              </w:tblCellMar>
            </w:tblPr>
            <w:tblGrid>
              <w:gridCol w:w="913"/>
              <w:gridCol w:w="1431"/>
              <w:gridCol w:w="1419"/>
              <w:gridCol w:w="761"/>
              <w:gridCol w:w="671"/>
              <w:gridCol w:w="518"/>
              <w:gridCol w:w="444"/>
              <w:gridCol w:w="525"/>
              <w:gridCol w:w="505"/>
              <w:gridCol w:w="625"/>
              <w:gridCol w:w="674"/>
              <w:gridCol w:w="220"/>
            </w:tblGrid>
            <w:tr w14:paraId="53FC158C">
              <w:tblPrEx>
                <w:tblCellMar>
                  <w:top w:w="0" w:type="dxa"/>
                  <w:left w:w="108" w:type="dxa"/>
                  <w:bottom w:w="0" w:type="dxa"/>
                  <w:right w:w="108" w:type="dxa"/>
                </w:tblCellMar>
              </w:tblPrEx>
              <w:trPr>
                <w:trHeight w:val="283" w:hRule="atLeast"/>
                <w:jc w:val="center"/>
              </w:trPr>
              <w:tc>
                <w:tcPr>
                  <w:tcW w:w="464" w:type="pct"/>
                  <w:vMerge w:val="restart"/>
                  <w:tcBorders>
                    <w:top w:val="single" w:color="auto" w:sz="4" w:space="0"/>
                    <w:left w:val="single" w:color="auto" w:sz="4" w:space="0"/>
                    <w:bottom w:val="single" w:color="auto" w:sz="4" w:space="0"/>
                    <w:right w:val="single" w:color="auto" w:sz="4" w:space="0"/>
                  </w:tcBorders>
                  <w:noWrap/>
                  <w:vAlign w:val="center"/>
                </w:tcPr>
                <w:p w14:paraId="44CE837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lang w:val="en-US" w:eastAsia="zh-CN"/>
                    </w:rPr>
                    <w:t>实施</w:t>
                  </w:r>
                  <w:r>
                    <w:rPr>
                      <w:rFonts w:hint="default" w:ascii="Times New Roman" w:hAnsi="Times New Roman" w:cs="Times New Roman"/>
                      <w:b/>
                      <w:bCs/>
                      <w:color w:val="auto"/>
                      <w:kern w:val="0"/>
                      <w:sz w:val="21"/>
                      <w:szCs w:val="21"/>
                    </w:rPr>
                    <w:t>井号</w:t>
                  </w:r>
                </w:p>
              </w:tc>
              <w:tc>
                <w:tcPr>
                  <w:tcW w:w="1627" w:type="pct"/>
                  <w:gridSpan w:val="2"/>
                  <w:tcBorders>
                    <w:top w:val="single" w:color="auto" w:sz="4" w:space="0"/>
                    <w:left w:val="nil"/>
                    <w:bottom w:val="single" w:color="auto" w:sz="4" w:space="0"/>
                    <w:right w:val="single" w:color="auto" w:sz="4" w:space="0"/>
                  </w:tcBorders>
                  <w:noWrap/>
                  <w:vAlign w:val="center"/>
                </w:tcPr>
                <w:p w14:paraId="7706784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2"/>
                      <w:sz w:val="21"/>
                      <w:szCs w:val="21"/>
                      <w:highlight w:val="none"/>
                      <w:lang w:val="en-US" w:eastAsia="zh-CN" w:bidi="ar-SA"/>
                    </w:rPr>
                    <w:t>学校、医院和大型油库等密集型、高危性场所</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0FE43A4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民宅</w:t>
                  </w:r>
                </w:p>
              </w:tc>
              <w:tc>
                <w:tcPr>
                  <w:tcW w:w="550" w:type="pct"/>
                  <w:gridSpan w:val="2"/>
                  <w:tcBorders>
                    <w:top w:val="single" w:color="auto" w:sz="4" w:space="0"/>
                    <w:left w:val="single" w:color="auto" w:sz="4" w:space="0"/>
                    <w:bottom w:val="single" w:color="auto" w:sz="4" w:space="0"/>
                    <w:right w:val="single" w:color="auto" w:sz="4" w:space="0"/>
                  </w:tcBorders>
                  <w:noWrap/>
                  <w:vAlign w:val="center"/>
                </w:tcPr>
                <w:p w14:paraId="09779E3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高压线及其它</w:t>
                  </w:r>
                </w:p>
                <w:p w14:paraId="7BF01911">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永久性设施</w:t>
                  </w:r>
                </w:p>
              </w:tc>
              <w:tc>
                <w:tcPr>
                  <w:tcW w:w="669" w:type="pct"/>
                  <w:gridSpan w:val="2"/>
                  <w:tcBorders>
                    <w:top w:val="single" w:color="auto" w:sz="4" w:space="0"/>
                    <w:left w:val="nil"/>
                    <w:bottom w:val="single" w:color="auto" w:sz="4" w:space="0"/>
                    <w:right w:val="single" w:color="auto" w:sz="4" w:space="0"/>
                  </w:tcBorders>
                  <w:noWrap/>
                  <w:vAlign w:val="center"/>
                </w:tcPr>
                <w:p w14:paraId="00AB64F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铁路</w:t>
                  </w:r>
                </w:p>
              </w:tc>
              <w:tc>
                <w:tcPr>
                  <w:tcW w:w="742" w:type="pct"/>
                  <w:gridSpan w:val="2"/>
                  <w:tcBorders>
                    <w:top w:val="single" w:color="auto" w:sz="4" w:space="0"/>
                    <w:left w:val="nil"/>
                    <w:bottom w:val="single" w:color="auto" w:sz="4" w:space="0"/>
                    <w:right w:val="single" w:color="auto" w:sz="4" w:space="0"/>
                  </w:tcBorders>
                  <w:noWrap/>
                  <w:vAlign w:val="center"/>
                </w:tcPr>
                <w:p w14:paraId="29C23B7C">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高速公路</w:t>
                  </w:r>
                </w:p>
              </w:tc>
              <w:tc>
                <w:tcPr>
                  <w:tcW w:w="126" w:type="pct"/>
                  <w:vMerge w:val="restart"/>
                  <w:tcBorders>
                    <w:top w:val="single" w:color="auto" w:sz="4" w:space="0"/>
                    <w:left w:val="single" w:color="auto" w:sz="4" w:space="0"/>
                    <w:bottom w:val="single" w:color="auto" w:sz="4" w:space="0"/>
                    <w:right w:val="single" w:color="auto" w:sz="4" w:space="0"/>
                  </w:tcBorders>
                  <w:noWrap w:val="0"/>
                  <w:vAlign w:val="center"/>
                </w:tcPr>
                <w:p w14:paraId="15B3E78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是否符合要求</w:t>
                  </w:r>
                </w:p>
              </w:tc>
            </w:tr>
            <w:tr w14:paraId="05E5B58D">
              <w:tblPrEx>
                <w:tblCellMar>
                  <w:top w:w="0" w:type="dxa"/>
                  <w:left w:w="108" w:type="dxa"/>
                  <w:bottom w:w="0" w:type="dxa"/>
                  <w:right w:w="108" w:type="dxa"/>
                </w:tblCellMar>
              </w:tblPrEx>
              <w:trPr>
                <w:trHeight w:val="283" w:hRule="atLeast"/>
                <w:jc w:val="center"/>
              </w:trPr>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14:paraId="7CA50BE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p>
              </w:tc>
              <w:tc>
                <w:tcPr>
                  <w:tcW w:w="817" w:type="pct"/>
                  <w:tcBorders>
                    <w:top w:val="nil"/>
                    <w:left w:val="nil"/>
                    <w:bottom w:val="single" w:color="auto" w:sz="4" w:space="0"/>
                    <w:right w:val="single" w:color="auto" w:sz="4" w:space="0"/>
                  </w:tcBorders>
                  <w:noWrap/>
                  <w:vAlign w:val="center"/>
                </w:tcPr>
                <w:p w14:paraId="624DFB8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809" w:type="pct"/>
                  <w:tcBorders>
                    <w:top w:val="nil"/>
                    <w:left w:val="single" w:color="auto" w:sz="4" w:space="0"/>
                    <w:bottom w:val="single" w:color="auto" w:sz="4" w:space="0"/>
                    <w:right w:val="single" w:color="auto" w:sz="4" w:space="0"/>
                  </w:tcBorders>
                  <w:noWrap/>
                  <w:vAlign w:val="center"/>
                </w:tcPr>
                <w:p w14:paraId="248D302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438" w:type="pct"/>
                  <w:tcBorders>
                    <w:top w:val="nil"/>
                    <w:left w:val="single" w:color="auto" w:sz="4" w:space="0"/>
                    <w:bottom w:val="single" w:color="auto" w:sz="4" w:space="0"/>
                    <w:right w:val="single" w:color="auto" w:sz="4" w:space="0"/>
                  </w:tcBorders>
                  <w:noWrap/>
                  <w:vAlign w:val="center"/>
                </w:tcPr>
                <w:p w14:paraId="2984B85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80" w:type="pct"/>
                  <w:tcBorders>
                    <w:top w:val="nil"/>
                    <w:left w:val="single" w:color="auto" w:sz="4" w:space="0"/>
                    <w:bottom w:val="single" w:color="auto" w:sz="4" w:space="0"/>
                    <w:right w:val="single" w:color="auto" w:sz="4" w:space="0"/>
                  </w:tcBorders>
                  <w:noWrap/>
                  <w:vAlign w:val="center"/>
                </w:tcPr>
                <w:p w14:paraId="08672DB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00" w:type="pct"/>
                  <w:tcBorders>
                    <w:top w:val="nil"/>
                    <w:left w:val="single" w:color="auto" w:sz="4" w:space="0"/>
                    <w:bottom w:val="single" w:color="auto" w:sz="4" w:space="0"/>
                    <w:right w:val="single" w:color="auto" w:sz="4" w:space="0"/>
                  </w:tcBorders>
                  <w:noWrap/>
                  <w:vAlign w:val="center"/>
                </w:tcPr>
                <w:p w14:paraId="49294E9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249" w:type="pct"/>
                  <w:tcBorders>
                    <w:top w:val="nil"/>
                    <w:left w:val="single" w:color="auto" w:sz="4" w:space="0"/>
                    <w:bottom w:val="single" w:color="auto" w:sz="4" w:space="0"/>
                    <w:right w:val="single" w:color="auto" w:sz="4" w:space="0"/>
                  </w:tcBorders>
                  <w:noWrap/>
                  <w:vAlign w:val="center"/>
                </w:tcPr>
                <w:p w14:paraId="3DF707C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42" w:type="pct"/>
                  <w:tcBorders>
                    <w:top w:val="nil"/>
                    <w:left w:val="nil"/>
                    <w:bottom w:val="single" w:color="auto" w:sz="4" w:space="0"/>
                    <w:right w:val="single" w:color="auto" w:sz="4" w:space="0"/>
                  </w:tcBorders>
                  <w:noWrap/>
                  <w:vAlign w:val="center"/>
                </w:tcPr>
                <w:p w14:paraId="4AFBEAE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26" w:type="pct"/>
                  <w:tcBorders>
                    <w:top w:val="nil"/>
                    <w:left w:val="single" w:color="auto" w:sz="4" w:space="0"/>
                    <w:bottom w:val="single" w:color="auto" w:sz="4" w:space="0"/>
                    <w:right w:val="single" w:color="auto" w:sz="4" w:space="0"/>
                  </w:tcBorders>
                  <w:noWrap/>
                  <w:vAlign w:val="center"/>
                </w:tcPr>
                <w:p w14:paraId="52B960F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55" w:type="pct"/>
                  <w:tcBorders>
                    <w:top w:val="nil"/>
                    <w:left w:val="nil"/>
                    <w:bottom w:val="single" w:color="auto" w:sz="4" w:space="0"/>
                    <w:right w:val="single" w:color="auto" w:sz="4" w:space="0"/>
                  </w:tcBorders>
                  <w:noWrap/>
                  <w:vAlign w:val="center"/>
                </w:tcPr>
                <w:p w14:paraId="435B122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87" w:type="pct"/>
                  <w:tcBorders>
                    <w:top w:val="nil"/>
                    <w:left w:val="single" w:color="auto" w:sz="4" w:space="0"/>
                    <w:bottom w:val="single" w:color="auto" w:sz="4" w:space="0"/>
                    <w:right w:val="single" w:color="auto" w:sz="4" w:space="0"/>
                  </w:tcBorders>
                  <w:noWrap/>
                  <w:vAlign w:val="center"/>
                </w:tcPr>
                <w:p w14:paraId="01EDCBB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126" w:type="pct"/>
                  <w:vMerge w:val="continue"/>
                  <w:tcBorders>
                    <w:top w:val="single" w:color="auto" w:sz="4" w:space="0"/>
                    <w:left w:val="single" w:color="auto" w:sz="4" w:space="0"/>
                    <w:bottom w:val="single" w:color="auto" w:sz="4" w:space="0"/>
                    <w:right w:val="single" w:color="auto" w:sz="4" w:space="0"/>
                  </w:tcBorders>
                  <w:noWrap w:val="0"/>
                  <w:vAlign w:val="center"/>
                </w:tcPr>
                <w:p w14:paraId="225033C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p>
              </w:tc>
            </w:tr>
            <w:tr w14:paraId="6FEE4723">
              <w:tblPrEx>
                <w:tblCellMar>
                  <w:top w:w="0" w:type="dxa"/>
                  <w:left w:w="108" w:type="dxa"/>
                  <w:bottom w:w="0" w:type="dxa"/>
                  <w:right w:w="108" w:type="dxa"/>
                </w:tblCellMar>
              </w:tblPrEx>
              <w:trPr>
                <w:trHeight w:val="283" w:hRule="atLeast"/>
                <w:jc w:val="center"/>
              </w:trPr>
              <w:tc>
                <w:tcPr>
                  <w:tcW w:w="464" w:type="pct"/>
                  <w:tcBorders>
                    <w:top w:val="nil"/>
                    <w:left w:val="single" w:color="auto" w:sz="4" w:space="0"/>
                    <w:bottom w:val="single" w:color="auto" w:sz="4" w:space="0"/>
                    <w:right w:val="single" w:color="auto" w:sz="4" w:space="0"/>
                  </w:tcBorders>
                  <w:shd w:val="clear" w:color="auto" w:fill="auto"/>
                  <w:noWrap/>
                  <w:vAlign w:val="center"/>
                </w:tcPr>
                <w:p w14:paraId="46825A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en-US" w:bidi="ar-SA"/>
                    </w:rPr>
                  </w:pPr>
                  <w:r>
                    <w:rPr>
                      <w:rFonts w:hint="eastAsia" w:ascii="Times New Roman" w:hAnsi="Times New Roman" w:eastAsia="宋体" w:cs="Times New Roman"/>
                      <w:color w:val="auto"/>
                      <w:sz w:val="21"/>
                      <w:szCs w:val="21"/>
                      <w:u w:val="none"/>
                      <w:vertAlign w:val="baseline"/>
                      <w:lang w:val="en-US" w:eastAsia="zh-CN"/>
                    </w:rPr>
                    <w:t>米107-3MH</w:t>
                  </w:r>
                </w:p>
              </w:tc>
              <w:tc>
                <w:tcPr>
                  <w:tcW w:w="1627" w:type="pct"/>
                  <w:gridSpan w:val="2"/>
                  <w:tcBorders>
                    <w:top w:val="single" w:color="auto" w:sz="4" w:space="0"/>
                    <w:left w:val="nil"/>
                    <w:bottom w:val="single" w:color="auto" w:sz="4" w:space="0"/>
                    <w:right w:val="single" w:color="auto" w:sz="4" w:space="0"/>
                  </w:tcBorders>
                  <w:noWrap/>
                  <w:vAlign w:val="center"/>
                </w:tcPr>
                <w:p w14:paraId="1873C48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4F8351E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w:t>
                  </w:r>
                </w:p>
              </w:tc>
              <w:tc>
                <w:tcPr>
                  <w:tcW w:w="550" w:type="pct"/>
                  <w:gridSpan w:val="2"/>
                  <w:tcBorders>
                    <w:top w:val="single" w:color="auto" w:sz="4" w:space="0"/>
                    <w:left w:val="single" w:color="auto" w:sz="4" w:space="0"/>
                    <w:bottom w:val="single" w:color="auto" w:sz="4" w:space="0"/>
                    <w:right w:val="single" w:color="000000" w:sz="4" w:space="0"/>
                  </w:tcBorders>
                  <w:noWrap/>
                  <w:vAlign w:val="center"/>
                </w:tcPr>
                <w:p w14:paraId="23F2114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1330EFB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0CEDB09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669" w:type="pct"/>
                  <w:gridSpan w:val="2"/>
                  <w:tcBorders>
                    <w:top w:val="nil"/>
                    <w:left w:val="nil"/>
                    <w:bottom w:val="single" w:color="auto" w:sz="4" w:space="0"/>
                    <w:right w:val="single" w:color="auto" w:sz="4" w:space="0"/>
                  </w:tcBorders>
                  <w:noWrap/>
                  <w:vAlign w:val="center"/>
                </w:tcPr>
                <w:p w14:paraId="6B32D61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742" w:type="pct"/>
                  <w:gridSpan w:val="2"/>
                  <w:tcBorders>
                    <w:top w:val="single" w:color="auto" w:sz="4" w:space="0"/>
                    <w:left w:val="nil"/>
                    <w:bottom w:val="single" w:color="auto" w:sz="4" w:space="0"/>
                    <w:right w:val="single" w:color="000000" w:sz="4" w:space="0"/>
                  </w:tcBorders>
                  <w:noWrap/>
                  <w:vAlign w:val="center"/>
                </w:tcPr>
                <w:p w14:paraId="78276D9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126" w:type="pct"/>
                  <w:tcBorders>
                    <w:top w:val="nil"/>
                    <w:left w:val="nil"/>
                    <w:bottom w:val="single" w:color="auto" w:sz="4" w:space="0"/>
                    <w:right w:val="single" w:color="auto" w:sz="4" w:space="0"/>
                  </w:tcBorders>
                  <w:noWrap/>
                  <w:vAlign w:val="center"/>
                </w:tcPr>
                <w:p w14:paraId="2090C66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r>
            <w:tr w14:paraId="6B6C85CF">
              <w:tblPrEx>
                <w:tblCellMar>
                  <w:top w:w="0" w:type="dxa"/>
                  <w:left w:w="108" w:type="dxa"/>
                  <w:bottom w:w="0" w:type="dxa"/>
                  <w:right w:w="108" w:type="dxa"/>
                </w:tblCellMar>
              </w:tblPrEx>
              <w:trPr>
                <w:trHeight w:val="283" w:hRule="atLeast"/>
                <w:jc w:val="center"/>
              </w:trPr>
              <w:tc>
                <w:tcPr>
                  <w:tcW w:w="464" w:type="pct"/>
                  <w:tcBorders>
                    <w:top w:val="single" w:color="auto" w:sz="4" w:space="0"/>
                    <w:left w:val="single" w:color="auto" w:sz="4" w:space="0"/>
                    <w:bottom w:val="single" w:color="auto" w:sz="4" w:space="0"/>
                    <w:right w:val="single" w:color="auto" w:sz="4" w:space="0"/>
                  </w:tcBorders>
                  <w:noWrap/>
                  <w:vAlign w:val="center"/>
                </w:tcPr>
                <w:p w14:paraId="188C417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规范要求</w:t>
                  </w:r>
                </w:p>
              </w:tc>
              <w:tc>
                <w:tcPr>
                  <w:tcW w:w="1627" w:type="pct"/>
                  <w:gridSpan w:val="2"/>
                  <w:tcBorders>
                    <w:top w:val="single" w:color="auto" w:sz="4" w:space="0"/>
                    <w:left w:val="nil"/>
                    <w:bottom w:val="single" w:color="auto" w:sz="4" w:space="0"/>
                    <w:right w:val="single" w:color="auto" w:sz="4" w:space="0"/>
                  </w:tcBorders>
                  <w:noWrap/>
                  <w:vAlign w:val="center"/>
                </w:tcPr>
                <w:p w14:paraId="7F001BD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00</w:t>
                  </w:r>
                </w:p>
              </w:tc>
              <w:tc>
                <w:tcPr>
                  <w:tcW w:w="818" w:type="pct"/>
                  <w:gridSpan w:val="2"/>
                  <w:tcBorders>
                    <w:top w:val="single" w:color="auto" w:sz="4" w:space="0"/>
                    <w:left w:val="single" w:color="auto" w:sz="4" w:space="0"/>
                    <w:bottom w:val="single" w:color="auto" w:sz="4" w:space="0"/>
                    <w:right w:val="single" w:color="auto" w:sz="4" w:space="0"/>
                  </w:tcBorders>
                  <w:noWrap/>
                  <w:vAlign w:val="center"/>
                </w:tcPr>
                <w:p w14:paraId="6D3A9B1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00</w:t>
                  </w:r>
                </w:p>
              </w:tc>
              <w:tc>
                <w:tcPr>
                  <w:tcW w:w="550" w:type="pct"/>
                  <w:gridSpan w:val="2"/>
                  <w:tcBorders>
                    <w:top w:val="single" w:color="auto" w:sz="4" w:space="0"/>
                    <w:left w:val="single" w:color="auto" w:sz="4" w:space="0"/>
                    <w:bottom w:val="single" w:color="auto" w:sz="4" w:space="0"/>
                    <w:right w:val="single" w:color="auto" w:sz="4" w:space="0"/>
                  </w:tcBorders>
                  <w:noWrap/>
                  <w:vAlign w:val="center"/>
                </w:tcPr>
                <w:p w14:paraId="09C13AC1">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75</w:t>
                  </w:r>
                </w:p>
              </w:tc>
              <w:tc>
                <w:tcPr>
                  <w:tcW w:w="669" w:type="pct"/>
                  <w:gridSpan w:val="2"/>
                  <w:tcBorders>
                    <w:top w:val="single" w:color="auto" w:sz="4" w:space="0"/>
                    <w:left w:val="nil"/>
                    <w:bottom w:val="single" w:color="auto" w:sz="4" w:space="0"/>
                    <w:right w:val="single" w:color="auto" w:sz="4" w:space="0"/>
                  </w:tcBorders>
                  <w:noWrap/>
                  <w:vAlign w:val="center"/>
                </w:tcPr>
                <w:p w14:paraId="32E97CD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742" w:type="pct"/>
                  <w:gridSpan w:val="2"/>
                  <w:tcBorders>
                    <w:top w:val="single" w:color="auto" w:sz="4" w:space="0"/>
                    <w:left w:val="nil"/>
                    <w:bottom w:val="single" w:color="auto" w:sz="4" w:space="0"/>
                    <w:right w:val="single" w:color="auto" w:sz="4" w:space="0"/>
                  </w:tcBorders>
                  <w:noWrap/>
                  <w:vAlign w:val="center"/>
                </w:tcPr>
                <w:p w14:paraId="7226B4F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6" w:type="pct"/>
                  <w:tcBorders>
                    <w:top w:val="single" w:color="auto" w:sz="4" w:space="0"/>
                    <w:left w:val="nil"/>
                    <w:bottom w:val="single" w:color="auto" w:sz="4" w:space="0"/>
                    <w:right w:val="single" w:color="auto" w:sz="4" w:space="0"/>
                  </w:tcBorders>
                  <w:noWrap/>
                  <w:vAlign w:val="center"/>
                </w:tcPr>
                <w:p w14:paraId="6D739DA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r>
          </w:tbl>
          <w:p w14:paraId="70DA7BA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4"/>
                <w:szCs w:val="32"/>
              </w:rPr>
              <w:t>综上</w:t>
            </w:r>
            <w:r>
              <w:rPr>
                <w:rFonts w:hint="eastAsia" w:ascii="Times New Roman" w:hAnsi="Times New Roman" w:cs="Times New Roman"/>
                <w:color w:val="auto"/>
                <w:sz w:val="24"/>
                <w:szCs w:val="32"/>
                <w:lang w:val="en-US" w:eastAsia="zh-CN"/>
              </w:rPr>
              <w:t>所述</w:t>
            </w:r>
            <w:r>
              <w:rPr>
                <w:rFonts w:hint="default" w:ascii="Times New Roman" w:hAnsi="Times New Roman" w:cs="Times New Roman"/>
                <w:color w:val="auto"/>
                <w:sz w:val="24"/>
                <w:szCs w:val="32"/>
              </w:rPr>
              <w:t>，本工程的建设选址具有环境合理性</w:t>
            </w:r>
            <w:r>
              <w:rPr>
                <w:rFonts w:hint="default" w:ascii="Times New Roman" w:hAnsi="Times New Roman" w:cs="Times New Roman"/>
                <w:color w:val="auto"/>
                <w:sz w:val="24"/>
                <w:szCs w:val="32"/>
                <w:lang w:eastAsia="zh-CN"/>
              </w:rPr>
              <w:t>。</w:t>
            </w:r>
          </w:p>
        </w:tc>
      </w:tr>
    </w:tbl>
    <w:p w14:paraId="7309F640">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7409A4B8">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主要生态环境保护措施</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865"/>
      </w:tblGrid>
      <w:tr w14:paraId="2D8B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59CC66E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施工期生态环境保护措施</w:t>
            </w:r>
          </w:p>
        </w:tc>
        <w:tc>
          <w:tcPr>
            <w:tcW w:w="8254" w:type="dxa"/>
            <w:vAlign w:val="top"/>
          </w:tcPr>
          <w:p w14:paraId="1EFDA38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一、生态环境保护措施</w:t>
            </w:r>
          </w:p>
          <w:p w14:paraId="08D8F8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eastAsia" w:ascii="Times New Roman" w:hAnsi="Times New Roman" w:eastAsia="宋体" w:cs="Times New Roman"/>
                <w:color w:val="auto"/>
                <w:lang w:val="en-US" w:eastAsia="zh-CN"/>
              </w:rPr>
              <w:t>根据土地利用现状分析本项目米107-3MH井场</w:t>
            </w:r>
            <w:r>
              <w:rPr>
                <w:rFonts w:hint="default" w:ascii="Times New Roman" w:hAnsi="Times New Roman" w:eastAsia="宋体" w:cs="Times New Roman"/>
                <w:b w:val="0"/>
                <w:bCs w:val="0"/>
                <w:color w:val="auto"/>
                <w:sz w:val="24"/>
                <w:szCs w:val="24"/>
                <w:vertAlign w:val="baseline"/>
                <w:lang w:val="en-US" w:eastAsia="zh-CN"/>
              </w:rPr>
              <w:t>土地利用</w:t>
            </w:r>
            <w:r>
              <w:rPr>
                <w:rFonts w:hint="eastAsia" w:ascii="Times New Roman" w:hAnsi="Times New Roman" w:eastAsia="宋体" w:cs="Times New Roman"/>
                <w:b w:val="0"/>
                <w:bCs w:val="0"/>
                <w:color w:val="auto"/>
                <w:sz w:val="24"/>
                <w:szCs w:val="24"/>
                <w:vertAlign w:val="baseline"/>
                <w:lang w:val="en-US" w:eastAsia="zh-CN"/>
              </w:rPr>
              <w:t>现状</w:t>
            </w:r>
            <w:r>
              <w:rPr>
                <w:rFonts w:hint="default" w:ascii="Times New Roman" w:hAnsi="Times New Roman" w:eastAsia="宋体" w:cs="Times New Roman"/>
                <w:b w:val="0"/>
                <w:bCs w:val="0"/>
                <w:color w:val="auto"/>
                <w:sz w:val="24"/>
                <w:szCs w:val="24"/>
                <w:vertAlign w:val="baseline"/>
                <w:lang w:val="en-US" w:eastAsia="zh-CN"/>
              </w:rPr>
              <w:t>类型</w:t>
            </w:r>
            <w:r>
              <w:rPr>
                <w:rFonts w:hint="eastAsia" w:ascii="Times New Roman" w:hAnsi="Times New Roman" w:eastAsia="宋体" w:cs="Times New Roman"/>
                <w:b w:val="0"/>
                <w:bCs w:val="0"/>
                <w:color w:val="auto"/>
                <w:sz w:val="24"/>
                <w:szCs w:val="24"/>
                <w:vertAlign w:val="baseline"/>
                <w:lang w:val="en-US" w:eastAsia="zh-CN"/>
              </w:rPr>
              <w:t>主要</w:t>
            </w:r>
            <w:r>
              <w:rPr>
                <w:rFonts w:hint="default" w:ascii="Times New Roman" w:hAnsi="Times New Roman" w:eastAsia="宋体" w:cs="Times New Roman"/>
                <w:b w:val="0"/>
                <w:bCs w:val="0"/>
                <w:color w:val="auto"/>
                <w:sz w:val="24"/>
                <w:szCs w:val="24"/>
                <w:vertAlign w:val="baseline"/>
                <w:lang w:val="en-US" w:eastAsia="zh-CN"/>
              </w:rPr>
              <w:t>为林地、草地、园地</w:t>
            </w:r>
            <w:r>
              <w:rPr>
                <w:rFonts w:hint="eastAsia" w:ascii="Times New Roman" w:hAnsi="Times New Roman" w:eastAsia="宋体" w:cs="Times New Roman"/>
                <w:b w:val="0"/>
                <w:bCs w:val="0"/>
                <w:color w:val="auto"/>
                <w:sz w:val="24"/>
                <w:szCs w:val="24"/>
                <w:vertAlign w:val="baseline"/>
                <w:lang w:val="en-US" w:eastAsia="zh-CN"/>
              </w:rPr>
              <w:t>。若永久封井，本项目占地类型中园地和草地采取人工干预的手段进行生态恢复，规划为林地的区域恢复为林地，未规划为林地的区域恢复为原有生态类型（草地、园地）。</w:t>
            </w:r>
          </w:p>
          <w:p w14:paraId="0742D22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施工期</w:t>
            </w:r>
            <w:r>
              <w:rPr>
                <w:rFonts w:hint="default" w:ascii="Times New Roman" w:hAnsi="Times New Roman" w:cs="Times New Roman"/>
                <w:color w:val="auto"/>
              </w:rPr>
              <w:t>生态环境保护措施</w:t>
            </w:r>
          </w:p>
          <w:p w14:paraId="0839C0D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w:t>
            </w:r>
            <w:r>
              <w:rPr>
                <w:rFonts w:hint="eastAsia" w:ascii="Times New Roman" w:hAnsi="Times New Roman" w:eastAsia="宋体" w:cs="Times New Roman"/>
                <w:color w:val="auto"/>
                <w:lang w:val="en-US" w:eastAsia="zh-CN"/>
              </w:rPr>
              <w:t>本项目</w:t>
            </w:r>
            <w:r>
              <w:rPr>
                <w:rFonts w:hint="default" w:ascii="Times New Roman" w:hAnsi="Times New Roman" w:cs="Times New Roman"/>
                <w:color w:val="auto"/>
              </w:rPr>
              <w:t>在施工组织设计中严格控制占地范围；施工活动需严格控制在施工区域内，并将临时占地面积控制在最低限度，尽量使用既有道路，以免对土壤与植被造成不必要破坏。项目施工时首先应剥离表土。在剥离表土前，对开挖区域内的植被等有碍物进行彻底清除，然后采用人工开挖，先把表层土按预定厚度剥离后，在井场内临时占地区内选定一处作为表土临时堆土区，用于开采结束后的复垦覆土。表土临时堆场周边应设置挡土墙，控制边坡坡降比1:2左右，适时对表土堆场表面进行防尘网遮盖、洒水浸润，同时于表土堆场表面覆盖篷布（防尘、防雨水冲刷），覆盖率需达100%。在堆场周围开挖排水沟，排水沟易采用梯形断面，底宽30cm，高30cm，内坡比1:1，内壁夯实，排水沟与附近已有沟渠相通。在施工结束、场地清理完成后随即采取地表平整、表土回覆、绿化等恢复措施，减少施工期对生态环境影响。</w:t>
            </w:r>
          </w:p>
          <w:p w14:paraId="556AE4C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施工中尽量缩小影响范围，合理布置井场，选择合适的设备搬迁路线，合理布置钻井设备，减少井场占地面积。缩短施工时间，提高工程施工效率，减少工程在空间上、时间上对生态环境的影响；</w:t>
            </w:r>
          </w:p>
          <w:p w14:paraId="1B993EC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③施工完毕应尽快整理施工现场，恢复原有用地性质；施工期间对建筑材料的堆放采取篷布苫盖措施，防止雨水冲刷；</w:t>
            </w:r>
          </w:p>
          <w:p w14:paraId="43C6BA4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④制定严格的施工操作规范，建立施工期环境管理制度；相对固定运输路线，严禁施工车辆随意开辟施工便道，严禁随意砍伐植被；</w:t>
            </w:r>
          </w:p>
          <w:p w14:paraId="30F155E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⑤迅速恢复植被破坏前的地表形态，填埋废土坑、平整作业现场、改善植被更新生长条件，防止局部土地退化；</w:t>
            </w:r>
          </w:p>
          <w:p w14:paraId="4E9FF43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⑥为防止井场作业加剧水土流失，进场前集中收集表土，并进行遮盖围堵以防风吹雨淋流失，作业结束后再覆盖表土等措施后，可有效减少水土流失；</w:t>
            </w:r>
          </w:p>
          <w:p w14:paraId="550307C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⑦井场内禁止废水、废弃泥浆、废弃岩屑、以及其他废物流失和乱排放，严禁机油等各种油料落地，擦洗设备和更换的废油品料要集中到废油回收罐，如果发现外溢和散落必须及时清理；</w:t>
            </w:r>
          </w:p>
          <w:p w14:paraId="4FBF80B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⑧完井后回收各种原料，清理井场上散落的泥浆、污水、油料和各种废弃物。泥浆药品等泥浆材料及废油必须全部回收，不得随意遗弃于井场，完井后做到作业现场整洁、平整、卫生、无油污、无固废。</w:t>
            </w:r>
          </w:p>
          <w:p w14:paraId="4EEC941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⑨项目开发建设前，做好施工规划前期工作，尽量缩小施工范围，减少临时占地面积；施工机械应严格按照规定的施工道路行驶，严禁占用施工区域外的土地；加强施工人员的各类管理；做好工程完井后生态环境的恢复工作；加强环境管理和监理制度；加强生态保护宣传教育，以尽量减少植被破坏及水土流失等不利影响。</w:t>
            </w:r>
          </w:p>
          <w:p w14:paraId="01827C5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通过采取相应的生态保护措施，项目建设对区域生态系统的完整性、稳定性影响较小，不会对生态环境造成显著的影响。</w:t>
            </w:r>
          </w:p>
          <w:p w14:paraId="0BC30A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封井期生态环境保护措施</w:t>
            </w:r>
          </w:p>
          <w:p w14:paraId="24AC78D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本工程为</w:t>
            </w:r>
            <w:r>
              <w:rPr>
                <w:rFonts w:hint="default" w:ascii="Times New Roman" w:hAnsi="Times New Roman" w:cs="Times New Roman"/>
                <w:color w:val="auto"/>
                <w:lang w:val="en-US" w:eastAsia="zh-CN"/>
              </w:rPr>
              <w:t>天然气</w:t>
            </w:r>
            <w:r>
              <w:rPr>
                <w:rFonts w:hint="default" w:ascii="Times New Roman" w:hAnsi="Times New Roman" w:cs="Times New Roman"/>
                <w:color w:val="auto"/>
                <w:lang w:eastAsia="zh-CN"/>
              </w:rPr>
              <w:t>勘探井，钻井结束后，通过完井测试评价</w:t>
            </w:r>
            <w:r>
              <w:rPr>
                <w:rFonts w:hint="default" w:ascii="Times New Roman" w:hAnsi="Times New Roman" w:cs="Times New Roman"/>
                <w:color w:val="auto"/>
                <w:lang w:val="en-US" w:eastAsia="zh-CN"/>
              </w:rPr>
              <w:t>气</w:t>
            </w:r>
            <w:r>
              <w:rPr>
                <w:rFonts w:hint="default" w:ascii="Times New Roman" w:hAnsi="Times New Roman" w:cs="Times New Roman"/>
                <w:color w:val="auto"/>
                <w:lang w:eastAsia="zh-CN"/>
              </w:rPr>
              <w:t>藏情况，</w:t>
            </w:r>
            <w:r>
              <w:rPr>
                <w:rFonts w:hint="default" w:ascii="Times New Roman" w:hAnsi="Times New Roman" w:cs="Times New Roman"/>
                <w:color w:val="auto"/>
                <w:lang w:val="en-US" w:eastAsia="zh-CN"/>
              </w:rPr>
              <w:t>若</w:t>
            </w:r>
            <w:r>
              <w:rPr>
                <w:rFonts w:hint="default" w:ascii="Times New Roman" w:hAnsi="Times New Roman" w:cs="Times New Roman"/>
                <w:color w:val="auto"/>
                <w:lang w:eastAsia="zh-CN"/>
              </w:rPr>
              <w:t>不具备开采价值，进行永久封井，场地恢复原状；若测试具有工业产能，临时封井，移交给长庆油田分公司第二采气厂按标准化井场进行建设和管理</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507834A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封井作业将对设备、基础进行拆除、搬迁、封井口作业。封井口环境影响因素不再存在，无三废排放，无噪声影响。</w:t>
            </w:r>
          </w:p>
          <w:p w14:paraId="2A94268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封井原因主要包括地质报废与工程报废。一般地质报废是指在钻井过程中，未遇到含</w:t>
            </w:r>
            <w:r>
              <w:rPr>
                <w:rFonts w:hint="eastAsia" w:ascii="Times New Roman" w:hAnsi="Times New Roman" w:cs="Times New Roman"/>
                <w:color w:val="auto"/>
                <w:lang w:val="en-US" w:eastAsia="zh-CN"/>
              </w:rPr>
              <w:t>采</w:t>
            </w:r>
            <w:r>
              <w:rPr>
                <w:rFonts w:hint="default" w:ascii="Times New Roman" w:hAnsi="Times New Roman" w:cs="Times New Roman"/>
                <w:color w:val="auto"/>
                <w:lang w:eastAsia="zh-CN"/>
              </w:rPr>
              <w:t>气层，无任何油气显示的情况。地质勘探过程属于钻井的前端工序，因此一旦无含</w:t>
            </w:r>
            <w:r>
              <w:rPr>
                <w:rFonts w:hint="eastAsia" w:ascii="Times New Roman" w:hAnsi="Times New Roman" w:cs="Times New Roman"/>
                <w:color w:val="auto"/>
                <w:lang w:val="en-US" w:eastAsia="zh-CN"/>
              </w:rPr>
              <w:t>采</w:t>
            </w:r>
            <w:r>
              <w:rPr>
                <w:rFonts w:hint="default" w:ascii="Times New Roman" w:hAnsi="Times New Roman" w:cs="Times New Roman"/>
                <w:color w:val="auto"/>
                <w:lang w:eastAsia="zh-CN"/>
              </w:rPr>
              <w:t>气层，直接将其井口进行封堵，封堵后对井场进行恢复，修复后场内无钻探痕迹。恢复过程主要为：对钻井设施进行拆除；土地平整；对井场土壤进行重构，在井场宜绿区域进行绿化种植。工程报废是指已经下设套管后，通过试</w:t>
            </w:r>
            <w:r>
              <w:rPr>
                <w:rFonts w:hint="default" w:ascii="Times New Roman" w:hAnsi="Times New Roman" w:cs="Times New Roman"/>
                <w:color w:val="auto"/>
                <w:lang w:val="en-US" w:eastAsia="zh-CN"/>
              </w:rPr>
              <w:t>气</w:t>
            </w:r>
            <w:r>
              <w:rPr>
                <w:rFonts w:hint="default" w:ascii="Times New Roman" w:hAnsi="Times New Roman" w:cs="Times New Roman"/>
                <w:color w:val="auto"/>
                <w:lang w:eastAsia="zh-CN"/>
              </w:rPr>
              <w:t>，未达到可开发利用的</w:t>
            </w:r>
            <w:r>
              <w:rPr>
                <w:rFonts w:hint="default" w:ascii="Times New Roman" w:hAnsi="Times New Roman" w:cs="Times New Roman"/>
                <w:color w:val="auto"/>
                <w:lang w:val="en-US" w:eastAsia="zh-CN"/>
              </w:rPr>
              <w:t>天然气</w:t>
            </w:r>
            <w:r>
              <w:rPr>
                <w:rFonts w:hint="default" w:ascii="Times New Roman" w:hAnsi="Times New Roman" w:cs="Times New Roman"/>
                <w:color w:val="auto"/>
                <w:lang w:eastAsia="zh-CN"/>
              </w:rPr>
              <w:t>，则进行封场处理。封井后地面将留有井口封堵痕迹，对井场恢复原有地貌类型。封井期生态具体恢复措施步骤见图5-</w:t>
            </w:r>
            <w:r>
              <w:rPr>
                <w:rFonts w:hint="eastAsia" w:ascii="Times New Roman" w:hAnsi="Times New Roman" w:cs="Times New Roman"/>
                <w:color w:val="auto"/>
                <w:lang w:val="en-US" w:eastAsia="zh-CN"/>
              </w:rPr>
              <w:t>1</w:t>
            </w:r>
            <w:r>
              <w:rPr>
                <w:rFonts w:hint="default" w:ascii="Times New Roman" w:hAnsi="Times New Roman" w:cs="Times New Roman"/>
                <w:color w:val="auto"/>
                <w:lang w:eastAsia="zh-CN"/>
              </w:rPr>
              <w:t>。</w:t>
            </w:r>
          </w:p>
          <w:p w14:paraId="25B1392F">
            <w:pPr>
              <w:pStyle w:val="26"/>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299970" cy="3206115"/>
                  <wp:effectExtent l="0" t="0" r="508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7"/>
                          <a:stretch>
                            <a:fillRect/>
                          </a:stretch>
                        </pic:blipFill>
                        <pic:spPr>
                          <a:xfrm>
                            <a:off x="0" y="0"/>
                            <a:ext cx="2299970" cy="3206115"/>
                          </a:xfrm>
                          <a:prstGeom prst="rect">
                            <a:avLst/>
                          </a:prstGeom>
                          <a:noFill/>
                          <a:ln>
                            <a:noFill/>
                          </a:ln>
                        </pic:spPr>
                      </pic:pic>
                    </a:graphicData>
                  </a:graphic>
                </wp:inline>
              </w:drawing>
            </w:r>
          </w:p>
          <w:p w14:paraId="0E869C53">
            <w:pPr>
              <w:pStyle w:val="10"/>
              <w:bidi w:val="0"/>
              <w:ind w:left="0" w:lef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井场生态恢复步骤</w:t>
            </w:r>
          </w:p>
          <w:p w14:paraId="62D7F084">
            <w:pPr>
              <w:pStyle w:val="2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（3）生态恢复要求</w:t>
            </w:r>
          </w:p>
          <w:p w14:paraId="36316E89">
            <w:pPr>
              <w:pStyle w:val="26"/>
              <w:bidi w:val="0"/>
              <w:rPr>
                <w:rFonts w:hint="default" w:ascii="Times New Roman" w:hAnsi="Times New Roman" w:eastAsia="宋体" w:cs="Times New Roman"/>
                <w:color w:val="auto"/>
                <w:lang w:eastAsia="zh-CN"/>
              </w:rPr>
            </w:pPr>
            <w:r>
              <w:rPr>
                <w:rFonts w:hint="default" w:ascii="Times New Roman" w:hAnsi="Times New Roman" w:cs="Times New Roman"/>
                <w:color w:val="auto"/>
              </w:rPr>
              <w:t>当勘探井具有开发价值时，采取临时封井，</w:t>
            </w:r>
            <w:r>
              <w:rPr>
                <w:rFonts w:hint="default" w:ascii="Times New Roman" w:hAnsi="Times New Roman" w:cs="Times New Roman"/>
                <w:color w:val="auto"/>
                <w:lang w:val="en-US" w:eastAsia="zh-CN"/>
              </w:rPr>
              <w:t>临时占地</w:t>
            </w:r>
            <w:r>
              <w:rPr>
                <w:rFonts w:hint="default" w:ascii="Times New Roman" w:hAnsi="Times New Roman" w:cs="Times New Roman"/>
                <w:color w:val="auto"/>
              </w:rPr>
              <w:t>暂不进行生态恢复</w:t>
            </w:r>
            <w:r>
              <w:rPr>
                <w:rFonts w:hint="default" w:ascii="Times New Roman" w:hAnsi="Times New Roman" w:cs="Times New Roman"/>
                <w:color w:val="auto"/>
                <w:lang w:eastAsia="zh-CN"/>
              </w:rPr>
              <w:t>；</w:t>
            </w:r>
            <w:r>
              <w:rPr>
                <w:rFonts w:hint="default" w:ascii="Times New Roman" w:hAnsi="Times New Roman" w:cs="Times New Roman"/>
                <w:bCs/>
                <w:color w:val="auto"/>
                <w:sz w:val="24"/>
                <w:lang w:val="en-US" w:eastAsia="zh-CN"/>
              </w:rPr>
              <w:t>若不具有工业生产价值，则对井场临时占地进行生态恢复，</w:t>
            </w:r>
            <w:r>
              <w:rPr>
                <w:rFonts w:hint="default" w:ascii="Times New Roman" w:hAnsi="Times New Roman" w:cs="Times New Roman"/>
                <w:bCs/>
                <w:color w:val="auto"/>
                <w:sz w:val="24"/>
              </w:rPr>
              <w:t>以达到与周边生态系统一致。</w:t>
            </w:r>
          </w:p>
          <w:p w14:paraId="5D8E0733">
            <w:pPr>
              <w:pStyle w:val="26"/>
              <w:bidi w:val="0"/>
              <w:rPr>
                <w:rFonts w:hint="default" w:ascii="Times New Roman" w:hAnsi="Times New Roman" w:cs="Times New Roman"/>
                <w:color w:val="auto"/>
              </w:rPr>
            </w:pPr>
            <w:r>
              <w:rPr>
                <w:rFonts w:hint="default" w:ascii="Times New Roman" w:hAnsi="Times New Roman" w:cs="Times New Roman"/>
                <w:color w:val="auto"/>
              </w:rPr>
              <w:t>（4）生态恢复整治方案</w:t>
            </w:r>
            <w:r>
              <w:rPr>
                <w:rFonts w:hint="default" w:ascii="Times New Roman" w:hAnsi="Times New Roman" w:cs="Times New Roman"/>
                <w:color w:val="auto"/>
                <w:lang w:val="en-US" w:eastAsia="zh-CN"/>
              </w:rPr>
              <w:t>及</w:t>
            </w:r>
            <w:r>
              <w:rPr>
                <w:rFonts w:hint="default" w:ascii="Times New Roman" w:hAnsi="Times New Roman" w:cs="Times New Roman"/>
                <w:color w:val="auto"/>
              </w:rPr>
              <w:t>恢复用地控制指标</w:t>
            </w:r>
          </w:p>
          <w:p w14:paraId="35E6A873">
            <w:pPr>
              <w:pStyle w:val="26"/>
              <w:bidi w:val="0"/>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项目仅涉及施工期，不涉及运营期，</w:t>
            </w:r>
            <w:r>
              <w:rPr>
                <w:rFonts w:hint="eastAsia" w:ascii="Times New Roman" w:hAnsi="Times New Roman" w:eastAsia="宋体" w:cs="Times New Roman"/>
                <w:color w:val="auto"/>
                <w:lang w:val="en-US" w:eastAsia="zh-CN"/>
              </w:rPr>
              <w:t>本项目钻井结束封井后即开展生态恢复，</w:t>
            </w:r>
            <w:r>
              <w:rPr>
                <w:rFonts w:hint="default" w:ascii="Times New Roman" w:hAnsi="Times New Roman" w:cs="Times New Roman"/>
                <w:color w:val="auto"/>
              </w:rPr>
              <w:t>本次评价仅针对施工期提出相关生态恢复措施，具体生态恢复方案如下：</w:t>
            </w:r>
          </w:p>
          <w:p w14:paraId="17E00BE1">
            <w:pPr>
              <w:pStyle w:val="26"/>
              <w:bidi w:val="0"/>
              <w:rPr>
                <w:rFonts w:hint="default" w:ascii="Times New Roman" w:hAnsi="Times New Roman" w:cs="Times New Roman"/>
                <w:color w:val="auto"/>
              </w:rPr>
            </w:pPr>
            <w:r>
              <w:rPr>
                <w:rFonts w:hint="default" w:ascii="Times New Roman" w:hAnsi="Times New Roman" w:cs="Times New Roman"/>
                <w:color w:val="auto"/>
              </w:rPr>
              <w:t>①场地清理</w:t>
            </w:r>
          </w:p>
          <w:p w14:paraId="4258B688">
            <w:pPr>
              <w:pStyle w:val="26"/>
              <w:bidi w:val="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拆除工程</w:t>
            </w:r>
          </w:p>
          <w:p w14:paraId="1435EB51">
            <w:pPr>
              <w:pStyle w:val="26"/>
              <w:bidi w:val="0"/>
              <w:rPr>
                <w:rFonts w:hint="default" w:ascii="Times New Roman" w:hAnsi="Times New Roman" w:cs="Times New Roman"/>
                <w:color w:val="auto"/>
              </w:rPr>
            </w:pPr>
            <w:r>
              <w:rPr>
                <w:rFonts w:hint="default" w:ascii="Times New Roman" w:hAnsi="Times New Roman" w:cs="Times New Roman"/>
                <w:color w:val="auto"/>
              </w:rPr>
              <w:t>钻井设施均为撬装，例如材料房，值班室等，开钻时由钻井队运至井场。因此，封井期由钻井队拆除，外运。临时</w:t>
            </w:r>
            <w:r>
              <w:rPr>
                <w:rFonts w:hint="default" w:ascii="Times New Roman" w:hAnsi="Times New Roman" w:cs="Times New Roman"/>
                <w:color w:val="auto"/>
                <w:lang w:eastAsia="zh-CN"/>
              </w:rPr>
              <w:t>危废贮存点</w:t>
            </w:r>
            <w:r>
              <w:rPr>
                <w:rFonts w:hint="default" w:ascii="Times New Roman" w:hAnsi="Times New Roman" w:cs="Times New Roman"/>
                <w:color w:val="auto"/>
              </w:rPr>
              <w:t>需将危废按照要求处置完毕后，对其拆除，外运；水泥墩、钢架等支撑物彻底拆除、外运，为土地平整创造条件。</w:t>
            </w:r>
          </w:p>
          <w:p w14:paraId="0CACDD28">
            <w:pPr>
              <w:pStyle w:val="26"/>
              <w:bidi w:val="0"/>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场地地表清理</w:t>
            </w:r>
          </w:p>
          <w:p w14:paraId="6E4F7FF0">
            <w:pPr>
              <w:pStyle w:val="2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据统计，本项目临时占地</w:t>
            </w:r>
            <w:r>
              <w:rPr>
                <w:rFonts w:hint="default" w:ascii="Times New Roman" w:hAnsi="Times New Roman" w:cs="Times New Roman"/>
                <w:color w:val="auto"/>
                <w:highlight w:val="none"/>
                <w:lang w:val="en-US" w:eastAsia="zh-CN"/>
              </w:rPr>
              <w:t>总</w:t>
            </w:r>
            <w:r>
              <w:rPr>
                <w:rFonts w:hint="default" w:ascii="Times New Roman" w:hAnsi="Times New Roman" w:cs="Times New Roman"/>
                <w:color w:val="auto"/>
                <w:highlight w:val="none"/>
              </w:rPr>
              <w:t>面积</w:t>
            </w:r>
            <w:r>
              <w:rPr>
                <w:rFonts w:hint="eastAsia" w:ascii="Times New Roman" w:hAnsi="Times New Roman" w:cs="Times New Roman"/>
                <w:color w:val="auto"/>
                <w:highlight w:val="none"/>
                <w:lang w:val="en-US" w:eastAsia="zh-CN"/>
              </w:rPr>
              <w:t>12801.6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，施工场地、井场表面铺满碎石，在进行覆土前需要清理，场地恢复后的土壤需清洁平整。</w:t>
            </w:r>
          </w:p>
          <w:p w14:paraId="04F3110E">
            <w:pPr>
              <w:pStyle w:val="26"/>
              <w:bidi w:val="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lang w:eastAsia="zh-CN"/>
              </w:rPr>
              <w:t>、</w:t>
            </w:r>
            <w:r>
              <w:rPr>
                <w:rFonts w:hint="default" w:ascii="Times New Roman" w:hAnsi="Times New Roman" w:cs="Times New Roman"/>
                <w:color w:val="auto"/>
              </w:rPr>
              <w:t>土地平整</w:t>
            </w:r>
          </w:p>
          <w:p w14:paraId="21A9150E">
            <w:pPr>
              <w:pStyle w:val="26"/>
              <w:bidi w:val="0"/>
              <w:rPr>
                <w:rFonts w:hint="default" w:ascii="Times New Roman" w:hAnsi="Times New Roman" w:cs="Times New Roman"/>
                <w:color w:val="auto"/>
              </w:rPr>
            </w:pPr>
            <w:r>
              <w:rPr>
                <w:rFonts w:hint="default" w:ascii="Times New Roman" w:hAnsi="Times New Roman" w:cs="Times New Roman"/>
                <w:color w:val="auto"/>
              </w:rPr>
              <w:t>井场经过建筑物拆除后，对井场内的土地进行整体的平整，部分拆除后的凹地，采用临时</w:t>
            </w:r>
            <w:r>
              <w:rPr>
                <w:rFonts w:hint="default" w:ascii="Times New Roman" w:hAnsi="Times New Roman" w:cs="Times New Roman"/>
                <w:color w:val="auto"/>
                <w:lang w:eastAsia="zh-CN"/>
              </w:rPr>
              <w:t>堆土场</w:t>
            </w:r>
            <w:r>
              <w:rPr>
                <w:rFonts w:hint="default" w:ascii="Times New Roman" w:hAnsi="Times New Roman" w:cs="Times New Roman"/>
                <w:color w:val="auto"/>
              </w:rPr>
              <w:t>的表土进行平整。</w:t>
            </w:r>
          </w:p>
          <w:p w14:paraId="4C4EBD6F">
            <w:pPr>
              <w:pStyle w:val="26"/>
              <w:bidi w:val="0"/>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rPr>
              <w:t>恢复工程</w:t>
            </w:r>
          </w:p>
          <w:p w14:paraId="79644E9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井场经过建筑物压占，车辆流动，板结严重。地表建筑物和地表碎石清除后，</w:t>
            </w:r>
            <w:r>
              <w:rPr>
                <w:rFonts w:hint="default" w:ascii="Times New Roman" w:hAnsi="Times New Roman" w:cs="Times New Roman"/>
                <w:color w:val="auto"/>
                <w:lang w:val="en-US" w:eastAsia="zh-CN"/>
              </w:rPr>
              <w:t>若永久封井，则</w:t>
            </w:r>
            <w:r>
              <w:rPr>
                <w:rFonts w:hint="default" w:ascii="Times New Roman" w:hAnsi="Times New Roman" w:cs="Times New Roman"/>
                <w:color w:val="auto"/>
              </w:rPr>
              <w:t>通过深翻耕松土透气，能够满足井场宜绿区域种植生长的要求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若临时封井，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17C52BB7">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②土壤修复</w:t>
            </w:r>
          </w:p>
          <w:p w14:paraId="01AC9C45">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若施工过程对土地造成污染，首先应清理污染土壤运至有资质单位处置，然后则开展土壤修复工作。</w:t>
            </w:r>
          </w:p>
          <w:p w14:paraId="1395EEDE">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生物措施</w:t>
            </w:r>
          </w:p>
          <w:p w14:paraId="39ACCBE6">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结合当地的气候条件进行相关污染土壤治理修复工作，</w:t>
            </w:r>
            <w:r>
              <w:rPr>
                <w:rFonts w:hint="default" w:ascii="Times New Roman" w:hAnsi="Times New Roman" w:cs="Times New Roman"/>
                <w:color w:val="auto"/>
                <w:lang w:val="en-US" w:eastAsia="zh-CN"/>
              </w:rPr>
              <w:t>如在污染区块</w:t>
            </w:r>
            <w:r>
              <w:rPr>
                <w:rFonts w:hint="default" w:ascii="Times New Roman" w:hAnsi="Times New Roman" w:cs="Times New Roman"/>
                <w:color w:val="auto"/>
              </w:rPr>
              <w:t>种植对石油类及有机物等具有较强富集能力的绿色植物进行植被修复。</w:t>
            </w:r>
          </w:p>
          <w:p w14:paraId="77CB4069">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土壤培肥措施</w:t>
            </w:r>
          </w:p>
          <w:p w14:paraId="6D19AF1E">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井场勘探后如未发现</w:t>
            </w:r>
            <w:r>
              <w:rPr>
                <w:rFonts w:hint="default" w:ascii="Times New Roman" w:hAnsi="Times New Roman" w:cs="Times New Roman"/>
                <w:color w:val="auto"/>
                <w:lang w:val="en-US" w:eastAsia="zh-CN"/>
              </w:rPr>
              <w:t>天然气或不具开采价值</w:t>
            </w:r>
            <w:r>
              <w:rPr>
                <w:rFonts w:hint="default" w:ascii="Times New Roman" w:hAnsi="Times New Roman" w:cs="Times New Roman"/>
                <w:color w:val="auto"/>
              </w:rPr>
              <w:t>，进行土地复垦，复垦为</w:t>
            </w:r>
            <w:r>
              <w:rPr>
                <w:rFonts w:hint="default" w:ascii="Times New Roman" w:hAnsi="Times New Roman" w:cs="Times New Roman"/>
                <w:color w:val="auto"/>
                <w:lang w:val="en-US" w:eastAsia="zh-CN"/>
              </w:rPr>
              <w:t>原有土地利用类型</w:t>
            </w:r>
            <w:r>
              <w:rPr>
                <w:rFonts w:hint="default" w:ascii="Times New Roman" w:hAnsi="Times New Roman" w:cs="Times New Roman"/>
                <w:color w:val="auto"/>
              </w:rPr>
              <w:t>。根据场地的地形地貌因子、土壤物理性质、土壤化学性质、生物因子等指标，判定影响区域土壤修复与植被恢复的主要限制性因子，适量有机施肥，保障生产力水平不下降。</w:t>
            </w:r>
          </w:p>
          <w:p w14:paraId="1D26B5D5">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③生态人工恢复</w:t>
            </w:r>
          </w:p>
          <w:p w14:paraId="1E00663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钻井工程结束后，若临时封井，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28A32C03">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若永久封井，</w:t>
            </w:r>
            <w:r>
              <w:rPr>
                <w:rFonts w:hint="default" w:ascii="Times New Roman" w:hAnsi="Times New Roman" w:cs="Times New Roman"/>
                <w:color w:val="auto"/>
              </w:rPr>
              <w:t>采取人工干预的手段进行生态恢复。生态人工恢复主要工序为：土地平整→植被种植→植被养护。</w:t>
            </w:r>
            <w:r>
              <w:rPr>
                <w:rFonts w:hint="default" w:ascii="Times New Roman" w:hAnsi="Times New Roman" w:cs="Times New Roman"/>
                <w:color w:val="auto"/>
                <w:lang w:val="en-US" w:eastAsia="zh-CN"/>
              </w:rPr>
              <w:t>不同占地类型具体恢复措施见下：</w:t>
            </w:r>
          </w:p>
          <w:p w14:paraId="7A6F68F9">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草地恢复：若永久封井，</w:t>
            </w:r>
            <w:r>
              <w:rPr>
                <w:rFonts w:hint="default" w:ascii="Times New Roman" w:hAnsi="Times New Roman" w:cs="Times New Roman"/>
                <w:color w:val="auto"/>
              </w:rPr>
              <w:t>施工结束后，</w:t>
            </w:r>
            <w:r>
              <w:rPr>
                <w:rFonts w:hint="default" w:ascii="Times New Roman" w:hAnsi="Times New Roman" w:cs="Times New Roman"/>
                <w:color w:val="auto"/>
                <w:lang w:eastAsia="zh-CN"/>
              </w:rPr>
              <w:t>草地</w:t>
            </w:r>
            <w:r>
              <w:rPr>
                <w:rFonts w:hint="default" w:ascii="Times New Roman" w:hAnsi="Times New Roman" w:cs="Times New Roman"/>
                <w:color w:val="auto"/>
              </w:rPr>
              <w:t>恢复为原有生态类型，</w:t>
            </w:r>
            <w:r>
              <w:rPr>
                <w:rFonts w:hint="eastAsia" w:ascii="Times New Roman" w:hAnsi="Times New Roman" w:cs="Times New Roman"/>
                <w:color w:val="auto"/>
                <w:lang w:val="en-US" w:eastAsia="zh-CN"/>
              </w:rPr>
              <w:t>米107-3MH井</w:t>
            </w:r>
            <w:r>
              <w:rPr>
                <w:rFonts w:hint="default" w:ascii="Times New Roman" w:hAnsi="Times New Roman" w:cs="Times New Roman"/>
                <w:color w:val="auto"/>
                <w:lang w:val="en-US" w:eastAsia="zh-CN"/>
              </w:rPr>
              <w:t>草地恢复面积为</w:t>
            </w:r>
            <w:r>
              <w:rPr>
                <w:rFonts w:hint="eastAsia" w:ascii="Times New Roman" w:hAnsi="Times New Roman" w:cs="Times New Roman"/>
                <w:color w:val="auto"/>
                <w:lang w:val="en-US" w:eastAsia="zh-CN"/>
              </w:rPr>
              <w:t>0.2996公顷</w:t>
            </w:r>
            <w:r>
              <w:rPr>
                <w:rFonts w:hint="default" w:ascii="Times New Roman" w:hAnsi="Times New Roman" w:cs="Times New Roman"/>
                <w:color w:val="auto"/>
                <w:lang w:eastAsia="zh-CN"/>
              </w:rPr>
              <w:t>，</w:t>
            </w:r>
            <w:r>
              <w:rPr>
                <w:rFonts w:hint="default" w:ascii="Times New Roman" w:hAnsi="Times New Roman" w:cs="Times New Roman"/>
                <w:color w:val="auto"/>
              </w:rPr>
              <w:t>草本植物可选择披碱草、柠条、紫花苜蓿</w:t>
            </w:r>
            <w:r>
              <w:rPr>
                <w:rFonts w:hint="default" w:ascii="Times New Roman" w:hAnsi="Times New Roman" w:cs="Times New Roman"/>
                <w:color w:val="auto"/>
                <w:lang w:eastAsia="zh-CN"/>
              </w:rPr>
              <w:t>、</w:t>
            </w:r>
            <w:r>
              <w:rPr>
                <w:rFonts w:hint="default" w:ascii="Times New Roman" w:hAnsi="Times New Roman" w:cs="Times New Roman"/>
                <w:color w:val="auto"/>
              </w:rPr>
              <w:t>沙打旺、沙嵩、黄蒿等，披碱草、紫花、苜蓿撒播量45kg/hm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rPr>
              <w:t>既能起到防风固沙、水土保持的作用</w:t>
            </w:r>
            <w:r>
              <w:rPr>
                <w:rFonts w:hint="default" w:ascii="Times New Roman" w:hAnsi="Times New Roman" w:cs="Times New Roman"/>
                <w:color w:val="auto"/>
                <w:lang w:eastAsia="zh-CN"/>
              </w:rPr>
              <w:t>，</w:t>
            </w:r>
            <w:r>
              <w:rPr>
                <w:rFonts w:hint="default" w:ascii="Times New Roman" w:hAnsi="Times New Roman" w:cs="Times New Roman"/>
                <w:color w:val="auto"/>
              </w:rPr>
              <w:t>又不会对项目区域生态景观造成影响</w:t>
            </w:r>
            <w:r>
              <w:rPr>
                <w:rFonts w:hint="default" w:ascii="Times New Roman" w:hAnsi="Times New Roman" w:cs="Times New Roman"/>
                <w:color w:val="auto"/>
                <w:lang w:val="en-US" w:eastAsia="zh-CN"/>
              </w:rPr>
              <w:t>。</w:t>
            </w:r>
          </w:p>
          <w:p w14:paraId="522AA0B7">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林地恢复：若永久封井，</w:t>
            </w:r>
            <w:r>
              <w:rPr>
                <w:rFonts w:hint="default" w:ascii="Times New Roman" w:hAnsi="Times New Roman" w:cs="Times New Roman"/>
                <w:color w:val="auto"/>
              </w:rPr>
              <w:t>施工结束后，</w:t>
            </w:r>
            <w:r>
              <w:rPr>
                <w:rFonts w:hint="default" w:ascii="Times New Roman" w:hAnsi="Times New Roman" w:cs="Times New Roman"/>
                <w:color w:val="auto"/>
                <w:lang w:val="en-US" w:eastAsia="zh-CN"/>
              </w:rPr>
              <w:t>进行林地恢复</w:t>
            </w:r>
            <w:r>
              <w:rPr>
                <w:rFonts w:hint="default" w:ascii="Times New Roman" w:hAnsi="Times New Roman" w:cs="Times New Roman"/>
                <w:color w:val="auto"/>
              </w:rPr>
              <w:t>，</w:t>
            </w:r>
            <w:r>
              <w:rPr>
                <w:rFonts w:hint="default" w:ascii="Times New Roman" w:hAnsi="Times New Roman" w:cs="Times New Roman"/>
                <w:color w:val="auto"/>
                <w:lang w:val="en-US" w:eastAsia="zh-CN"/>
              </w:rPr>
              <w:t>恢复面积为</w:t>
            </w:r>
            <w:r>
              <w:rPr>
                <w:rFonts w:hint="eastAsia" w:ascii="Times New Roman" w:hAnsi="Times New Roman" w:cs="Times New Roman"/>
                <w:color w:val="auto"/>
                <w:lang w:val="en-US" w:eastAsia="zh-CN"/>
              </w:rPr>
              <w:t>0.7104</w:t>
            </w:r>
            <w:r>
              <w:rPr>
                <w:rFonts w:hint="eastAsia" w:ascii="Times New Roman" w:hAnsi="Times New Roman" w:eastAsia="宋体" w:cs="Times New Roman"/>
                <w:color w:val="auto"/>
                <w:lang w:val="en-US" w:eastAsia="zh-CN"/>
              </w:rPr>
              <w:t>公顷</w:t>
            </w:r>
            <w:r>
              <w:rPr>
                <w:rFonts w:hint="default" w:ascii="Times New Roman" w:hAnsi="Times New Roman" w:cs="Times New Roman"/>
                <w:color w:val="auto"/>
                <w:lang w:eastAsia="zh-CN"/>
              </w:rPr>
              <w:t>，</w:t>
            </w:r>
            <w:r>
              <w:rPr>
                <w:rFonts w:hint="default" w:ascii="Times New Roman" w:hAnsi="Times New Roman" w:cs="Times New Roman"/>
                <w:color w:val="auto"/>
              </w:rPr>
              <w:t>生态恢复植被应选用当地耐寒、保水固土能力强根系发达的物种，优先考虑灌木树种，</w:t>
            </w:r>
            <w:r>
              <w:rPr>
                <w:rFonts w:hint="default" w:ascii="Times New Roman" w:hAnsi="Times New Roman" w:cs="Times New Roman"/>
                <w:color w:val="auto"/>
                <w:lang w:val="en-US" w:eastAsia="zh-CN"/>
              </w:rPr>
              <w:t>如</w:t>
            </w:r>
            <w:r>
              <w:rPr>
                <w:rFonts w:hint="default" w:ascii="Times New Roman" w:hAnsi="Times New Roman" w:cs="Times New Roman"/>
                <w:color w:val="auto"/>
              </w:rPr>
              <w:t>柠条、沙棘等</w:t>
            </w:r>
            <w:r>
              <w:rPr>
                <w:rFonts w:hint="default" w:ascii="Times New Roman" w:hAnsi="Times New Roman" w:cs="Times New Roman"/>
                <w:color w:val="auto"/>
                <w:lang w:eastAsia="zh-CN"/>
              </w:rPr>
              <w:t>。</w:t>
            </w:r>
          </w:p>
          <w:p w14:paraId="112535E0">
            <w:pPr>
              <w:pStyle w:val="2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本项目治理区土地复垦主要的用途为</w:t>
            </w:r>
            <w:r>
              <w:rPr>
                <w:rFonts w:hint="default" w:ascii="Times New Roman" w:hAnsi="Times New Roman" w:cs="Times New Roman"/>
                <w:color w:val="auto"/>
                <w:lang w:val="en-US" w:eastAsia="zh-CN"/>
              </w:rPr>
              <w:t>林</w:t>
            </w:r>
            <w:r>
              <w:rPr>
                <w:rFonts w:hint="default" w:ascii="Times New Roman" w:hAnsi="Times New Roman" w:cs="Times New Roman"/>
                <w:color w:val="auto"/>
              </w:rPr>
              <w:t>地，根据《土地复垦质量控制标准》（TD/T1036-2013）中黄土高原区土地复垦质量控制标准，本项目土地复垦具体控制指标见下表。</w:t>
            </w:r>
          </w:p>
          <w:p w14:paraId="12314791">
            <w:pPr>
              <w:pStyle w:val="1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表</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本项目生态恢复控制指标表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79"/>
              <w:gridCol w:w="4560"/>
            </w:tblGrid>
            <w:tr w14:paraId="1176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013C8E5">
                  <w:pPr>
                    <w:pStyle w:val="27"/>
                    <w:bidi w:val="0"/>
                    <w:snapToGrid w:val="0"/>
                    <w:jc w:val="center"/>
                    <w:rPr>
                      <w:rFonts w:hint="default" w:ascii="Times New Roman" w:hAnsi="Times New Roman" w:cs="Times New Roman"/>
                      <w:color w:val="auto"/>
                      <w:sz w:val="21"/>
                      <w:szCs w:val="21"/>
                      <w:lang w:val="en-US" w:eastAsia="zh-CN"/>
                    </w:rPr>
                  </w:pPr>
                </w:p>
                <w:p w14:paraId="04681BEE">
                  <w:pPr>
                    <w:pStyle w:val="27"/>
                    <w:bidi w:val="0"/>
                    <w:snapToGrid w:val="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基本指标</w:t>
                  </w:r>
                </w:p>
                <w:p w14:paraId="27223D2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复垦方向</w:t>
                  </w:r>
                </w:p>
              </w:tc>
              <w:tc>
                <w:tcPr>
                  <w:tcW w:w="4335" w:type="dxa"/>
                  <w:vAlign w:val="center"/>
                </w:tcPr>
                <w:p w14:paraId="775653DA">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本项目控制标准</w:t>
                  </w:r>
                </w:p>
              </w:tc>
            </w:tr>
            <w:tr w14:paraId="7A14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continue"/>
                  <w:vAlign w:val="center"/>
                </w:tcPr>
                <w:p w14:paraId="37EDBE26">
                  <w:pPr>
                    <w:pStyle w:val="27"/>
                    <w:bidi w:val="0"/>
                    <w:jc w:val="center"/>
                    <w:rPr>
                      <w:rFonts w:hint="default" w:ascii="Times New Roman" w:hAnsi="Times New Roman" w:cs="Times New Roman"/>
                      <w:color w:val="auto"/>
                      <w:sz w:val="21"/>
                      <w:szCs w:val="21"/>
                    </w:rPr>
                  </w:pPr>
                </w:p>
              </w:tc>
              <w:tc>
                <w:tcPr>
                  <w:tcW w:w="4335" w:type="dxa"/>
                  <w:vAlign w:val="center"/>
                </w:tcPr>
                <w:p w14:paraId="72C8140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灌木林地</w:t>
                  </w:r>
                </w:p>
              </w:tc>
            </w:tr>
            <w:tr w14:paraId="0A0C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028A460">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有效土层厚度/（cm）</w:t>
                  </w:r>
                </w:p>
              </w:tc>
              <w:tc>
                <w:tcPr>
                  <w:tcW w:w="4335" w:type="dxa"/>
                  <w:vAlign w:val="center"/>
                </w:tcPr>
                <w:p w14:paraId="605CF0B9">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30</w:t>
                  </w:r>
                </w:p>
              </w:tc>
            </w:tr>
            <w:tr w14:paraId="1807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05B64B4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土壤容重/（g/cm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335" w:type="dxa"/>
                  <w:vAlign w:val="center"/>
                </w:tcPr>
                <w:p w14:paraId="6EC4ACB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1.5</w:t>
                  </w:r>
                </w:p>
              </w:tc>
            </w:tr>
            <w:tr w14:paraId="25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E45F3F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土壤质地</w:t>
                  </w:r>
                </w:p>
              </w:tc>
              <w:tc>
                <w:tcPr>
                  <w:tcW w:w="4335" w:type="dxa"/>
                  <w:vAlign w:val="center"/>
                </w:tcPr>
                <w:p w14:paraId="49A69B96">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砂土至砂质黏土</w:t>
                  </w:r>
                </w:p>
              </w:tc>
            </w:tr>
            <w:tr w14:paraId="3A4D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237634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砾石含量/（%）</w:t>
                  </w:r>
                </w:p>
              </w:tc>
              <w:tc>
                <w:tcPr>
                  <w:tcW w:w="4335" w:type="dxa"/>
                  <w:vAlign w:val="center"/>
                </w:tcPr>
                <w:p w14:paraId="5271ADF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25</w:t>
                  </w:r>
                </w:p>
              </w:tc>
            </w:tr>
            <w:tr w14:paraId="0E10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51C6BE86">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w:t>
                  </w:r>
                </w:p>
              </w:tc>
              <w:tc>
                <w:tcPr>
                  <w:tcW w:w="4335" w:type="dxa"/>
                  <w:vAlign w:val="center"/>
                </w:tcPr>
                <w:p w14:paraId="56108BF9">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6.5-8.5</w:t>
                  </w:r>
                </w:p>
              </w:tc>
            </w:tr>
            <w:tr w14:paraId="3419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41C9CFDD">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有机质/（%）</w:t>
                  </w:r>
                </w:p>
              </w:tc>
              <w:tc>
                <w:tcPr>
                  <w:tcW w:w="4335" w:type="dxa"/>
                  <w:vAlign w:val="center"/>
                </w:tcPr>
                <w:p w14:paraId="0DE45FB4">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0.5</w:t>
                  </w:r>
                </w:p>
              </w:tc>
            </w:tr>
            <w:tr w14:paraId="31BF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CB4396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配套设施（道路）</w:t>
                  </w:r>
                </w:p>
              </w:tc>
              <w:tc>
                <w:tcPr>
                  <w:tcW w:w="4335" w:type="dxa"/>
                  <w:vAlign w:val="center"/>
                </w:tcPr>
                <w:p w14:paraId="65227AB7">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达到</w:t>
                  </w:r>
                  <w:r>
                    <w:rPr>
                      <w:rFonts w:hint="default" w:ascii="Times New Roman" w:hAnsi="Times New Roman" w:cs="Times New Roman"/>
                      <w:color w:val="auto"/>
                      <w:sz w:val="21"/>
                      <w:szCs w:val="21"/>
                      <w:lang w:val="en-US" w:eastAsia="zh-CN"/>
                    </w:rPr>
                    <w:t>当地本行业工程</w:t>
                  </w:r>
                  <w:r>
                    <w:rPr>
                      <w:rFonts w:hint="default" w:ascii="Times New Roman" w:hAnsi="Times New Roman" w:cs="Times New Roman"/>
                      <w:color w:val="auto"/>
                      <w:sz w:val="21"/>
                      <w:szCs w:val="21"/>
                    </w:rPr>
                    <w:t>建设标准要求</w:t>
                  </w:r>
                </w:p>
              </w:tc>
            </w:tr>
            <w:tr w14:paraId="461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27B0DD8">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定植密度</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株</w:t>
                  </w:r>
                  <w:r>
                    <w:rPr>
                      <w:rFonts w:hint="default" w:ascii="Times New Roman" w:hAnsi="Times New Roman" w:cs="Times New Roman"/>
                      <w:color w:val="auto"/>
                      <w:sz w:val="21"/>
                      <w:szCs w:val="21"/>
                    </w:rPr>
                    <w:t>/hm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4335" w:type="dxa"/>
                  <w:vAlign w:val="center"/>
                </w:tcPr>
                <w:p w14:paraId="67CCE726">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满足《造林作业设计规程》（LY/T1607）要求</w:t>
                  </w:r>
                </w:p>
              </w:tc>
            </w:tr>
            <w:tr w14:paraId="1AB3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2FCA3B6">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郁闭</w:t>
                  </w:r>
                  <w:r>
                    <w:rPr>
                      <w:rFonts w:hint="default" w:ascii="Times New Roman" w:hAnsi="Times New Roman" w:cs="Times New Roman"/>
                      <w:color w:val="auto"/>
                      <w:sz w:val="21"/>
                      <w:szCs w:val="21"/>
                    </w:rPr>
                    <w:t>度/（%）</w:t>
                  </w:r>
                </w:p>
              </w:tc>
              <w:tc>
                <w:tcPr>
                  <w:tcW w:w="4335" w:type="dxa"/>
                  <w:vAlign w:val="center"/>
                </w:tcPr>
                <w:p w14:paraId="341A0FB0">
                  <w:pPr>
                    <w:pStyle w:val="27"/>
                    <w:bidi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0.30</w:t>
                  </w:r>
                </w:p>
              </w:tc>
            </w:tr>
          </w:tbl>
          <w:p w14:paraId="644F7397">
            <w:pPr>
              <w:pStyle w:val="1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表5-2  临时生态保护措施一览表</w:t>
            </w:r>
          </w:p>
          <w:tbl>
            <w:tblPr>
              <w:tblStyle w:val="20"/>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2453"/>
              <w:gridCol w:w="1728"/>
              <w:gridCol w:w="2832"/>
            </w:tblGrid>
            <w:tr w14:paraId="0A3F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7" w:type="pct"/>
                  <w:noWrap w:val="0"/>
                  <w:vAlign w:val="center"/>
                </w:tcPr>
                <w:p w14:paraId="427E240A">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现状占地类型</w:t>
                  </w:r>
                </w:p>
              </w:tc>
              <w:tc>
                <w:tcPr>
                  <w:tcW w:w="1424" w:type="pct"/>
                  <w:noWrap w:val="0"/>
                  <w:vAlign w:val="center"/>
                </w:tcPr>
                <w:p w14:paraId="020BE3BC">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恢复类型及面积</w:t>
                  </w:r>
                </w:p>
              </w:tc>
              <w:tc>
                <w:tcPr>
                  <w:tcW w:w="1003" w:type="pct"/>
                  <w:noWrap w:val="0"/>
                  <w:vAlign w:val="center"/>
                </w:tcPr>
                <w:p w14:paraId="7DE2940F">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恢复种植</w:t>
                  </w:r>
                </w:p>
              </w:tc>
              <w:tc>
                <w:tcPr>
                  <w:tcW w:w="1644" w:type="pct"/>
                  <w:noWrap w:val="0"/>
                  <w:vAlign w:val="center"/>
                </w:tcPr>
                <w:p w14:paraId="36ED8FE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恢复时间</w:t>
                  </w:r>
                </w:p>
              </w:tc>
            </w:tr>
            <w:tr w14:paraId="57AB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927" w:type="pct"/>
                  <w:noWrap w:val="0"/>
                  <w:vAlign w:val="center"/>
                </w:tcPr>
                <w:p w14:paraId="3C083CC6">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耕地、林地和草地</w:t>
                  </w:r>
                </w:p>
              </w:tc>
              <w:tc>
                <w:tcPr>
                  <w:tcW w:w="1424" w:type="pct"/>
                  <w:noWrap w:val="0"/>
                  <w:vAlign w:val="center"/>
                </w:tcPr>
                <w:p w14:paraId="7BF4D35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项目临时占地12801.6</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，临时用地恢复原状，即</w:t>
                  </w:r>
                  <w:r>
                    <w:rPr>
                      <w:rFonts w:hint="default" w:ascii="Times New Roman" w:hAnsi="Times New Roman" w:eastAsia="宋体" w:cs="Times New Roman"/>
                      <w:color w:val="auto"/>
                      <w:sz w:val="21"/>
                      <w:szCs w:val="21"/>
                      <w:lang w:val="en-US" w:eastAsia="zh-CN"/>
                    </w:rPr>
                    <w:t>耕地</w:t>
                  </w:r>
                  <w:r>
                    <w:rPr>
                      <w:rFonts w:hint="eastAsia" w:ascii="Times New Roman" w:hAnsi="Times New Roman" w:eastAsia="宋体" w:cs="Times New Roman"/>
                      <w:color w:val="auto"/>
                      <w:sz w:val="21"/>
                      <w:szCs w:val="21"/>
                      <w:highlight w:val="none"/>
                      <w:lang w:val="en-US" w:eastAsia="zh-CN"/>
                    </w:rPr>
                    <w:t>恢复为</w:t>
                  </w:r>
                  <w:r>
                    <w:rPr>
                      <w:rFonts w:hint="default" w:ascii="Times New Roman" w:hAnsi="Times New Roman" w:eastAsia="宋体" w:cs="Times New Roman"/>
                      <w:color w:val="auto"/>
                      <w:sz w:val="21"/>
                      <w:szCs w:val="21"/>
                      <w:lang w:val="en-US" w:eastAsia="zh-CN"/>
                    </w:rPr>
                    <w:t>耕地</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highlight w:val="none"/>
                      <w:lang w:val="en-US" w:eastAsia="zh-CN"/>
                    </w:rPr>
                    <w:t>草地恢复为草地，林地恢复为林地，并辅以草地搭配。</w:t>
                  </w:r>
                </w:p>
              </w:tc>
              <w:tc>
                <w:tcPr>
                  <w:tcW w:w="1003" w:type="pct"/>
                  <w:noWrap w:val="0"/>
                  <w:vAlign w:val="center"/>
                </w:tcPr>
                <w:p w14:paraId="6E95C0EE">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林木</w:t>
                  </w:r>
                  <w:r>
                    <w:rPr>
                      <w:color w:val="auto"/>
                      <w:sz w:val="21"/>
                      <w:szCs w:val="21"/>
                    </w:rPr>
                    <w:t>优先考虑灌木树种，</w:t>
                  </w:r>
                  <w:r>
                    <w:rPr>
                      <w:rFonts w:hint="eastAsia"/>
                      <w:color w:val="auto"/>
                      <w:sz w:val="21"/>
                      <w:szCs w:val="21"/>
                      <w:lang w:val="en-US" w:eastAsia="zh-CN"/>
                    </w:rPr>
                    <w:t>如</w:t>
                  </w:r>
                  <w:r>
                    <w:rPr>
                      <w:color w:val="auto"/>
                      <w:sz w:val="21"/>
                      <w:szCs w:val="21"/>
                    </w:rPr>
                    <w:t>柠条、沙棘等；草本有冰草、沙打旺、沙嵩、黄蒿等</w:t>
                  </w:r>
                  <w:r>
                    <w:rPr>
                      <w:rFonts w:hint="eastAsia"/>
                      <w:color w:val="auto"/>
                      <w:sz w:val="21"/>
                      <w:szCs w:val="21"/>
                      <w:lang w:eastAsia="zh-CN"/>
                    </w:rPr>
                    <w:t>；</w:t>
                  </w:r>
                  <w:r>
                    <w:rPr>
                      <w:rFonts w:hint="eastAsia"/>
                      <w:color w:val="auto"/>
                      <w:sz w:val="21"/>
                      <w:szCs w:val="21"/>
                      <w:lang w:val="en-US" w:eastAsia="zh-CN"/>
                    </w:rPr>
                    <w:t>耕地交由农民进行复垦，给农户相应的补偿</w:t>
                  </w:r>
                </w:p>
              </w:tc>
              <w:tc>
                <w:tcPr>
                  <w:tcW w:w="1644" w:type="pct"/>
                  <w:noWrap w:val="0"/>
                  <w:vAlign w:val="center"/>
                </w:tcPr>
                <w:p w14:paraId="292DB68A">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施工结合后根据气候条件适时开展生态恢复工作，确保2-3年内临时占地恢复到原有植被类型和覆盖度。</w:t>
                  </w:r>
                </w:p>
              </w:tc>
            </w:tr>
          </w:tbl>
          <w:p w14:paraId="1B2E4F0A">
            <w:pPr>
              <w:keepLines w:val="0"/>
              <w:pageBreakBefore w:val="0"/>
              <w:kinsoku/>
              <w:wordWrap/>
              <w:overflowPunct/>
              <w:topLinePunct w:val="0"/>
              <w:autoSpaceDE/>
              <w:autoSpaceDN/>
              <w:bidi w:val="0"/>
              <w:adjustRightInd w:val="0"/>
              <w:snapToGrid/>
              <w:spacing w:line="360" w:lineRule="auto"/>
              <w:ind w:right="0" w:firstLine="480" w:firstLineChars="200"/>
              <w:jc w:val="both"/>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永久封井时，项目临时占地生态恢复措施设计图见图5-2。</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9"/>
            </w:tblGrid>
            <w:tr w14:paraId="6902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517C613B">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eastAsia"/>
                      <w:color w:val="auto"/>
                      <w:vertAlign w:val="baseline"/>
                      <w:lang w:val="en-US" w:eastAsia="zh-CN"/>
                    </w:rPr>
                  </w:pPr>
                  <w:r>
                    <w:rPr>
                      <w:color w:val="auto"/>
                    </w:rPr>
                    <w:drawing>
                      <wp:inline distT="0" distB="0" distL="114300" distR="114300">
                        <wp:extent cx="5322570" cy="1861185"/>
                        <wp:effectExtent l="0" t="0" r="1143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8"/>
                                <a:stretch>
                                  <a:fillRect/>
                                </a:stretch>
                              </pic:blipFill>
                              <pic:spPr>
                                <a:xfrm>
                                  <a:off x="0" y="0"/>
                                  <a:ext cx="5322570" cy="1861185"/>
                                </a:xfrm>
                                <a:prstGeom prst="rect">
                                  <a:avLst/>
                                </a:prstGeom>
                                <a:noFill/>
                                <a:ln>
                                  <a:noFill/>
                                </a:ln>
                              </pic:spPr>
                            </pic:pic>
                          </a:graphicData>
                        </a:graphic>
                      </wp:inline>
                    </w:drawing>
                  </w:r>
                </w:p>
              </w:tc>
            </w:tr>
            <w:tr w14:paraId="12A4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7DD218AE">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林地恢复为林地，</w:t>
                  </w:r>
                  <w:r>
                    <w:rPr>
                      <w:rFonts w:hint="eastAsia" w:ascii="Times New Roman" w:hAnsi="Times New Roman" w:eastAsia="宋体" w:cs="Times New Roman"/>
                      <w:b/>
                      <w:bCs/>
                      <w:color w:val="auto"/>
                      <w:sz w:val="21"/>
                      <w:szCs w:val="21"/>
                      <w:highlight w:val="none"/>
                      <w:lang w:val="en-US" w:eastAsia="zh-CN"/>
                    </w:rPr>
                    <w:t>辅以草地搭配。</w:t>
                  </w:r>
                </w:p>
              </w:tc>
            </w:tr>
            <w:tr w14:paraId="657A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0603F59B">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eastAsia"/>
                      <w:color w:val="auto"/>
                      <w:vertAlign w:val="baseline"/>
                      <w:lang w:val="en-US" w:eastAsia="zh-CN"/>
                    </w:rPr>
                  </w:pPr>
                  <w:r>
                    <w:rPr>
                      <w:color w:val="auto"/>
                    </w:rPr>
                    <w:drawing>
                      <wp:inline distT="0" distB="0" distL="114300" distR="114300">
                        <wp:extent cx="5442585" cy="1965325"/>
                        <wp:effectExtent l="0" t="0" r="5715" b="1587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9"/>
                                <a:stretch>
                                  <a:fillRect/>
                                </a:stretch>
                              </pic:blipFill>
                              <pic:spPr>
                                <a:xfrm>
                                  <a:off x="0" y="0"/>
                                  <a:ext cx="5442585" cy="1965325"/>
                                </a:xfrm>
                                <a:prstGeom prst="rect">
                                  <a:avLst/>
                                </a:prstGeom>
                                <a:noFill/>
                                <a:ln>
                                  <a:noFill/>
                                </a:ln>
                              </pic:spPr>
                            </pic:pic>
                          </a:graphicData>
                        </a:graphic>
                      </wp:inline>
                    </w:drawing>
                  </w:r>
                </w:p>
              </w:tc>
            </w:tr>
            <w:tr w14:paraId="60F8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3D3A3BAE">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草地恢复为草地</w:t>
                  </w:r>
                </w:p>
              </w:tc>
            </w:tr>
          </w:tbl>
          <w:p w14:paraId="0E511BA7">
            <w:pPr>
              <w:keepLines w:val="0"/>
              <w:pageBreakBefore w:val="0"/>
              <w:kinsoku/>
              <w:wordWrap/>
              <w:overflowPunct/>
              <w:topLinePunct w:val="0"/>
              <w:autoSpaceDE/>
              <w:autoSpaceDN/>
              <w:bidi w:val="0"/>
              <w:adjustRightInd w:val="0"/>
              <w:snapToGrid/>
              <w:spacing w:line="360" w:lineRule="auto"/>
              <w:ind w:right="0" w:firstLine="480" w:firstLineChars="200"/>
              <w:jc w:val="both"/>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color w:val="auto"/>
                <w:sz w:val="24"/>
                <w:lang w:val="en-US" w:eastAsia="zh-CN"/>
              </w:rPr>
              <w:t xml:space="preserve">             </w:t>
            </w:r>
            <w:r>
              <w:rPr>
                <w:rFonts w:hint="eastAsia"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1"/>
                <w:szCs w:val="21"/>
                <w:vertAlign w:val="baseline"/>
                <w:lang w:val="en-US" w:eastAsia="zh-CN"/>
              </w:rPr>
              <w:t xml:space="preserve"> 图5-</w:t>
            </w:r>
            <w:r>
              <w:rPr>
                <w:rFonts w:hint="eastAsia" w:ascii="Times New Roman" w:hAnsi="Times New Roman" w:cs="Times New Roman"/>
                <w:b/>
                <w:bCs/>
                <w:color w:val="auto"/>
                <w:sz w:val="21"/>
                <w:szCs w:val="21"/>
                <w:vertAlign w:val="baseline"/>
                <w:lang w:val="en-US" w:eastAsia="zh-CN"/>
              </w:rPr>
              <w:t>3</w:t>
            </w:r>
            <w:r>
              <w:rPr>
                <w:rFonts w:hint="default" w:ascii="Times New Roman" w:hAnsi="Times New Roman" w:cs="Times New Roman"/>
                <w:b/>
                <w:bCs/>
                <w:color w:val="auto"/>
                <w:sz w:val="21"/>
                <w:szCs w:val="21"/>
                <w:vertAlign w:val="baseline"/>
                <w:lang w:val="en-US" w:eastAsia="zh-CN"/>
              </w:rPr>
              <w:t xml:space="preserve">  项目临时占地生态恢复措施图</w:t>
            </w:r>
          </w:p>
          <w:p w14:paraId="3A9C2CB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（5）生态环境综合整治后效果</w:t>
            </w:r>
          </w:p>
          <w:p w14:paraId="6EC641D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由工程分析和影响分析可知，工程建设对生态环境的影响主要表现在对局部植被以及土壤环境等的影响。本项目为临时占地，植被的破坏为临时性影响，钻井结束后，对临时占用的土地进行植被恢复。通过类比调查同类探井项目土地和植被的恢复情况可知，植被恢复较好，植物生长未受到影响，不会破坏生态系统的结构和稳定性，具体治理后植被恢复效果要不低于周边其他区域。</w:t>
            </w:r>
          </w:p>
          <w:p w14:paraId="333EF56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工程占地</w:t>
            </w:r>
            <w:r>
              <w:rPr>
                <w:rFonts w:hint="default" w:ascii="Times New Roman" w:hAnsi="Times New Roman" w:cs="Times New Roman"/>
                <w:color w:val="auto"/>
                <w:lang w:val="en-US" w:eastAsia="zh-CN"/>
              </w:rPr>
              <w:t>为</w:t>
            </w:r>
            <w:r>
              <w:rPr>
                <w:rFonts w:hint="default" w:ascii="Times New Roman" w:hAnsi="Times New Roman" w:cs="Times New Roman"/>
                <w:color w:val="auto"/>
              </w:rPr>
              <w:t>临时占地，当勘探井不具有开发价值时，采取永久封井，对临时占地区域恢复原有植被和生态景观，使区域生态景观和谐一致恢复原状；当勘探井具有开发价值时，采取临时封井，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1FE2AE3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环评要求项目生态恢复过程必须将地面所有与采气无关的设施、设备及地面硬化的砖瓦等必须全部拆除，恢复原有土地类型，覆盖场地保留的表土后对场地进行绿化。不得在原有场地直接覆盖表土后直接对场地绿化。</w:t>
            </w:r>
          </w:p>
          <w:p w14:paraId="49C01B2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）防沙治沙保护措施</w:t>
            </w:r>
          </w:p>
          <w:p w14:paraId="6A343E8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榆林市防止二次沙化及国土绿化五年行动方案（2021-2025年）》要求，坚持生态优先、绿色发展原则，顺应自然，保护自然，以自然恢复为主、人工促进为辅，坚持人与自然和谐共生，坚持保护与发展并进。坚持因地制宜、科学施策原则，严禁违规占用耕地造林绿化，做好防风治沙措施；榆林市《关于加强生态文明建设打造黄土高原生态文明示范区的决定》要求，因地制宜建设乔灌草相结合的防护林体系，引进适宜性经济林树种，实现从防沙治沙到养沙用沙。</w:t>
            </w:r>
          </w:p>
          <w:p w14:paraId="34C54E1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本项目施工过程中开挖会扰动地面，损坏植被，引发土地沙化。本次评价提出以下防沙治沙措施：</w:t>
            </w:r>
          </w:p>
          <w:p w14:paraId="4FCA528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土方开挖保护措施</w:t>
            </w:r>
          </w:p>
          <w:p w14:paraId="78B79EA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施工土方全部用于场地平整，严禁随意堆置；</w:t>
            </w:r>
          </w:p>
          <w:p w14:paraId="782467A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采取有效措施减缓施工扬尘，遇到干燥、易起尘的土方施工作业时，应辅以洒水压尘，尽量缩短起尘操作时间，遇到四级及以上大风天气，应停止土方作业，同时作业处覆以防尘网；</w:t>
            </w:r>
          </w:p>
          <w:p w14:paraId="7B71FF2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施工期及时采取临时拦挡苫盖措施，工程结束后，及时实施水土保持工程措施和植物措施，提高水土保持防治措施标准，有效的防治水土流失。</w:t>
            </w:r>
          </w:p>
          <w:p w14:paraId="79997E6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植物措施</w:t>
            </w:r>
          </w:p>
          <w:p w14:paraId="477ED8A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施工过程中，严格控制施工占地范围，尽可能减少对植被的破坏；</w:t>
            </w:r>
          </w:p>
          <w:p w14:paraId="252C790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项目施工结束后，对临时占地进行植被恢复，耕地交由农户进行复垦，草地恢复为草地，林地恢复为林地，并辅以草地搭配。林木优先考虑灌木树种，如柠条、沙棘等，草本有冰草、沙打旺、沙嵩、黄蒿等。项目及时采取撒播草籽、种植灌木等措施，恢复原地貌，通过种植草灌木，实现抗风固土防沙效果。</w:t>
            </w:r>
          </w:p>
          <w:p w14:paraId="44D223A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管理措施</w:t>
            </w:r>
          </w:p>
          <w:p w14:paraId="02F5E5E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期间应划定施工活动范围，严格控制地表扰动范围，严格控制和管理运输车辆及重型机械的运行线路和范围，合理确定施工期运输路线，避免车辆随意碾压破坏地表，由专人负责，以防破坏周边土壤和植被，加剧土地荒漠化。</w:t>
            </w:r>
          </w:p>
          <w:p w14:paraId="7592598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在施工过程中，不得随意碾压项目周边其他固沙植被。施工结束后，对施工迹地及时进行整治、恢复，减轻水土流失，使其受影响的程度降到最低。</w:t>
            </w:r>
          </w:p>
          <w:p w14:paraId="3C2594B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建设单位应牵头组织专业的护林、护草人员，对新栽植的树木、草灌统一进行管护，包括管护期内对幼树的抚育管理，确保树木成活。落实绿化管护责任。发现问题及时补栽补救。</w:t>
            </w:r>
          </w:p>
          <w:p w14:paraId="768738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二、施工期废气防治措施</w:t>
            </w:r>
          </w:p>
          <w:p w14:paraId="177D4C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1、钻前工程扬尘</w:t>
            </w:r>
          </w:p>
          <w:p w14:paraId="202AABF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为进一步改善环境空气质量，加强扬尘污染控制，本项目应严格执行《国务院关于印发大气污染防治行动计划的通知》（国发〔2013〕37号）、《陕西省大气污染防治条例》（2014.1.1）、《陕西省建筑施工扬尘治理行动方案》、《建筑施工扬尘治理措施》</w:t>
            </w:r>
            <w:r>
              <w:rPr>
                <w:rFonts w:hint="eastAsia" w:ascii="Times New Roman" w:hAnsi="Times New Roman" w:eastAsia="宋体" w:cs="Times New Roman"/>
                <w:color w:val="auto"/>
                <w:lang w:eastAsia="zh-CN"/>
              </w:rPr>
              <w:t>、《榆林市2025年生态环境保护铁腕攻坚行动方案》</w:t>
            </w:r>
            <w:r>
              <w:rPr>
                <w:rFonts w:hint="default" w:ascii="Times New Roman" w:hAnsi="Times New Roman" w:cs="Times New Roman"/>
                <w:color w:val="auto"/>
              </w:rPr>
              <w:t>等相关规定，并采取以下控制措施，以减缓施工扬尘对周边大气环境的影响。</w:t>
            </w:r>
          </w:p>
          <w:p w14:paraId="1173347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①施工工地周围按照规范设置硬质材料密闭围挡；</w:t>
            </w:r>
          </w:p>
          <w:p w14:paraId="237FE43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②禁止在大风天施工作业，尤其引起地面扰动的作业；</w:t>
            </w:r>
          </w:p>
          <w:p w14:paraId="198CF03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③对临时堆放的土石方采取篷布遮盖、拦挡等临时性防护措施；</w:t>
            </w:r>
          </w:p>
          <w:p w14:paraId="0AE37AF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④对站区地面、主要施工点周围地面采取洒水降尘等防尘措施；</w:t>
            </w:r>
          </w:p>
          <w:p w14:paraId="2B55DFF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⑤施工场地出入口必须进行车辆清洗设备及配套的排水、泥浆沉淀设施；加强运输车辆的管理，不得超载，同时需采取密封、遮盖等措施；</w:t>
            </w:r>
          </w:p>
          <w:p w14:paraId="780295D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⑥气象预报风速达到四级以上或出现重污染天气状况时，严禁土石方、开挖、回填、倒土等可能产生扬尘的施工作业，同时要对现场采取覆盖、洒水等降尘措施；</w:t>
            </w:r>
          </w:p>
          <w:p w14:paraId="3C62BC1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⑦施工现场禁止将包装物、可燃垃圾等固体废弃物就地焚烧。</w:t>
            </w:r>
          </w:p>
          <w:p w14:paraId="3EDA8DD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评价认为，只要加强管理、切实落实好上述措施，达到《施工场界扬尘排放限值》（DB61/1078-2017）的相关要求，施工场地扬尘对环境的影响将会大大降低，同时其对环境的影响也将随施工的结束而消失。</w:t>
            </w:r>
          </w:p>
          <w:p w14:paraId="1FD606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2</w:t>
            </w:r>
            <w:r>
              <w:rPr>
                <w:rFonts w:hint="default" w:ascii="Times New Roman" w:hAnsi="Times New Roman" w:eastAsia="宋体" w:cs="Times New Roman"/>
                <w:b/>
                <w:bCs/>
                <w:color w:val="auto"/>
                <w:sz w:val="24"/>
                <w:szCs w:val="24"/>
                <w:vertAlign w:val="baseline"/>
                <w:lang w:val="en-US" w:eastAsia="zh-CN"/>
              </w:rPr>
              <w:t>、完井测试放喷废气</w:t>
            </w:r>
          </w:p>
          <w:p w14:paraId="6CB8FF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测试放喷采用空中灼烧降低废气的毒性。放喷废气通过燃烧后进行排放。本项目</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选址位于</w:t>
            </w:r>
            <w:r>
              <w:rPr>
                <w:rFonts w:hint="default" w:ascii="Times New Roman" w:hAnsi="Times New Roman" w:eastAsia="宋体" w:cs="Times New Roman"/>
                <w:b w:val="0"/>
                <w:bCs w:val="0"/>
                <w:color w:val="auto"/>
                <w:sz w:val="24"/>
                <w:szCs w:val="24"/>
                <w:highlight w:val="none"/>
                <w:vertAlign w:val="baseline"/>
                <w:lang w:val="en-US" w:eastAsia="zh-CN"/>
              </w:rPr>
              <w:t>距离井口100m外的场地上</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附近</w:t>
            </w:r>
            <w:r>
              <w:rPr>
                <w:rFonts w:hint="eastAsia" w:ascii="Times New Roman" w:hAnsi="Times New Roman" w:cs="Times New Roman"/>
                <w:color w:val="auto"/>
                <w:sz w:val="24"/>
                <w:szCs w:val="24"/>
                <w:lang w:val="en-US" w:eastAsia="zh-CN"/>
              </w:rPr>
              <w:t>居民反方向</w:t>
            </w:r>
            <w:r>
              <w:rPr>
                <w:rFonts w:hint="default" w:ascii="Times New Roman" w:hAnsi="Times New Roman" w:eastAsia="宋体" w:cs="Times New Roman"/>
                <w:b w:val="0"/>
                <w:bCs w:val="0"/>
                <w:color w:val="auto"/>
                <w:sz w:val="24"/>
                <w:szCs w:val="24"/>
                <w:highlight w:val="none"/>
                <w:vertAlign w:val="baseline"/>
                <w:lang w:val="en-US" w:eastAsia="zh-CN"/>
              </w:rPr>
              <w:t>的场地上</w:t>
            </w:r>
            <w:r>
              <w:rPr>
                <w:rFonts w:hint="default" w:ascii="Times New Roman" w:hAnsi="Times New Roman" w:eastAsia="宋体" w:cs="Times New Roman"/>
                <w:b w:val="0"/>
                <w:bCs w:val="0"/>
                <w:color w:val="auto"/>
                <w:sz w:val="24"/>
                <w:szCs w:val="24"/>
                <w:vertAlign w:val="baseline"/>
                <w:lang w:val="en-US" w:eastAsia="zh-CN"/>
              </w:rPr>
              <w:t>，项目</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内壁由防火砖砌成，外侧设有钢筋水泥墙及钢板，</w:t>
            </w:r>
            <w:r>
              <w:rPr>
                <w:rFonts w:hint="eastAsia" w:ascii="Times New Roman" w:hAnsi="Times New Roman" w:eastAsia="宋体" w:cs="Times New Roman"/>
                <w:b w:val="0"/>
                <w:bCs w:val="0"/>
                <w:color w:val="auto"/>
                <w:sz w:val="24"/>
                <w:szCs w:val="24"/>
                <w:highlight w:val="none"/>
                <w:vertAlign w:val="baseline"/>
                <w:lang w:val="en-US" w:eastAsia="zh-CN"/>
              </w:rPr>
              <w:t>放喷池</w:t>
            </w:r>
            <w:r>
              <w:rPr>
                <w:rFonts w:hint="default" w:ascii="Times New Roman" w:hAnsi="Times New Roman" w:eastAsia="宋体" w:cs="Times New Roman"/>
                <w:b w:val="0"/>
                <w:bCs w:val="0"/>
                <w:color w:val="auto"/>
                <w:sz w:val="24"/>
                <w:szCs w:val="24"/>
                <w:highlight w:val="none"/>
                <w:vertAlign w:val="baseline"/>
                <w:lang w:val="en-US" w:eastAsia="zh-CN"/>
              </w:rPr>
              <w:t>周边200m范围内无居民，周边50m范围植被以灌木林地为主</w:t>
            </w:r>
            <w:r>
              <w:rPr>
                <w:rFonts w:hint="default" w:ascii="Times New Roman" w:hAnsi="Times New Roman" w:eastAsia="宋体" w:cs="Times New Roman"/>
                <w:b w:val="0"/>
                <w:bCs w:val="0"/>
                <w:color w:val="auto"/>
                <w:sz w:val="24"/>
                <w:szCs w:val="24"/>
                <w:vertAlign w:val="baseline"/>
                <w:lang w:val="en-US" w:eastAsia="zh-CN"/>
              </w:rPr>
              <w:t>，无高大林木，地势空旷便于废气扩散，且</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位于当地常年风向的侧风向处。</w:t>
            </w:r>
          </w:p>
          <w:p w14:paraId="4B193B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最大程度降低测试放喷废气对环境的影响，测试放喷时，要选择合适的时间，在天气晴朗，且风较大的天气进行，便于废气扩散。加之测试放喷时间短，对大气环境的影响较短，测试完毕，影响很快消除，因此对环境的影响不大。</w:t>
            </w:r>
          </w:p>
          <w:p w14:paraId="122E8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w:t>
            </w:r>
            <w:r>
              <w:rPr>
                <w:rFonts w:hint="eastAsia" w:ascii="Times New Roman" w:hAnsi="Times New Roman" w:eastAsia="宋体" w:cs="Times New Roman"/>
                <w:b w:val="0"/>
                <w:bCs w:val="0"/>
                <w:color w:val="auto"/>
                <w:sz w:val="24"/>
                <w:szCs w:val="24"/>
                <w:highlight w:val="none"/>
                <w:vertAlign w:val="baseline"/>
                <w:lang w:val="en-US" w:eastAsia="zh-CN"/>
              </w:rPr>
              <w:t>放喷池</w:t>
            </w:r>
            <w:r>
              <w:rPr>
                <w:rFonts w:hint="default" w:ascii="Times New Roman" w:hAnsi="Times New Roman" w:eastAsia="宋体" w:cs="Times New Roman"/>
                <w:b w:val="0"/>
                <w:bCs w:val="0"/>
                <w:color w:val="auto"/>
                <w:sz w:val="24"/>
                <w:szCs w:val="24"/>
                <w:highlight w:val="none"/>
                <w:vertAlign w:val="baseline"/>
                <w:lang w:val="en-US" w:eastAsia="zh-CN"/>
              </w:rPr>
              <w:t>周边200m范围内无居民居住，为</w:t>
            </w:r>
            <w:r>
              <w:rPr>
                <w:rFonts w:hint="default" w:ascii="Times New Roman" w:hAnsi="Times New Roman" w:eastAsia="宋体" w:cs="Times New Roman"/>
                <w:b w:val="0"/>
                <w:bCs w:val="0"/>
                <w:color w:val="auto"/>
                <w:sz w:val="24"/>
                <w:szCs w:val="24"/>
                <w:vertAlign w:val="baseline"/>
                <w:lang w:val="en-US" w:eastAsia="zh-CN"/>
              </w:rPr>
              <w:t>减轻工程放喷对附近农户的影响，环评建议在放喷前，建设方应根据安全需求对距放喷口200m范围建立警戒点并进行24小时警戒，在放喷期间告诫附近村民不要在项目区周边活动，减轻放喷废气对附近农户的影响。在放喷时，虽然采用</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放喷，但是放喷天然气燃烧产生的热辐射会对测试区周围的土壤和植被会造成灼伤，这种影响需要一定的时间才能逐步恢复。</w:t>
            </w:r>
          </w:p>
          <w:p w14:paraId="5461C3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由上分析，本项目除了在放喷时由于热辐射会对</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周围的土壤和植被造成灼伤外，其产生的废气对当地大气环境影响甚微。</w:t>
            </w:r>
          </w:p>
          <w:p w14:paraId="7E9B0E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综上所述，在严格执行《石油天然气钻井、开发、储运、防火防爆安全生产技术规程》(SY5225-2012)关于</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选址要求及放喷撤离要求的前提下。本项目的实施不会造成该区域的环境空气质量发生改变，不会对周边保护目标造成明显不利影响。</w:t>
            </w:r>
          </w:p>
          <w:p w14:paraId="580A53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w:t>
            </w:r>
            <w:r>
              <w:rPr>
                <w:rFonts w:hint="default" w:ascii="Times New Roman" w:hAnsi="Times New Roman" w:eastAsia="宋体" w:cs="Times New Roman"/>
                <w:b/>
                <w:bCs/>
                <w:color w:val="auto"/>
                <w:sz w:val="24"/>
                <w:szCs w:val="24"/>
                <w:vertAlign w:val="baseline"/>
                <w:lang w:val="en-US" w:eastAsia="zh-CN"/>
              </w:rPr>
              <w:t>、事故放喷废气</w:t>
            </w:r>
          </w:p>
          <w:p w14:paraId="5CD99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进入气层后，有可能遇到异常高压气流，如果井内泥浆密度值过低，达不到平衡井内压力要求，就可能发生井喷。此时利用防喷器迅速封闭井口，若井口压力过高，则打开放喷管线阀门泄压，即事故放喷，事故放喷在石油天然气行业是低概率事件。事故放喷主产物是天然气燃烧后产生的SO</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、NOx、CO、H</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S、烃类。事故放喷时间持续较短，且通过专用的放喷管线将天然气引至</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进行点火放喷，事故放喷时间段，属临时排放，放喷完毕，影响很快消除，环评要求建设单位在发生事故时对周边居民实施临时疏散，因此事故放喷对周边人群健康基本无影响，对环境影响也较小。</w:t>
            </w:r>
          </w:p>
          <w:p w14:paraId="1EEEE5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、施工机械及运输车辆排放的汽车尾气防治措施</w:t>
            </w:r>
          </w:p>
          <w:p w14:paraId="6AB1F735">
            <w:pPr>
              <w:pStyle w:val="26"/>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本项目施工期间各类机械均采用电驱动，属于清洁能源，施工机械不会产生大气污染物。</w:t>
            </w:r>
          </w:p>
          <w:p w14:paraId="61327AEF">
            <w:pPr>
              <w:pStyle w:val="26"/>
              <w:bidi w:val="0"/>
              <w:rPr>
                <w:rFonts w:hint="default" w:ascii="Times New Roman" w:hAnsi="Times New Roman" w:cs="Times New Roman"/>
                <w:color w:val="auto"/>
              </w:rPr>
            </w:pPr>
            <w:r>
              <w:rPr>
                <w:rFonts w:hint="default" w:ascii="Times New Roman" w:hAnsi="Times New Roman" w:cs="Times New Roman"/>
                <w:color w:val="auto"/>
              </w:rPr>
              <w:t>施工车辆废气的主要污染物为氮氧化物、二氧化硫和一氧化碳</w:t>
            </w:r>
            <w:r>
              <w:rPr>
                <w:rFonts w:hint="default" w:ascii="Times New Roman" w:hAnsi="Times New Roman" w:cs="Times New Roman"/>
                <w:color w:val="auto"/>
                <w:lang w:eastAsia="zh-CN"/>
              </w:rPr>
              <w:t>，</w:t>
            </w:r>
            <w:r>
              <w:rPr>
                <w:rFonts w:hint="default" w:ascii="Times New Roman" w:hAnsi="Times New Roman" w:cs="Times New Roman"/>
                <w:color w:val="auto"/>
              </w:rPr>
              <w:t>其特点是排放量小，属间断性无组织排放，加之施工场地开阔，扩散条件良好，而且废气排放是小范围的短期影响，随着施工期的结束，影响将会消失，因此对周围环境空气影响较小。</w:t>
            </w:r>
          </w:p>
          <w:p w14:paraId="054DB4C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eastAsia" w:ascii="Times New Roman" w:hAnsi="Times New Roman" w:eastAsia="宋体" w:cs="Times New Roman"/>
                <w:color w:val="auto"/>
                <w:lang w:val="en-US" w:eastAsia="zh-CN"/>
              </w:rPr>
              <w:t>为</w:t>
            </w:r>
            <w:r>
              <w:rPr>
                <w:rFonts w:hint="default" w:ascii="Times New Roman" w:hAnsi="Times New Roman" w:cs="Times New Roman"/>
                <w:color w:val="auto"/>
              </w:rPr>
              <w:t>进一步降低施工过程中机械设备、运输车辆废气对环境的影响，本次环评提出：</w:t>
            </w:r>
          </w:p>
          <w:p w14:paraId="3A235BC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①定期对机械设备、运输车辆检修、维护，提高机械的正常使用率，尽量减少车辆怠速空档；</w:t>
            </w:r>
          </w:p>
          <w:p w14:paraId="6DA6D949">
            <w:pPr>
              <w:pStyle w:val="26"/>
              <w:bidi w:val="0"/>
              <w:rPr>
                <w:rFonts w:hint="default" w:ascii="Times New Roman" w:hAnsi="Times New Roman" w:cs="Times New Roman"/>
                <w:color w:val="auto"/>
              </w:rPr>
            </w:pPr>
            <w:r>
              <w:rPr>
                <w:rFonts w:hint="default" w:ascii="Times New Roman" w:hAnsi="Times New Roman" w:cs="Times New Roman"/>
                <w:color w:val="auto"/>
              </w:rPr>
              <w:t>②应定期对施工期机械设备和运输车辆排放的废气进行检查监测，机动车污染物排放超标的不得上路行驶；</w:t>
            </w:r>
          </w:p>
          <w:p w14:paraId="22172E43">
            <w:pPr>
              <w:pStyle w:val="26"/>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③严禁使用劣质油，运输车辆优先使用</w:t>
            </w:r>
            <w:r>
              <w:rPr>
                <w:rFonts w:hint="eastAsia" w:ascii="Times New Roman" w:hAnsi="Times New Roman" w:eastAsia="宋体" w:cs="Times New Roman"/>
                <w:color w:val="auto"/>
                <w:lang w:val="en-US" w:eastAsia="zh-CN"/>
              </w:rPr>
              <w:t>含硫量低于10ppm的</w:t>
            </w:r>
            <w:r>
              <w:rPr>
                <w:rFonts w:hint="default" w:ascii="Times New Roman" w:hAnsi="Times New Roman" w:cs="Times New Roman"/>
                <w:color w:val="auto"/>
              </w:rPr>
              <w:t>的低硫汽油</w:t>
            </w:r>
            <w:r>
              <w:rPr>
                <w:rFonts w:hint="eastAsia" w:ascii="Times New Roman" w:hAnsi="Times New Roman" w:eastAsia="宋体" w:cs="Times New Roman"/>
                <w:color w:val="auto"/>
                <w:lang w:eastAsia="zh-CN"/>
              </w:rPr>
              <w:t>；</w:t>
            </w:r>
          </w:p>
          <w:p w14:paraId="557E544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eastAsia" w:ascii="宋体" w:hAnsi="宋体" w:eastAsia="宋体" w:cs="宋体"/>
                <w:color w:val="auto"/>
                <w:lang w:eastAsia="zh-CN"/>
              </w:rPr>
              <w:t>④</w:t>
            </w:r>
            <w:r>
              <w:rPr>
                <w:rFonts w:ascii="Times New Roman" w:hAnsi="Times New Roman" w:eastAsia="宋体" w:cs="Times New Roman"/>
                <w:color w:val="auto"/>
                <w:sz w:val="24"/>
                <w:szCs w:val="21"/>
              </w:rPr>
              <w:t>施工机械</w:t>
            </w:r>
            <w:r>
              <w:rPr>
                <w:rFonts w:ascii="Times New Roman" w:hAnsi="Times New Roman" w:eastAsia="宋体" w:cs="Times New Roman"/>
                <w:snapToGrid w:val="0"/>
                <w:color w:val="auto"/>
                <w:sz w:val="24"/>
                <w:szCs w:val="21"/>
              </w:rPr>
              <w:t>废气</w:t>
            </w:r>
            <w:r>
              <w:rPr>
                <w:rFonts w:hint="eastAsia" w:ascii="Times New Roman" w:hAnsi="Times New Roman" w:eastAsia="宋体" w:cs="Times New Roman"/>
                <w:snapToGrid w:val="0"/>
                <w:color w:val="auto"/>
                <w:sz w:val="24"/>
                <w:szCs w:val="21"/>
                <w:lang w:val="en-US" w:eastAsia="zh-CN"/>
              </w:rPr>
              <w:t>达到</w:t>
            </w:r>
            <w:r>
              <w:rPr>
                <w:rFonts w:ascii="Times New Roman" w:hAnsi="Times New Roman" w:eastAsia="宋体" w:cs="Times New Roman"/>
                <w:snapToGrid w:val="0"/>
                <w:color w:val="auto"/>
                <w:sz w:val="24"/>
                <w:szCs w:val="21"/>
              </w:rPr>
              <w:t>《</w:t>
            </w:r>
            <w:r>
              <w:rPr>
                <w:rFonts w:ascii="Times New Roman" w:hAnsi="Times New Roman" w:eastAsia="宋体" w:cs="Times New Roman"/>
                <w:color w:val="auto"/>
                <w:sz w:val="24"/>
              </w:rPr>
              <w:t>非道路移动机械用柴油机排气污染物排放限值及测量方法（中国第三、四阶段）》及2020年修改单中第四阶段的标准限值</w:t>
            </w:r>
            <w:r>
              <w:rPr>
                <w:rFonts w:hint="eastAsia" w:ascii="Times New Roman" w:hAnsi="Times New Roman" w:eastAsia="宋体" w:cs="Times New Roman"/>
                <w:color w:val="auto"/>
                <w:sz w:val="24"/>
                <w:lang w:eastAsia="zh-CN"/>
              </w:rPr>
              <w:t>。</w:t>
            </w:r>
          </w:p>
          <w:p w14:paraId="4782262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综上，施工期应多加注意施工设备的维护，确保设备正常运行，提高设备原料的利用率。同时合理安排工序，选取优质燃料，禁止运输车辆超载运行等，定期进行车辆尾气检测，对超标排放车辆进行有效的尾气治理，确保所有施工车辆、机械的废气排放达标。</w:t>
            </w:r>
          </w:p>
          <w:p w14:paraId="24529E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三、废水防治措施</w:t>
            </w:r>
          </w:p>
          <w:p w14:paraId="7D0090C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废水治理措施</w:t>
            </w:r>
          </w:p>
          <w:p w14:paraId="52B6509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项目勘探期产生的废水主要为生产废水（钻井废水、洗井废水、压裂返排液、放喷废水）和生活污水。钻井结束后最终不能回用的钻井废水、洗井废水、压裂返排液分别收集至专用收集罐，放喷废水收集于</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，定期委托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采用防渗漏、防溢流的罐车外运处置，不外排。施工营地设旱厕，定期清掏肥田。通过采取以上措施后，能够保证污染物不外排，</w:t>
            </w:r>
            <w:r>
              <w:rPr>
                <w:rFonts w:hint="default" w:ascii="Times New Roman" w:hAnsi="Times New Roman" w:cs="Times New Roman"/>
                <w:color w:val="auto"/>
              </w:rPr>
              <w:t>对地表水环境影响</w:t>
            </w:r>
            <w:r>
              <w:rPr>
                <w:rFonts w:hint="default" w:ascii="Times New Roman" w:hAnsi="Times New Roman" w:cs="Times New Roman"/>
                <w:color w:val="auto"/>
                <w:lang w:val="en-US" w:eastAsia="zh-CN"/>
              </w:rPr>
              <w:t>较小</w:t>
            </w:r>
            <w:r>
              <w:rPr>
                <w:rFonts w:hint="default" w:ascii="Times New Roman" w:hAnsi="Times New Roman" w:cs="Times New Roman"/>
                <w:color w:val="auto"/>
              </w:rPr>
              <w:t>。</w:t>
            </w:r>
          </w:p>
          <w:p w14:paraId="4F7B167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）废水依托处置可行性分析</w:t>
            </w:r>
          </w:p>
          <w:p w14:paraId="757AA22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cs="Times New Roman"/>
                <w:color w:val="auto"/>
              </w:rPr>
              <w:t>本项目施工期生产废水</w:t>
            </w:r>
            <w:r>
              <w:rPr>
                <w:rFonts w:hint="default" w:ascii="Times New Roman" w:hAnsi="Times New Roman" w:cs="Times New Roman"/>
                <w:color w:val="auto"/>
                <w:lang w:val="en-US" w:eastAsia="zh-CN"/>
              </w:rPr>
              <w:t>委托</w:t>
            </w:r>
            <w:r>
              <w:rPr>
                <w:rFonts w:hint="eastAsia" w:ascii="Times New Roman" w:hAnsi="Times New Roman" w:cs="Times New Roman"/>
                <w:color w:val="auto"/>
                <w:lang w:val="en-US" w:eastAsia="zh-CN"/>
              </w:rPr>
              <w:t>陕西榆佳环保科技有限公司</w:t>
            </w:r>
            <w:r>
              <w:rPr>
                <w:rFonts w:hint="default" w:ascii="Times New Roman" w:hAnsi="Times New Roman" w:eastAsia="宋体" w:cs="Times New Roman"/>
                <w:color w:val="auto"/>
                <w:lang w:val="en-US" w:eastAsia="zh-CN"/>
              </w:rPr>
              <w:t>采用防渗漏、防溢流的罐车外运处理</w:t>
            </w:r>
            <w:r>
              <w:rPr>
                <w:rFonts w:hint="default" w:ascii="Times New Roman" w:hAnsi="Times New Roman" w:eastAsia="宋体" w:cs="Times New Roman"/>
                <w:color w:val="auto"/>
              </w:rPr>
              <w:t>，不外排。</w:t>
            </w:r>
          </w:p>
          <w:p w14:paraId="6DD5443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w:t>
            </w:r>
            <w:r>
              <w:rPr>
                <w:rFonts w:hint="default" w:ascii="Times New Roman" w:hAnsi="Times New Roman" w:cs="Times New Roman"/>
                <w:color w:val="auto"/>
                <w:lang w:val="en-US" w:eastAsia="zh-CN"/>
              </w:rPr>
              <w:t>陕西榆佳环保科技有限公司概况</w:t>
            </w:r>
          </w:p>
          <w:p w14:paraId="64FEED6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陕西榆佳环保科技有限公司位于榆林市佳县王家砭镇榆佳经济技术开发区，主要处理佳县及周边气田开采过程产生的泥浆压滤液和压裂返排液。项目采用“二级酸析反应沉淀+液碱+CO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+隔膜压滤＋精密过滤＋紫外杀菌”工艺对作业废水进行无害化处理，处理规模为2000m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/d，处理后水质达到《碎屑岩油藏注水水质指标技术要求及分析方法》（SY/T5329-2022）用于油(气)开采企业钻井作业或钻井泥浆的配置等</w:t>
            </w:r>
            <w:r>
              <w:rPr>
                <w:rFonts w:hint="default" w:ascii="Times New Roman" w:hAnsi="Times New Roman" w:cs="Times New Roman"/>
                <w:color w:val="auto"/>
                <w:lang w:val="en-US" w:eastAsia="zh-CN"/>
              </w:rPr>
              <w:t>。</w:t>
            </w:r>
          </w:p>
          <w:p w14:paraId="06B8202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②处理工艺流程</w:t>
            </w:r>
          </w:p>
          <w:p w14:paraId="5F19061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集中处理厂水处理工艺流程见图5-1。</w:t>
            </w:r>
          </w:p>
          <w:p w14:paraId="5CA844D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rPr>
            </w:pPr>
            <w:r>
              <w:rPr>
                <w:color w:val="auto"/>
              </w:rPr>
              <w:drawing>
                <wp:inline distT="0" distB="0" distL="114300" distR="114300">
                  <wp:extent cx="5551170" cy="7093585"/>
                  <wp:effectExtent l="0" t="0" r="11430"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0"/>
                          <a:stretch>
                            <a:fillRect/>
                          </a:stretch>
                        </pic:blipFill>
                        <pic:spPr>
                          <a:xfrm>
                            <a:off x="0" y="0"/>
                            <a:ext cx="5551170" cy="7093585"/>
                          </a:xfrm>
                          <a:prstGeom prst="rect">
                            <a:avLst/>
                          </a:prstGeom>
                          <a:noFill/>
                          <a:ln>
                            <a:noFill/>
                          </a:ln>
                        </pic:spPr>
                      </pic:pic>
                    </a:graphicData>
                  </a:graphic>
                </wp:inline>
              </w:drawing>
            </w:r>
          </w:p>
          <w:p w14:paraId="643FDF05">
            <w:pPr>
              <w:pStyle w:val="10"/>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水</w:t>
            </w:r>
            <w:r>
              <w:rPr>
                <w:rFonts w:hint="default" w:ascii="Times New Roman" w:hAnsi="Times New Roman" w:cs="Times New Roman"/>
                <w:color w:val="auto"/>
                <w:sz w:val="21"/>
                <w:szCs w:val="21"/>
                <w:lang w:eastAsia="zh-CN"/>
              </w:rPr>
              <w:t>处理工艺流程图</w:t>
            </w:r>
          </w:p>
          <w:p w14:paraId="28E23C4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③环保手续执行情况</w:t>
            </w:r>
          </w:p>
          <w:p w14:paraId="6857738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该项目于202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11</w:t>
            </w:r>
            <w:r>
              <w:rPr>
                <w:rFonts w:hint="default" w:ascii="Times New Roman" w:hAnsi="Times New Roman" w:cs="Times New Roman"/>
                <w:color w:val="auto"/>
                <w:lang w:val="en-US" w:eastAsia="zh-CN"/>
              </w:rPr>
              <w:t>日取得了榆林市</w:t>
            </w:r>
            <w:r>
              <w:rPr>
                <w:rFonts w:hint="eastAsia" w:ascii="Times New Roman" w:hAnsi="Times New Roman" w:cs="Times New Roman"/>
                <w:color w:val="auto"/>
                <w:lang w:val="en-US" w:eastAsia="zh-CN"/>
              </w:rPr>
              <w:t>生态环境局</w:t>
            </w:r>
            <w:r>
              <w:rPr>
                <w:rFonts w:hint="default" w:ascii="Times New Roman" w:hAnsi="Times New Roman" w:cs="Times New Roman"/>
                <w:color w:val="auto"/>
                <w:lang w:val="en-US" w:eastAsia="zh-CN"/>
              </w:rPr>
              <w:t>下发的环评批复（榆政</w:t>
            </w:r>
            <w:r>
              <w:rPr>
                <w:rFonts w:hint="eastAsia" w:ascii="Times New Roman" w:hAnsi="Times New Roman" w:cs="Times New Roman"/>
                <w:color w:val="auto"/>
                <w:lang w:val="en-US" w:eastAsia="zh-CN"/>
              </w:rPr>
              <w:t>环批复</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85</w:t>
            </w:r>
            <w:r>
              <w:rPr>
                <w:rFonts w:hint="default" w:ascii="Times New Roman" w:hAnsi="Times New Roman" w:cs="Times New Roman"/>
                <w:color w:val="auto"/>
                <w:lang w:val="en-US" w:eastAsia="zh-CN"/>
              </w:rPr>
              <w:t>号），</w:t>
            </w:r>
            <w:r>
              <w:rPr>
                <w:rFonts w:hint="eastAsia" w:ascii="Times New Roman" w:hAnsi="Times New Roman" w:cs="Times New Roman"/>
                <w:color w:val="auto"/>
                <w:lang w:val="en-US" w:eastAsia="zh-CN"/>
              </w:rPr>
              <w:t>于2024年10月9日取得了榆林市生态环境局下发的排污许可证，证书编号为91610828MA7LY0FQ2A001V，</w:t>
            </w:r>
            <w:r>
              <w:rPr>
                <w:rFonts w:hint="default" w:ascii="Times New Roman" w:hAnsi="Times New Roman" w:cs="Times New Roman"/>
                <w:color w:val="auto"/>
                <w:lang w:val="en-US" w:eastAsia="zh-CN"/>
              </w:rPr>
              <w:t>于202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12</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28</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完成了</w:t>
            </w:r>
            <w:r>
              <w:rPr>
                <w:rFonts w:hint="default" w:ascii="Times New Roman" w:hAnsi="Times New Roman" w:cs="Times New Roman"/>
                <w:color w:val="auto"/>
                <w:lang w:val="en-US" w:eastAsia="zh-CN"/>
              </w:rPr>
              <w:t>竣工环境保护验收，目前正常运行。</w:t>
            </w:r>
          </w:p>
          <w:p w14:paraId="707CDE8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④依托可行性分析</w:t>
            </w:r>
          </w:p>
          <w:p w14:paraId="7A45762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陕西榆佳环保科技有限公司处置能力范围涵盖压裂返排液、泥浆压滤废液处理等，根据《陕西榆佳环保科技有限公司佳县榆佳经济技术开发区污水处理厂项目（一期）环境影响报告书》，设计进水水质为：pH：6~12；SS&lt;2000mg/L；溶解性总固体＜60000mg/L；总硬度(以CaCO3计)&lt;30000mg/L，处理规模为2000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/d。本项目产生的废水主要为钻井、洗井废水，压裂返排液，放喷废液等，水质同其他油气田水质基本项目。</w:t>
            </w:r>
          </w:p>
          <w:p w14:paraId="4D7056B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设计水处理规模为</w:t>
            </w:r>
            <w:r>
              <w:rPr>
                <w:rFonts w:hint="eastAsia" w:ascii="Times New Roman" w:hAnsi="Times New Roman" w:cs="Times New Roman"/>
                <w:color w:val="auto"/>
                <w:lang w:val="en-US" w:eastAsia="zh-CN"/>
              </w:rPr>
              <w:t>2000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/d，本项目最大废水产生量约为</w:t>
            </w:r>
            <w:r>
              <w:rPr>
                <w:rFonts w:hint="eastAsia" w:ascii="Times New Roman" w:hAnsi="Times New Roman" w:cs="Times New Roman"/>
                <w:color w:val="auto"/>
                <w:lang w:val="en-US" w:eastAsia="zh-CN"/>
              </w:rPr>
              <w:t>908.29</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（18.1658</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，处理能力能够满足本项目需求，依托可行。</w:t>
            </w:r>
          </w:p>
          <w:p w14:paraId="23A833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四、噪声防治措施</w:t>
            </w:r>
          </w:p>
          <w:p w14:paraId="1F1434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钻井过程中噪声主要为钻井噪声和完井测试噪声，钻井噪声主要来源于钻井设备、泥浆泵、振动筛</w:t>
            </w:r>
            <w:r>
              <w:rPr>
                <w:rFonts w:hint="eastAsia" w:ascii="Times New Roman" w:hAnsi="Times New Roman" w:eastAsia="宋体" w:cs="Times New Roman"/>
                <w:b w:val="0"/>
                <w:bCs w:val="0"/>
                <w:color w:val="auto"/>
                <w:sz w:val="24"/>
                <w:szCs w:val="24"/>
                <w:vertAlign w:val="baseline"/>
                <w:lang w:val="en-US" w:eastAsia="zh-CN"/>
              </w:rPr>
              <w:t>、压裂车</w:t>
            </w:r>
            <w:r>
              <w:rPr>
                <w:rFonts w:hint="default" w:ascii="Times New Roman" w:hAnsi="Times New Roman" w:eastAsia="宋体" w:cs="Times New Roman"/>
                <w:b w:val="0"/>
                <w:bCs w:val="0"/>
                <w:color w:val="auto"/>
                <w:sz w:val="24"/>
                <w:szCs w:val="24"/>
                <w:vertAlign w:val="baseline"/>
                <w:lang w:val="en-US" w:eastAsia="zh-CN"/>
              </w:rPr>
              <w:t>等连续性噪声，噪声源强在85~100dB(A)，为减轻本项目施工期噪声对周围环境的影响，要求采取必要的噪声控制措施。具体措施如下：</w:t>
            </w:r>
          </w:p>
          <w:p w14:paraId="19206B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①严格控制施工时间，合理安排施工计划，尽可能避开午休时间动用高噪声设备。</w:t>
            </w:r>
          </w:p>
          <w:p w14:paraId="4C94B7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②钻机应选用低噪声设备，安装基础减振垫，场区四周应设置围挡</w:t>
            </w:r>
            <w:r>
              <w:rPr>
                <w:rFonts w:hint="eastAsia" w:ascii="Times New Roman" w:hAnsi="Times New Roman" w:eastAsia="宋体" w:cs="Times New Roman"/>
                <w:b w:val="0"/>
                <w:bCs w:val="0"/>
                <w:color w:val="auto"/>
                <w:sz w:val="24"/>
                <w:szCs w:val="24"/>
                <w:vertAlign w:val="baseline"/>
                <w:lang w:val="en-US" w:eastAsia="zh-CN"/>
              </w:rPr>
              <w:t>；压裂车设置隔声设备，仅在白天运行，控制压裂作业频率，</w:t>
            </w:r>
            <w:r>
              <w:rPr>
                <w:rFonts w:hint="default" w:ascii="Times New Roman" w:hAnsi="Times New Roman" w:eastAsia="宋体" w:cs="Times New Roman"/>
                <w:b w:val="0"/>
                <w:bCs w:val="0"/>
                <w:color w:val="auto"/>
                <w:sz w:val="24"/>
                <w:szCs w:val="24"/>
                <w:vertAlign w:val="baseline"/>
                <w:lang w:val="en-US" w:eastAsia="zh-CN"/>
              </w:rPr>
              <w:t>以进一步降低该部分噪声对周围环境的影响。</w:t>
            </w:r>
          </w:p>
          <w:p w14:paraId="0D55C4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③优化运输路线，车辆应避免经过敏感路段；车辆在经过周边村庄时应减速，减少鸣笛等，避免出现扰民现象。</w:t>
            </w:r>
          </w:p>
          <w:p w14:paraId="5AEB81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④降低施工设备噪声，尽量采用低噪声设备；注意对施工机械定期维修保养，使机械保持最佳工作状态，噪声降低到最低水平。</w:t>
            </w:r>
          </w:p>
          <w:p w14:paraId="02B58C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⑤同一施工地点应避免安排大量动力机械设备，以免局部累积声级过高。选择低噪声设备。</w:t>
            </w:r>
          </w:p>
          <w:p w14:paraId="127805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通过采取上述综合降噪措施，可有效降低施工过程噪声对周围环境的影响，确保施工期各项施工活动产生的噪声达到《建筑施工场界环境噪声排放标准》（GB12523-2011）中的相关规定限值要求，对周围环境影响较小。</w:t>
            </w:r>
          </w:p>
          <w:p w14:paraId="40F64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五、地下水防治措施</w:t>
            </w:r>
          </w:p>
          <w:p w14:paraId="5C120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本项目采取的地下水污染防治措施如下：</w:t>
            </w:r>
          </w:p>
          <w:p w14:paraId="33A29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1、表层固井要求：表层固井必须封固含水层。</w:t>
            </w:r>
          </w:p>
          <w:p w14:paraId="1AF75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固井作业要求：为了确保地层的承压能力能够满足固井时防漏及打开气层时安全钻井的需要，在进入气层前必须按工程设计要求进行转化钻井液和工艺堵漏；固井所用水泥、外掺料、外加剂及水泥浆配方必须经长庆油田分公司天然气评价项目部工程技术管理部检验认可备案后，方可使用。</w:t>
            </w:r>
          </w:p>
          <w:p w14:paraId="0C77F1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3、生产套管固井钻水泥塞要求：生产套管固井后，必须用大排量循环冲洗干净水泥塞连接处的胶皮及铝片。</w:t>
            </w:r>
          </w:p>
          <w:p w14:paraId="41A4CD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4、其他要求：</w:t>
            </w:r>
          </w:p>
          <w:p w14:paraId="65CD1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（1）钻井中遇到潜水层，下套管时应注水泥封固，防止地下水层被地层其它流体或钻井泥浆污染</w:t>
            </w:r>
            <w:r>
              <w:rPr>
                <w:rFonts w:hint="eastAsia" w:ascii="Times New Roman" w:hAnsi="Times New Roman" w:eastAsia="宋体" w:cs="Times New Roman"/>
                <w:b w:val="0"/>
                <w:bCs w:val="0"/>
                <w:color w:val="auto"/>
                <w:sz w:val="24"/>
                <w:szCs w:val="24"/>
                <w:vertAlign w:val="baseline"/>
                <w:lang w:val="en-US" w:eastAsia="zh-CN"/>
              </w:rPr>
              <w:t>。</w:t>
            </w:r>
          </w:p>
          <w:p w14:paraId="4388EB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固井要求水泥环有可靠的密封，环空封固段不窜、不漏、胶结良好，能承受高压；套管的设计必须完全符合整个井生命周期中的钻井、完井和生产过程中所有的技术要求，要求套管有足够的强度，在整个井生命周期内能够承受各种外力作用，抗腐蚀、不断、不裂、不变形。固井水泥的返高也是封隔井筒与地下水的主要措施，本项目导管和一开固井水泥均返高至地面，可以多层防护与隔绝井内流体与含水层之间的联系。</w:t>
            </w:r>
          </w:p>
          <w:p w14:paraId="57CE65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评价要求施工全程定期对井内套管和井壁进行渗漏检查、修缮，防止套管和井壁发生损坏钻导致钻井液的漏失污染地下水。</w:t>
            </w:r>
          </w:p>
          <w:p w14:paraId="49D16A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（3）钻井过程中采取平衡钻进，避免因压力挤动和开泵过猛使泥浆憋入地层；</w:t>
            </w:r>
          </w:p>
          <w:p w14:paraId="12D830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井场储备足够的封堵剂，钻井过程中应密切注意钻井液的漏失情况，一旦出现漏失，应立即采取堵漏措施，防止钻井液的漏失污染地下水；堵漏剂的选取应考虑清洁、无毒、对人体无害、环境污染轻的种类，建议使用水泥堵漏。</w:t>
            </w:r>
          </w:p>
          <w:p w14:paraId="3BD32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（5）在井下作业过程中，钻井液和压裂液应集中配置，洗井废水、压裂返排液应100%回收。</w:t>
            </w:r>
          </w:p>
          <w:p w14:paraId="11657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（6）钻井、压裂作业和试井过程应采取防喷、地面管线防刺、防漏、防溢等措施。</w:t>
            </w:r>
          </w:p>
          <w:p w14:paraId="643135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（7）应定期对井内套管和井壁进行检查、修缮，防止套管和井壁发生损坏。</w:t>
            </w:r>
          </w:p>
          <w:p w14:paraId="636A80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5、防渗措施</w:t>
            </w:r>
          </w:p>
          <w:p w14:paraId="7F00E4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为进一步减少工程建设对地下水环境的影响，环评建议对井场各区域切实做好防渗措施，具体要求见下表。</w:t>
            </w:r>
          </w:p>
          <w:p w14:paraId="2B342D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表5-3   项目分区防渗措施要求</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06"/>
              <w:gridCol w:w="2004"/>
              <w:gridCol w:w="5829"/>
            </w:tblGrid>
            <w:tr w14:paraId="53C3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6B7ED02F">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分区</w:t>
                  </w:r>
                </w:p>
              </w:tc>
              <w:tc>
                <w:tcPr>
                  <w:tcW w:w="1905" w:type="dxa"/>
                  <w:vAlign w:val="center"/>
                </w:tcPr>
                <w:p w14:paraId="3DD1301A">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位置</w:t>
                  </w:r>
                </w:p>
              </w:tc>
              <w:tc>
                <w:tcPr>
                  <w:tcW w:w="5541" w:type="dxa"/>
                  <w:vAlign w:val="center"/>
                </w:tcPr>
                <w:p w14:paraId="3B9A4FB3">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防渗要求</w:t>
                  </w:r>
                </w:p>
              </w:tc>
            </w:tr>
            <w:tr w14:paraId="4A19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restart"/>
                  <w:vAlign w:val="center"/>
                </w:tcPr>
                <w:p w14:paraId="61B2C9E8">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w:t>
                  </w:r>
                </w:p>
              </w:tc>
              <w:tc>
                <w:tcPr>
                  <w:tcW w:w="1905" w:type="dxa"/>
                  <w:vAlign w:val="center"/>
                </w:tcPr>
                <w:p w14:paraId="531E2B75">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钻井工作区、泥浆不落地系统区、钻井液材料房、储罐区</w:t>
                  </w:r>
                </w:p>
              </w:tc>
              <w:tc>
                <w:tcPr>
                  <w:tcW w:w="5541" w:type="dxa"/>
                  <w:vAlign w:val="center"/>
                </w:tcPr>
                <w:p w14:paraId="3FD3E157">
                  <w:pPr>
                    <w:pStyle w:val="27"/>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地面底部利用机械将衬层压实，四周用土堆成简易围堰，围堰内地面连同四周的土围堰整体铺设防渗材料</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HDPE膜，不低于2mm厚</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，等效黏土防渗层Mb≥6.0m，K≤1×10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cm/s，HDPE膜敷设面积应适当扩大，覆盖围堰区外延1.0m范围。</w:t>
                  </w:r>
                </w:p>
              </w:tc>
            </w:tr>
            <w:tr w14:paraId="7E06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continue"/>
                  <w:vAlign w:val="center"/>
                </w:tcPr>
                <w:p w14:paraId="59F786C1">
                  <w:pPr>
                    <w:pStyle w:val="27"/>
                    <w:bidi w:val="0"/>
                    <w:jc w:val="center"/>
                    <w:rPr>
                      <w:rFonts w:hint="default" w:ascii="Times New Roman" w:hAnsi="Times New Roman" w:cs="Times New Roman"/>
                      <w:color w:val="auto"/>
                      <w:sz w:val="21"/>
                      <w:szCs w:val="21"/>
                    </w:rPr>
                  </w:pPr>
                </w:p>
              </w:tc>
              <w:tc>
                <w:tcPr>
                  <w:tcW w:w="1905" w:type="dxa"/>
                  <w:vAlign w:val="center"/>
                </w:tcPr>
                <w:p w14:paraId="4D9B2400">
                  <w:pPr>
                    <w:pStyle w:val="27"/>
                    <w:bidi w:val="0"/>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放喷池</w:t>
                  </w:r>
                </w:p>
              </w:tc>
              <w:tc>
                <w:tcPr>
                  <w:tcW w:w="5541" w:type="dxa"/>
                  <w:vAlign w:val="center"/>
                </w:tcPr>
                <w:p w14:paraId="6FB94075">
                  <w:pPr>
                    <w:pStyle w:val="27"/>
                    <w:bidi w:val="0"/>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池底填筑一定厚度的土壤后压实，池底及四周铺设复合防水卷材作防渗漏处理，防水卷材搭接长度不小于300mm，等效黏土防渗层Mb≥6.0m，K≤1×10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p>
              </w:tc>
            </w:tr>
            <w:tr w14:paraId="616A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continue"/>
                  <w:vAlign w:val="center"/>
                </w:tcPr>
                <w:p w14:paraId="6BFFCD53">
                  <w:pPr>
                    <w:pStyle w:val="27"/>
                    <w:bidi w:val="0"/>
                    <w:jc w:val="center"/>
                    <w:rPr>
                      <w:rFonts w:hint="default" w:ascii="Times New Roman" w:hAnsi="Times New Roman" w:cs="Times New Roman"/>
                      <w:color w:val="auto"/>
                      <w:sz w:val="21"/>
                      <w:szCs w:val="21"/>
                    </w:rPr>
                  </w:pPr>
                </w:p>
              </w:tc>
              <w:tc>
                <w:tcPr>
                  <w:tcW w:w="1905" w:type="dxa"/>
                  <w:vAlign w:val="center"/>
                </w:tcPr>
                <w:p w14:paraId="6F12484E">
                  <w:pPr>
                    <w:pStyle w:val="27"/>
                    <w:bidi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撬装式</w:t>
                  </w:r>
                  <w:r>
                    <w:rPr>
                      <w:rFonts w:hint="eastAsia" w:cs="Times New Roman"/>
                      <w:color w:val="auto"/>
                      <w:sz w:val="21"/>
                      <w:szCs w:val="21"/>
                      <w:lang w:eastAsia="zh-CN"/>
                    </w:rPr>
                    <w:t>危废贮存库</w:t>
                  </w:r>
                </w:p>
              </w:tc>
              <w:tc>
                <w:tcPr>
                  <w:tcW w:w="5541" w:type="dxa"/>
                  <w:vAlign w:val="center"/>
                </w:tcPr>
                <w:p w14:paraId="34862706">
                  <w:pPr>
                    <w:pStyle w:val="27"/>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采用撬装式</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，防渗同时可满足《危险废物贮存污染控制标准》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GB18597-2023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的相关要求，防渗层渗透系数小于1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p>
              </w:tc>
            </w:tr>
            <w:tr w14:paraId="253D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2" w:hRule="atLeast"/>
                <w:jc w:val="center"/>
              </w:trPr>
              <w:tc>
                <w:tcPr>
                  <w:tcW w:w="766" w:type="dxa"/>
                  <w:vAlign w:val="center"/>
                </w:tcPr>
                <w:p w14:paraId="7BD76719">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一般防渗区</w:t>
                  </w:r>
                </w:p>
              </w:tc>
              <w:tc>
                <w:tcPr>
                  <w:tcW w:w="1905" w:type="dxa"/>
                  <w:vAlign w:val="center"/>
                </w:tcPr>
                <w:p w14:paraId="4B5B2888">
                  <w:pPr>
                    <w:pStyle w:val="27"/>
                    <w:bidi w:val="0"/>
                    <w:jc w:val="center"/>
                    <w:rPr>
                      <w:rFonts w:hint="default" w:cs="Times New Roman"/>
                      <w:color w:val="auto"/>
                      <w:sz w:val="21"/>
                      <w:szCs w:val="21"/>
                      <w:lang w:val="en-US" w:eastAsia="zh-CN"/>
                    </w:rPr>
                  </w:pPr>
                  <w:r>
                    <w:rPr>
                      <w:rFonts w:hint="eastAsia" w:cs="Times New Roman"/>
                      <w:color w:val="auto"/>
                      <w:sz w:val="21"/>
                      <w:szCs w:val="21"/>
                      <w:lang w:val="en-US" w:eastAsia="zh-CN"/>
                    </w:rPr>
                    <w:t>卫生旱厕、原辅材料存储区</w:t>
                  </w:r>
                </w:p>
              </w:tc>
              <w:tc>
                <w:tcPr>
                  <w:tcW w:w="5541" w:type="dxa"/>
                  <w:vAlign w:val="center"/>
                </w:tcPr>
                <w:p w14:paraId="4E75E086">
                  <w:pPr>
                    <w:pStyle w:val="27"/>
                    <w:keepNext w:val="0"/>
                    <w:keepLines w:val="0"/>
                    <w:pageBreakBefore w:val="0"/>
                    <w:widowControl w:val="0"/>
                    <w:kinsoku/>
                    <w:wordWrap/>
                    <w:overflowPunct/>
                    <w:topLinePunct w:val="0"/>
                    <w:autoSpaceDE/>
                    <w:autoSpaceDN/>
                    <w:bidi w:val="0"/>
                    <w:adjustRightInd w:val="0"/>
                    <w:snapToGrid w:val="0"/>
                    <w:jc w:val="both"/>
                    <w:textAlignment w:val="center"/>
                    <w:rPr>
                      <w:rFonts w:hint="default" w:cs="Times New Roman"/>
                      <w:color w:val="auto"/>
                      <w:sz w:val="21"/>
                      <w:szCs w:val="21"/>
                      <w:lang w:val="en-US" w:eastAsia="zh-CN"/>
                    </w:rPr>
                  </w:pPr>
                  <w:r>
                    <w:rPr>
                      <w:rFonts w:hint="eastAsia" w:cs="Times New Roman"/>
                      <w:color w:val="auto"/>
                      <w:sz w:val="21"/>
                      <w:szCs w:val="21"/>
                      <w:lang w:val="en-US" w:eastAsia="zh-CN"/>
                    </w:rPr>
                    <w:t>地面底部利用机械将衬层压实，单层高密度聚乙烯（HDPE）防渗土工膜；等效黏土防渗层Mb≥1.5m，K≤1×10</w:t>
                  </w:r>
                  <w:r>
                    <w:rPr>
                      <w:rFonts w:hint="eastAsia" w:cs="Times New Roman"/>
                      <w:color w:val="auto"/>
                      <w:sz w:val="21"/>
                      <w:szCs w:val="21"/>
                      <w:vertAlign w:val="superscript"/>
                      <w:lang w:val="en-US" w:eastAsia="zh-CN"/>
                    </w:rPr>
                    <w:t>-7</w:t>
                  </w:r>
                  <w:r>
                    <w:rPr>
                      <w:rFonts w:hint="eastAsia" w:cs="Times New Roman"/>
                      <w:color w:val="auto"/>
                      <w:sz w:val="21"/>
                      <w:szCs w:val="21"/>
                      <w:lang w:val="en-US" w:eastAsia="zh-CN"/>
                    </w:rPr>
                    <w:t>cm/s，或参考GB16689执行。</w:t>
                  </w:r>
                </w:p>
              </w:tc>
            </w:tr>
            <w:tr w14:paraId="4FA5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1E45B000">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简单防渗区</w:t>
                  </w:r>
                </w:p>
              </w:tc>
              <w:tc>
                <w:tcPr>
                  <w:tcW w:w="1905" w:type="dxa"/>
                  <w:vAlign w:val="center"/>
                </w:tcPr>
                <w:p w14:paraId="3CE3980A">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生活区、</w:t>
                  </w:r>
                  <w:r>
                    <w:rPr>
                      <w:rFonts w:hint="default" w:ascii="Times New Roman" w:hAnsi="Times New Roman" w:cs="Times New Roman"/>
                      <w:color w:val="auto"/>
                      <w:sz w:val="21"/>
                      <w:szCs w:val="21"/>
                      <w:lang w:val="en-US" w:eastAsia="zh-CN"/>
                    </w:rPr>
                    <w:t>物料区等其他</w:t>
                  </w:r>
                  <w:r>
                    <w:rPr>
                      <w:rFonts w:hint="default" w:ascii="Times New Roman" w:hAnsi="Times New Roman" w:cs="Times New Roman"/>
                      <w:color w:val="auto"/>
                      <w:sz w:val="21"/>
                      <w:szCs w:val="21"/>
                    </w:rPr>
                    <w:t>区域</w:t>
                  </w:r>
                </w:p>
              </w:tc>
              <w:tc>
                <w:tcPr>
                  <w:tcW w:w="5541" w:type="dxa"/>
                  <w:vAlign w:val="center"/>
                </w:tcPr>
                <w:p w14:paraId="045D495E">
                  <w:pPr>
                    <w:pStyle w:val="27"/>
                    <w:bidi w:val="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采用黏土碾压方式进行防渗</w:t>
                  </w:r>
                  <w:r>
                    <w:rPr>
                      <w:rFonts w:hint="default" w:ascii="Times New Roman" w:hAnsi="Times New Roman" w:cs="Times New Roman"/>
                      <w:color w:val="auto"/>
                      <w:sz w:val="21"/>
                      <w:szCs w:val="21"/>
                      <w:lang w:eastAsia="zh-CN"/>
                    </w:rPr>
                    <w:t>。</w:t>
                  </w:r>
                </w:p>
              </w:tc>
            </w:tr>
          </w:tbl>
          <w:p w14:paraId="64BD86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六、固体废物防治措施</w:t>
            </w:r>
          </w:p>
          <w:p w14:paraId="6AD7BC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项目钻井过程中产生的固体废物主要有泥饼、废弃泥浆、钻井队员工产生的生活垃圾等。</w:t>
            </w:r>
          </w:p>
          <w:p w14:paraId="289CD9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（1）钻井岩屑</w:t>
            </w:r>
            <w:r>
              <w:rPr>
                <w:rFonts w:hint="eastAsia" w:ascii="Times New Roman" w:hAnsi="Times New Roman" w:eastAsia="宋体" w:cs="Times New Roman"/>
                <w:b/>
                <w:bCs/>
                <w:color w:val="auto"/>
                <w:sz w:val="24"/>
                <w:szCs w:val="24"/>
                <w:vertAlign w:val="baseline"/>
                <w:lang w:val="en-US" w:eastAsia="zh-CN"/>
              </w:rPr>
              <w:t>、废弃泥浆</w:t>
            </w:r>
          </w:p>
          <w:p w14:paraId="1362B85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①废弃泥浆</w:t>
            </w:r>
          </w:p>
          <w:p w14:paraId="65899BE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废弃钻井泥浆是指在钻井过程中无法利用的剩余泥浆，按照《榆林市油（气）开采废弃物处置环保暂行管理办法》（榆政环发〔2015〕170号）的相关要求进行收集，经场地内泥浆不落地系统配套的移动式收集罐暂存，委托陕西德禾鑫盛环保科技有限公司外运处置。</w:t>
            </w:r>
          </w:p>
          <w:p w14:paraId="280A163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项目钻井过程采用移动式泥浆罐，按照钻井过程中液相及固相落地点，进行点对点式收集、储存，实现液相和固相的不落地。收集的废钻井液利用高效固液分离技术，形成再生钻井液，实现废弃钻井液重复利用。</w:t>
            </w:r>
          </w:p>
          <w:p w14:paraId="0C98FFB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本项目泥浆循环利用工艺流程见图</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p>
          <w:p w14:paraId="42FFF3D7">
            <w:pPr>
              <w:pStyle w:val="26"/>
              <w:bidi w:val="0"/>
              <w:ind w:left="0" w:leftChars="0" w:firstLine="0" w:firstLineChars="0"/>
              <w:jc w:val="center"/>
              <w:rPr>
                <w:rFonts w:hint="default" w:ascii="Times New Roman" w:hAnsi="Times New Roman" w:cs="Times New Roman"/>
                <w:color w:val="auto"/>
                <w:sz w:val="24"/>
                <w:lang w:bidi="ar"/>
              </w:rPr>
            </w:pPr>
            <w:r>
              <w:rPr>
                <w:color w:val="auto"/>
              </w:rPr>
              <w:drawing>
                <wp:inline distT="0" distB="0" distL="114300" distR="114300">
                  <wp:extent cx="5247640" cy="3703955"/>
                  <wp:effectExtent l="0" t="0" r="1016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5247640" cy="3703955"/>
                          </a:xfrm>
                          <a:prstGeom prst="rect">
                            <a:avLst/>
                          </a:prstGeom>
                          <a:noFill/>
                          <a:ln>
                            <a:noFill/>
                          </a:ln>
                        </pic:spPr>
                      </pic:pic>
                    </a:graphicData>
                  </a:graphic>
                </wp:inline>
              </w:drawing>
            </w:r>
          </w:p>
          <w:p w14:paraId="7A813485">
            <w:pPr>
              <w:pStyle w:val="10"/>
              <w:bidi w:val="0"/>
              <w:ind w:left="0" w:leftChars="0" w:firstLine="0" w:firstLineChars="0"/>
              <w:jc w:val="center"/>
              <w:rPr>
                <w:rFonts w:hint="default"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 xml:space="preserve">  泥浆循环利用工艺流程图</w:t>
            </w:r>
          </w:p>
          <w:p w14:paraId="16489FA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工艺流程如下：</w:t>
            </w:r>
          </w:p>
          <w:p w14:paraId="467F1ED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钻井固废(岩屑、泥浆压滤后废弃物)经各井场收集运输至厂区，由专用车辆运输到卸料车间内，产生的渗滤液进入滤液水池内暂存。卸料车间内的物料再通过给料机和皮带输送机传送至固化处理车间的振动筛进行筛分,经分后剔除铁块等杂物，筛分后物料经皮带传送至拌合机，在拌合机内添加辅料固化后经皮带运送至填埋场进行填埋处置。固化车间主要对来料固废通过添加固化剂进行固化，项目所用的固化剂主要由pH调整剂(硫酸亚铁)、结晶整合剂(水泥)、土壤改良剂(石灰粉)成分组成，全部外购入厂。水泥、石灰粉采用密闭的罐车运输至厂区，用输料管将罐车的出料口与简仓的进料口连接，通过气力输送至简仓中存储，简仓为密闭结构。pH调整剂(硫酸亚铁)存于厂区药剂库，在固化时，与水按比例混合后贮存在罐内。固化剂通过输送管道打入搅拌机与填埋物进行混合</w:t>
            </w:r>
            <w:r>
              <w:rPr>
                <w:rFonts w:hint="eastAsia" w:ascii="Times New Roman" w:hAnsi="Times New Roman" w:eastAsia="宋体" w:cs="Times New Roman"/>
                <w:color w:val="auto"/>
                <w:lang w:eastAsia="zh-CN"/>
              </w:rPr>
              <w:t>。</w:t>
            </w:r>
          </w:p>
          <w:p w14:paraId="210D4AC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钻井过程中，井场作业区域地面全部铺设土工布进行地面防渗，井场内不开挖泥浆池，泥浆存于循环罐内，岩屑暂存在钢制收集罐内，储罐底部均铺设防渗布。施工期间在井场对钻井各环节产生的废弃泥浆收集，采取“铺设作业、带罐上岗”的模式作业，规范处理，井场作业完成3天内废弃钻井泥浆交由陕西德禾鑫盛环保科技有限公司处置，对环境影响较小。废弃钻井泥浆在井场经罐车拉运至集中处理场地，谨防抛洒。</w:t>
            </w:r>
          </w:p>
          <w:p w14:paraId="6B436A6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②钻井岩屑</w:t>
            </w:r>
          </w:p>
          <w:p w14:paraId="57195B4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钻井过程中，岩石被钻头破碎成岩屑，随着泥浆经循环泵带出井口，经地面的泥浆不落地系统处理分离，根据本地区同类项目工程经验，钻井岩屑中不含重金属和放射性含量物质，属于Ⅱ类一般固废，委托陕西德禾鑫盛环保科技有限公司处置。本项目使用水基泥浆，钻井岩屑按照《榆林市油（气）开采废弃物处置环保暂行管理办法》（榆政环发〔2015〕170号）的相关要求进行收集。</w:t>
            </w:r>
          </w:p>
          <w:p w14:paraId="3373590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③依托可行性分析</w:t>
            </w:r>
          </w:p>
          <w:p w14:paraId="3917AE3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本项目产生的废弃钻井泥浆、钻井岩屑交由</w:t>
            </w:r>
            <w:r>
              <w:rPr>
                <w:rFonts w:hint="default" w:ascii="Times New Roman" w:hAnsi="Times New Roman" w:cs="Times New Roman"/>
                <w:color w:val="auto"/>
              </w:rPr>
              <w:t>陕西德禾鑫盛环保科技有限公司处置</w:t>
            </w:r>
            <w:r>
              <w:rPr>
                <w:rFonts w:hint="default" w:ascii="Times New Roman" w:hAnsi="Times New Roman" w:cs="Times New Roman"/>
                <w:color w:val="auto"/>
                <w:lang w:val="en-US" w:eastAsia="zh-CN"/>
              </w:rPr>
              <w:t>。</w:t>
            </w:r>
          </w:p>
          <w:p w14:paraId="01AA315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陕西德禾鑫盛环保科技有限公司</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关于佳县刘国具油气田开采废弃物集中处理项目（重大变动）环境影响报告书</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位于佳县刘国具镇斗范梁村，</w:t>
            </w:r>
            <w:r>
              <w:rPr>
                <w:rFonts w:hint="default" w:ascii="Times New Roman" w:hAnsi="Times New Roman" w:cs="Times New Roman"/>
                <w:color w:val="auto"/>
                <w:lang w:val="en-US" w:eastAsia="zh-CN"/>
              </w:rPr>
              <w:t>设计</w:t>
            </w:r>
            <w:r>
              <w:rPr>
                <w:rFonts w:hint="eastAsia" w:ascii="Times New Roman" w:hAnsi="Times New Roman" w:cs="Times New Roman"/>
                <w:color w:val="auto"/>
                <w:lang w:val="en-US" w:eastAsia="zh-CN"/>
              </w:rPr>
              <w:t>钻井岩屑、钻井废弃物处置量25万t</w:t>
            </w:r>
            <w:r>
              <w:rPr>
                <w:rFonts w:hint="eastAsia" w:ascii="Times New Roman" w:hAnsi="Times New Roman" w:cs="Times New Roman"/>
                <w:color w:val="auto"/>
                <w:vertAlign w:val="baseline"/>
                <w:lang w:val="en-US" w:eastAsia="zh-CN"/>
              </w:rPr>
              <w:t>/a、5</w:t>
            </w:r>
            <w:r>
              <w:rPr>
                <w:rFonts w:hint="eastAsia" w:ascii="Times New Roman" w:hAnsi="Times New Roman" w:cs="Times New Roman"/>
                <w:color w:val="auto"/>
                <w:lang w:val="en-US" w:eastAsia="zh-CN"/>
              </w:rPr>
              <w:t>万t</w:t>
            </w:r>
            <w:r>
              <w:rPr>
                <w:rFonts w:hint="eastAsia" w:ascii="Times New Roman" w:hAnsi="Times New Roman" w:cs="Times New Roman"/>
                <w:color w:val="auto"/>
                <w:vertAlign w:val="baseline"/>
                <w:lang w:val="en-US" w:eastAsia="zh-CN"/>
              </w:rPr>
              <w:t>/a</w:t>
            </w:r>
            <w:r>
              <w:rPr>
                <w:rFonts w:hint="default" w:ascii="Times New Roman" w:hAnsi="Times New Roman" w:cs="Times New Roman"/>
                <w:color w:val="auto"/>
                <w:lang w:val="en-US" w:eastAsia="zh-CN"/>
              </w:rPr>
              <w:t>。</w:t>
            </w:r>
            <w:r>
              <w:rPr>
                <w:rFonts w:hint="default" w:ascii="Times New Roman" w:hAnsi="Times New Roman" w:cs="Times New Roman"/>
                <w:color w:val="auto"/>
              </w:rPr>
              <w:t>该</w:t>
            </w:r>
            <w:r>
              <w:rPr>
                <w:rFonts w:hint="eastAsia" w:ascii="Times New Roman" w:hAnsi="Times New Roman" w:eastAsia="宋体" w:cs="Times New Roman"/>
                <w:color w:val="auto"/>
                <w:lang w:val="en-US" w:eastAsia="zh-CN"/>
              </w:rPr>
              <w:t>项目</w:t>
            </w:r>
            <w:r>
              <w:rPr>
                <w:rFonts w:hint="default" w:ascii="Times New Roman" w:hAnsi="Times New Roman" w:cs="Times New Roman"/>
                <w:color w:val="auto"/>
              </w:rPr>
              <w:t>于202</w:t>
            </w:r>
            <w:r>
              <w:rPr>
                <w:rFonts w:hint="eastAsia" w:ascii="Times New Roman" w:hAnsi="Times New Roman" w:cs="Times New Roman"/>
                <w:color w:val="auto"/>
                <w:lang w:val="en-US" w:eastAsia="zh-CN"/>
              </w:rPr>
              <w:t>3</w:t>
            </w:r>
            <w:r>
              <w:rPr>
                <w:rFonts w:hint="default" w:ascii="Times New Roman" w:hAnsi="Times New Roman" w:cs="Times New Roman"/>
                <w:color w:val="auto"/>
              </w:rPr>
              <w:t>年</w:t>
            </w:r>
            <w:r>
              <w:rPr>
                <w:rFonts w:hint="eastAsia" w:ascii="Times New Roman" w:hAnsi="Times New Roman" w:eastAsia="宋体" w:cs="Times New Roman"/>
                <w:color w:val="auto"/>
                <w:lang w:val="en-US" w:eastAsia="zh-CN"/>
              </w:rPr>
              <w:t>6月9日</w:t>
            </w:r>
            <w:r>
              <w:rPr>
                <w:rFonts w:hint="default" w:ascii="Times New Roman" w:hAnsi="Times New Roman" w:cs="Times New Roman"/>
                <w:color w:val="auto"/>
              </w:rPr>
              <w:t>取得榆林市行政审批服务局环评批复文件（榆政审批生态发</w:t>
            </w:r>
            <w:r>
              <w:rPr>
                <w:rFonts w:hint="default" w:ascii="Times New Roman" w:hAnsi="Times New Roman" w:eastAsia="宋体" w:cs="Times New Roman"/>
                <w:color w:val="auto"/>
              </w:rPr>
              <w:t>〔</w:t>
            </w:r>
            <w:r>
              <w:rPr>
                <w:rFonts w:hint="default" w:ascii="Times New Roman" w:hAnsi="Times New Roman" w:cs="Times New Roman"/>
                <w:color w:val="auto"/>
              </w:rPr>
              <w:t>202</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4</w:t>
            </w:r>
            <w:r>
              <w:rPr>
                <w:rFonts w:hint="default" w:ascii="Times New Roman" w:hAnsi="Times New Roman" w:cs="Times New Roman"/>
                <w:color w:val="auto"/>
              </w:rPr>
              <w:t>号）</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已于2024年3月18日取得榆林市生态环境局下发排污许可证，证书编号为：91610828MA7C36978Y001V；于2024年4月19日完成竣工环境保护验收，目前运行正常。</w:t>
            </w:r>
          </w:p>
          <w:p w14:paraId="0813032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本项目施工期产生的钻井岩屑为</w:t>
            </w:r>
            <w:r>
              <w:rPr>
                <w:rFonts w:hint="eastAsia" w:ascii="Times New Roman" w:hAnsi="Times New Roman" w:eastAsia="宋体" w:cs="Times New Roman"/>
                <w:color w:val="auto"/>
                <w:lang w:val="en-US" w:eastAsia="zh-CN"/>
              </w:rPr>
              <w:t>452</w:t>
            </w:r>
            <w:r>
              <w:rPr>
                <w:rFonts w:hint="default" w:ascii="Times New Roman" w:hAnsi="Times New Roman" w:cs="Times New Roman"/>
                <w:color w:val="auto"/>
              </w:rPr>
              <w:t>t，</w:t>
            </w:r>
            <w:r>
              <w:rPr>
                <w:rFonts w:hint="default" w:ascii="Times New Roman" w:hAnsi="Times New Roman" w:cs="Times New Roman"/>
                <w:color w:val="auto"/>
                <w:lang w:val="en-US" w:eastAsia="zh-CN"/>
              </w:rPr>
              <w:t>废弃</w:t>
            </w:r>
            <w:r>
              <w:rPr>
                <w:rFonts w:hint="default" w:ascii="Times New Roman" w:hAnsi="Times New Roman" w:cs="Times New Roman"/>
                <w:color w:val="auto"/>
              </w:rPr>
              <w:t>钻井泥</w:t>
            </w:r>
            <w:r>
              <w:rPr>
                <w:rFonts w:hint="eastAsia" w:ascii="Times New Roman" w:hAnsi="Times New Roman" w:eastAsia="宋体" w:cs="Times New Roman"/>
                <w:color w:val="auto"/>
                <w:lang w:val="en-US" w:eastAsia="zh-CN"/>
              </w:rPr>
              <w:t>饼</w:t>
            </w:r>
            <w:r>
              <w:rPr>
                <w:rFonts w:hint="default" w:ascii="Times New Roman" w:hAnsi="Times New Roman" w:cs="Times New Roman"/>
                <w:color w:val="auto"/>
              </w:rPr>
              <w:t>为</w:t>
            </w:r>
            <w:r>
              <w:rPr>
                <w:rFonts w:hint="eastAsia" w:ascii="Times New Roman" w:hAnsi="Times New Roman" w:eastAsia="宋体" w:cs="Times New Roman"/>
                <w:color w:val="auto"/>
                <w:lang w:val="en-US" w:eastAsia="zh-CN"/>
              </w:rPr>
              <w:t>15.6</w:t>
            </w:r>
            <w:r>
              <w:rPr>
                <w:rFonts w:hint="default" w:ascii="Times New Roman" w:hAnsi="Times New Roman" w:cs="Times New Roman"/>
                <w:color w:val="auto"/>
              </w:rPr>
              <w:t>t，该填埋场能力能够满足本项目需求，依托可行。</w:t>
            </w:r>
          </w:p>
          <w:p w14:paraId="45330B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（3）废机油</w:t>
            </w:r>
          </w:p>
          <w:p w14:paraId="226A5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主要来源于清洗钻具、套管时产生的废机油，暂存于</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，委托有资质的单位进行处置。</w:t>
            </w:r>
          </w:p>
          <w:p w14:paraId="7BA29A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（4）生活垃圾</w:t>
            </w:r>
          </w:p>
          <w:p w14:paraId="34F0C9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探井人员生活垃圾由生活垃圾桶收集，委托当地环卫部门清运处置。</w:t>
            </w:r>
          </w:p>
          <w:p w14:paraId="3DA19A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（5）废纯碱、膨润土包装袋</w:t>
            </w:r>
            <w:r>
              <w:rPr>
                <w:rFonts w:hint="eastAsia" w:ascii="Times New Roman" w:hAnsi="Times New Roman" w:eastAsia="宋体" w:cs="Times New Roman"/>
                <w:b/>
                <w:bCs/>
                <w:color w:val="auto"/>
                <w:sz w:val="24"/>
                <w:szCs w:val="24"/>
                <w:vertAlign w:val="baseline"/>
                <w:lang w:val="en-US" w:eastAsia="zh-CN"/>
              </w:rPr>
              <w:t>、不含油废防渗布</w:t>
            </w:r>
          </w:p>
          <w:p w14:paraId="1324A2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废纯碱、膨润土包装袋</w:t>
            </w:r>
            <w:r>
              <w:rPr>
                <w:rFonts w:hint="eastAsia" w:ascii="Times New Roman" w:hAnsi="Times New Roman" w:eastAsia="宋体" w:cs="Times New Roman"/>
                <w:b w:val="0"/>
                <w:bCs w:val="0"/>
                <w:color w:val="auto"/>
                <w:sz w:val="24"/>
                <w:szCs w:val="24"/>
                <w:vertAlign w:val="baseline"/>
                <w:lang w:val="en-US" w:eastAsia="zh-CN"/>
              </w:rPr>
              <w:t>、不含油废防渗布</w:t>
            </w:r>
            <w:r>
              <w:rPr>
                <w:rFonts w:hint="default" w:ascii="Times New Roman" w:hAnsi="Times New Roman" w:eastAsia="宋体" w:cs="Times New Roman"/>
                <w:b w:val="0"/>
                <w:bCs w:val="0"/>
                <w:color w:val="auto"/>
                <w:sz w:val="24"/>
                <w:szCs w:val="24"/>
                <w:vertAlign w:val="baseline"/>
                <w:lang w:val="en-US" w:eastAsia="zh-CN"/>
              </w:rPr>
              <w:t>集中收集后交由物资回收公司进行回收再利用。</w:t>
            </w:r>
          </w:p>
          <w:p w14:paraId="7ED304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（6）</w:t>
            </w:r>
            <w:r>
              <w:rPr>
                <w:rFonts w:hint="eastAsia" w:ascii="Times New Roman" w:hAnsi="Times New Roman" w:eastAsia="宋体" w:cs="Times New Roman"/>
                <w:b/>
                <w:bCs/>
                <w:color w:val="auto"/>
                <w:sz w:val="24"/>
                <w:szCs w:val="24"/>
                <w:vertAlign w:val="baseline"/>
                <w:lang w:val="en-US" w:eastAsia="zh-CN"/>
              </w:rPr>
              <w:t>含油废防渗布</w:t>
            </w:r>
          </w:p>
          <w:p w14:paraId="28F15F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废防渗膜未沾染危险废物的井场集中收集后，交由物资回收公司进行回收再利用；沾染危险废物的井场集中收集后，暂存于</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，委托有资质单位进行处置。</w:t>
            </w:r>
          </w:p>
          <w:p w14:paraId="150B0B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贮存要求：</w:t>
            </w:r>
          </w:p>
          <w:p w14:paraId="2694DA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为防止危险废物在场内临时存储过程中对环境产生污染影响，根据《危险废物贮存污染控制标准》（GB18597-2023）的相关内容，本次评价要求：</w:t>
            </w:r>
          </w:p>
          <w:p w14:paraId="5487DB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①按照危险废物贮存污染控制标准要求，废机油、氢氧化钠包装袋和沾染危险废物的废防渗膜采用专用的容器存放，并置于专用危废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，防止风吹雨淋和日晒。危废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设立危险废物警示标志，由专人进行管理，做好危险废物排放量及处置记录。</w:t>
            </w:r>
          </w:p>
          <w:p w14:paraId="71A3EB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应设置围墙或其它防护栅栏。</w:t>
            </w:r>
          </w:p>
          <w:p w14:paraId="22302E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③项目采用撬装式危废</w:t>
            </w:r>
            <w:r>
              <w:rPr>
                <w:rFonts w:hint="eastAsia" w:ascii="Times New Roman" w:hAnsi="Times New Roman" w:eastAsia="宋体" w:cs="Times New Roman"/>
                <w:b w:val="0"/>
                <w:bCs w:val="0"/>
                <w:color w:val="auto"/>
                <w:sz w:val="24"/>
                <w:szCs w:val="24"/>
                <w:vertAlign w:val="baseline"/>
                <w:lang w:val="en-US" w:eastAsia="zh-CN"/>
              </w:rPr>
              <w:t>贮存库</w:t>
            </w:r>
            <w:r>
              <w:rPr>
                <w:rFonts w:hint="default" w:ascii="Times New Roman" w:hAnsi="Times New Roman" w:eastAsia="宋体" w:cs="Times New Roman"/>
                <w:b w:val="0"/>
                <w:bCs w:val="0"/>
                <w:color w:val="auto"/>
                <w:sz w:val="24"/>
                <w:szCs w:val="24"/>
                <w:vertAlign w:val="baseline"/>
                <w:lang w:val="en-US" w:eastAsia="zh-CN"/>
              </w:rPr>
              <w:t>，防渗可满足《危险废物贮存污染控制标准》（GB18597-2023）的相关要求，防渗层渗透系数小于1×10</w:t>
            </w:r>
            <w:r>
              <w:rPr>
                <w:rFonts w:hint="default" w:ascii="Times New Roman" w:hAnsi="Times New Roman" w:eastAsia="宋体" w:cs="Times New Roman"/>
                <w:b w:val="0"/>
                <w:bCs w:val="0"/>
                <w:color w:val="auto"/>
                <w:sz w:val="24"/>
                <w:szCs w:val="24"/>
                <w:vertAlign w:val="superscript"/>
                <w:lang w:val="en-US" w:eastAsia="zh-CN"/>
              </w:rPr>
              <w:t>-10</w:t>
            </w:r>
            <w:r>
              <w:rPr>
                <w:rFonts w:hint="default" w:ascii="Times New Roman" w:hAnsi="Times New Roman" w:eastAsia="宋体" w:cs="Times New Roman"/>
                <w:b w:val="0"/>
                <w:bCs w:val="0"/>
                <w:color w:val="auto"/>
                <w:sz w:val="24"/>
                <w:szCs w:val="24"/>
                <w:vertAlign w:val="baseline"/>
                <w:lang w:val="en-US" w:eastAsia="zh-CN"/>
              </w:rPr>
              <w:t>cm/s。</w:t>
            </w:r>
          </w:p>
          <w:p w14:paraId="0C90D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④对装有危废的容器进行定期检查，容器泄漏损坏时必须立即处理，并将危废装入完好容器内。</w:t>
            </w:r>
          </w:p>
          <w:p w14:paraId="55C09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⑤危险废物贮存过程中在下部设置防渗托盘，可有效防止危险废物泄漏至外界；</w:t>
            </w:r>
          </w:p>
          <w:p w14:paraId="156769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⑥危险废物的转移应遵从《危险废物转移管理办法》（生态环境部公安部交通运输部部令第23号）及其它有关规定的要求。评价要求企业在勘探结束后需立即委托资质单位接收、转移勘探期间产生的危险废物，不得私自转运至其他井场</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储存。</w:t>
            </w:r>
          </w:p>
          <w:p w14:paraId="6D4E8E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⑦危险废物转移建立台账，并且按照相关规定要求进行申报。固体废物规范运输的管理要求：</w:t>
            </w:r>
          </w:p>
          <w:p w14:paraId="3B4063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①合理规划固体废物运输路线，选择人员稀少的路线，并减少鸣笛，以减轻对周边居民的影响；</w:t>
            </w:r>
          </w:p>
          <w:p w14:paraId="14D329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②项目产生的废弃岩屑、泥饼运输过程实施全程GPS定位及监控，严禁运输过程中随意掩埋、抛洒废弃钻井岩屑、泥饼；</w:t>
            </w:r>
          </w:p>
          <w:p w14:paraId="6FD5CD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③项目选择防渗漏、防溢流的运输车辆进行固体废物的运输。</w:t>
            </w:r>
          </w:p>
          <w:p w14:paraId="54814E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综上所述，在加强施工过程固体废物管理的前提下，固体废物环境影响可以得到有效控制和治理，环境影响较小。</w:t>
            </w:r>
          </w:p>
          <w:p w14:paraId="196E3D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七、土壤环境保护措施</w:t>
            </w:r>
          </w:p>
          <w:p w14:paraId="221F27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项目施工过程中将产生施工垃圾、生活垃圾和污水，包括泥浆、废弃余料、施工人员的一次性餐具、饮料瓶等，若不及时收集或随意丢弃会使固废残留于土壤中，对井场附近土壤造成一定程度的污染。</w:t>
            </w:r>
          </w:p>
          <w:p w14:paraId="320506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因此，施工时必须对产生的固体废物实施严格管理措施，进行统一回收和处置，严禁就地固化掩埋、严禁随意堆放抛洒；洗井废水罐和压裂返排液罐储存区均应进行防渗处理，生产废水在井场内不落地、不外排，采取以上措施后，项目对周边土壤环境造成的影响较小。</w:t>
            </w:r>
          </w:p>
          <w:p w14:paraId="2864A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八、风险防范措施</w:t>
            </w:r>
          </w:p>
          <w:p w14:paraId="4934BE13">
            <w:pPr>
              <w:pStyle w:val="26"/>
              <w:keepNext w:val="0"/>
              <w:keepLines w:val="0"/>
              <w:pageBreakBefore w:val="0"/>
              <w:widowControl w:val="0"/>
              <w:kinsoku/>
              <w:wordWrap/>
              <w:overflowPunct/>
              <w:topLinePunct w:val="0"/>
              <w:autoSpaceDE/>
              <w:autoSpaceDN/>
              <w:bidi w:val="0"/>
              <w:adjustRightInd/>
              <w:snapToGrid/>
              <w:textAlignment w:val="auto"/>
              <w:rPr>
                <w:rFonts w:hint="eastAsia"/>
                <w:color w:val="auto"/>
              </w:rPr>
            </w:pPr>
            <w:r>
              <w:rPr>
                <w:rFonts w:hint="eastAsia"/>
                <w:color w:val="auto"/>
              </w:rPr>
              <w:t>项目拟采取的风险防范措施如下：</w:t>
            </w:r>
          </w:p>
          <w:p w14:paraId="4DF6BE1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收集罐渗漏及废水外溢的防范措施</w:t>
            </w:r>
          </w:p>
          <w:p w14:paraId="5625F22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①储罐设置应避开不良地质或岩土松散等地质结构不稳定的地方；</w:t>
            </w:r>
          </w:p>
          <w:p w14:paraId="396C2FE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②储罐储存区均进行防渗处理；</w:t>
            </w:r>
          </w:p>
          <w:p w14:paraId="166CAF7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③加强员工操作规范管理，尽量避免废水装车失误。装车过程若遇到废水泄漏，立即停止装车作业，减少废水泄漏量，并利用井场内的污水沟将泄漏废水收集至废水箱内，不外流。</w:t>
            </w:r>
          </w:p>
          <w:p w14:paraId="7DD84EB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井喷事故风险防范措施</w:t>
            </w:r>
          </w:p>
          <w:p w14:paraId="07FAAB5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①钻井地质设计、工程设计和施工设计中应有井控和防有害气体的内容，并按标准要求提供相关资料。</w:t>
            </w:r>
          </w:p>
          <w:p w14:paraId="2AF7DD5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②在工程设计书中应有可操作性的安全（HSE）设计篇章。其安全（HSE）设计以国家有关法律、法规、国家标准、行业标准以及安全预评价报告和环境影响评价报告为设计依据。</w:t>
            </w:r>
          </w:p>
          <w:p w14:paraId="624C1F8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③设计书必须按照有关审批程序进行严格审批。钻井承包商在未收到设计书前禁止组织施工。</w:t>
            </w:r>
          </w:p>
          <w:p w14:paraId="2C389C6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应利用各种作业所获得直接或间接地层压力数据进行数理统计分析资料，划分出不同地层压力区带，与邻井可比地层压力进行分析对比，提供地层压力预测或监测曲线（值），并对漏失层段、浅层气分布情况、油气水显示和其他复杂情况进行预告。</w:t>
            </w:r>
          </w:p>
          <w:p w14:paraId="1317E12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⑤井场平面布置应按照《钻前工程及井场布置技术要求》（SY/T5466-2013）的规定进行设置，保证能满足井喷时人员和设备撤离的要求。</w:t>
            </w:r>
          </w:p>
          <w:p w14:paraId="171F593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⑥钻至天然气层前100m，应将可能发生的危害、安全事项、撤离程序等告知3km范围内人员。</w:t>
            </w:r>
          </w:p>
          <w:p w14:paraId="701A051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⑦应在钻井周边地区设置广播设施、警示牌和风向标，使周边居民在第一时间得知井喷事故发生时逃离危险区域。</w:t>
            </w:r>
          </w:p>
          <w:p w14:paraId="48FE27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井喷应急处理预案</w:t>
            </w:r>
          </w:p>
          <w:p w14:paraId="0D1FDE2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根据事态发展变化情况，事故现场抢险指挥部根据应急领导小组的指令并充分考虑专家和有关意见的基础上，依法采取紧急措施，并注意做好以下工作：</w:t>
            </w:r>
          </w:p>
          <w:p w14:paraId="42CE76B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①井喷失控后严防着火和爆炸。应立即停钻机、切断井架、钻台、机泵房等处全部照明灯和用电设备的电源，熄灭一切火源，需要时打开专用探照灯，并组织警戒。</w:t>
            </w:r>
          </w:p>
          <w:p w14:paraId="17B6E01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②立即向当地政府报告，通知3km范围内的厂矿企业立刻进行沿反方向进行撤离，协助当地政府作好井口500m范围内居民的疏散工作。</w:t>
            </w:r>
          </w:p>
          <w:p w14:paraId="273FCA7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③设置观察点，定时取样，监测大气中的天然气、H</w:t>
            </w:r>
            <w:r>
              <w:rPr>
                <w:rFonts w:hint="default" w:ascii="Times New Roman" w:hAnsi="Times New Roman" w:cs="Times New Roman"/>
                <w:color w:val="auto"/>
                <w:vertAlign w:val="subscript"/>
              </w:rPr>
              <w:t>2</w:t>
            </w:r>
            <w:r>
              <w:rPr>
                <w:rFonts w:hint="default" w:ascii="Times New Roman" w:hAnsi="Times New Roman" w:cs="Times New Roman"/>
                <w:color w:val="auto"/>
              </w:rPr>
              <w:t>S和CO含量，划分安全范围。</w:t>
            </w:r>
          </w:p>
          <w:p w14:paraId="1B3FD99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④迅速成立现场抢险领导小组，根据失控状况制定抢险方案，统一指挥、组织和协调抢险工作。抢险方案制订及实施，同时实施，防止出现次生环境事故。</w:t>
            </w:r>
          </w:p>
          <w:p w14:paraId="0435300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⑤继续监测污染区有毒有害气体的浓度，根据监测情况决定是否扩大撤离范围。</w:t>
            </w:r>
          </w:p>
          <w:p w14:paraId="1CB9ED9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⑥当井喷失控时，应：a、关停生产设施</w:t>
            </w:r>
            <w:r>
              <w:rPr>
                <w:rFonts w:hint="default" w:ascii="Times New Roman" w:hAnsi="Times New Roman" w:cs="Times New Roman"/>
                <w:color w:val="auto"/>
                <w:lang w:eastAsia="zh-CN"/>
              </w:rPr>
              <w:t>；</w:t>
            </w:r>
            <w:r>
              <w:rPr>
                <w:rFonts w:hint="default" w:ascii="Times New Roman" w:hAnsi="Times New Roman" w:cs="Times New Roman"/>
                <w:color w:val="auto"/>
              </w:rPr>
              <w:t>b、请求援助。</w:t>
            </w:r>
          </w:p>
          <w:p w14:paraId="5396888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⑦井喷发生后，及时安排消防车、救护车、医护人员到现场救援。</w:t>
            </w:r>
          </w:p>
          <w:p w14:paraId="3ADBA30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⑧在事故处理结束后，确认作业现场及其周边环境安全的情况与和地方政府商定撤离群众的返回时间。</w:t>
            </w:r>
          </w:p>
          <w:p w14:paraId="5B4458D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综合以上分析，本工程的环境风险措施切实可行。在落实各种风险防范措施的前提下，其发生事故的概率低，环境危害较小，环境风险达到可以接受水平。</w:t>
            </w:r>
          </w:p>
          <w:p w14:paraId="3A93FD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九、弃井封井措施及生态恢复措施</w:t>
            </w:r>
          </w:p>
          <w:p w14:paraId="4E58CB0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若为临时封井，除预留转成生产井所需的面积外，对其余临时占地覆土并恢复为原有植被和生态景观，使区域生态景观和谐一致；若为永久封井，对整个施工区域覆土并恢复为原有植被和生态景观，使区域生态景观和谐一致。</w:t>
            </w:r>
          </w:p>
          <w:p w14:paraId="3F3BA49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（2）气井测试完毕后，拆除</w:t>
            </w:r>
            <w:r>
              <w:rPr>
                <w:rFonts w:hint="eastAsia" w:ascii="Times New Roman" w:hAnsi="Times New Roman" w:eastAsia="宋体" w:cs="Times New Roman"/>
                <w:color w:val="auto"/>
                <w:lang w:eastAsia="zh-CN"/>
              </w:rPr>
              <w:t>放喷池</w:t>
            </w:r>
            <w:r>
              <w:rPr>
                <w:rFonts w:hint="default" w:ascii="Times New Roman" w:hAnsi="Times New Roman" w:cs="Times New Roman"/>
                <w:color w:val="auto"/>
              </w:rPr>
              <w:t>周围的砖墙，并进行回收。清除放喷测试留下的痕迹，再用探井场地建设时的表层土进行覆盖，然后进行植被恢复。</w:t>
            </w:r>
          </w:p>
          <w:p w14:paraId="23C5B16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（3）拆除所有临时占地基础（设备及地面硬化的砖瓦等）后将探井场地建设保留的耕植土摊铺覆盖于场面上，然后进行植被恢复。</w:t>
            </w:r>
          </w:p>
          <w:p w14:paraId="25EAB59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（4）为尽快恢复土地功能，可增施肥料，加强灌溉，以改良土壤结构及其理化性质，提高土壤的保肥保水能力，恢复土壤生产能力。</w:t>
            </w:r>
          </w:p>
          <w:p w14:paraId="79150B8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具体恢复措施如下：</w:t>
            </w:r>
          </w:p>
          <w:p w14:paraId="49400FAD">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①植被恢复系数＞95%，林草覆盖率＞85%，复垦区单位面积产草量达到周边地区同等土地利用类型水平，具有生态稳定性和自我维持力</w:t>
            </w:r>
            <w:r>
              <w:rPr>
                <w:rFonts w:hint="eastAsia" w:ascii="Times New Roman" w:hAnsi="Times New Roman" w:eastAsia="宋体" w:cs="Times New Roman"/>
                <w:color w:val="auto"/>
                <w:lang w:eastAsia="zh-CN"/>
              </w:rPr>
              <w:t>。</w:t>
            </w:r>
          </w:p>
          <w:p w14:paraId="3E8E264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植被选用当地耐寒、保水固土能力强根系发达的物种，优先考虑灌木树种，其次为草本植物。本区域种植较成功的乔木树种有油松、龙抓槐、云杉、旱柳、榆树等；灌木树种有柠条、沙棘等；草本有冰草、沙打旺、沙嵩、黄蒿等。</w:t>
            </w:r>
          </w:p>
          <w:p w14:paraId="164AA563">
            <w:pPr>
              <w:pStyle w:val="26"/>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ascii="Times New Roman" w:hAnsi="Times New Roman" w:cs="Times New Roman"/>
                <w:color w:val="auto"/>
              </w:rPr>
              <w:t>③探井场地弃土弃渣边坡土地整治后，在外边坡采取植物防护措施，种植草灌混交林。可选择披碱草、柠条、紫花苜蓿、白三叶等，披碱草、紫花苜蓿、白三叶撒播量45kg/hm</w:t>
            </w:r>
            <w:r>
              <w:rPr>
                <w:rFonts w:hint="default" w:ascii="Times New Roman" w:hAnsi="Times New Roman" w:cs="Times New Roman"/>
                <w:color w:val="auto"/>
                <w:vertAlign w:val="superscript"/>
              </w:rPr>
              <w:t>2</w:t>
            </w:r>
            <w:r>
              <w:rPr>
                <w:rFonts w:hint="default" w:ascii="Times New Roman" w:hAnsi="Times New Roman" w:cs="Times New Roman"/>
                <w:color w:val="auto"/>
              </w:rPr>
              <w:t>，灌木株行距2×2m，行间种植三百叶。</w:t>
            </w:r>
          </w:p>
        </w:tc>
      </w:tr>
      <w:tr w14:paraId="3F79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37B031B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运营期生态环境保护措施</w:t>
            </w:r>
          </w:p>
        </w:tc>
        <w:tc>
          <w:tcPr>
            <w:tcW w:w="8254" w:type="dxa"/>
            <w:vAlign w:val="center"/>
          </w:tcPr>
          <w:p w14:paraId="5F7286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本项目为天然气评价井的钻井工程，使用功能为天然气勘探、完井并测试，不涉及运营期。</w:t>
            </w:r>
          </w:p>
        </w:tc>
      </w:tr>
      <w:tr w14:paraId="4A55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33D672B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254" w:type="dxa"/>
            <w:vAlign w:val="center"/>
          </w:tcPr>
          <w:p w14:paraId="06357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1、环境管理</w:t>
            </w:r>
          </w:p>
          <w:p w14:paraId="2A8A41E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（1）环境管理体系</w:t>
            </w:r>
          </w:p>
          <w:p w14:paraId="296F173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按HSE管理体系要求，中国石油天然气股份有限公司长庆油田分公司设质量安全环保科，设专职人员进行安全环保管理，对企业安全环保进行归档管理。项目在施工期制定安全环境管理制度，贯彻执行国家和地方各项环保方针、政策和法规。</w:t>
            </w:r>
          </w:p>
          <w:p w14:paraId="084AE1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（2）要求根据《陕北油气田开采清洁文明井场验收标准》、《榆林市油（气）开采废弃物处置环保暂行管理办法》，建设单位应该在管理中严格按照以下要求执行：</w:t>
            </w:r>
          </w:p>
          <w:p w14:paraId="0A866DB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油（气）开发企业须在井场钻井作业前15日内，向当地环保局进行申报登记，申报登记内容包括废弃钻井泥浆、井下作业废水及其它污染物的产生量、去向及处理处置方式等，实际情况发生紧急重大改变的，必须在改变后3天内进行排污申报登记变更。</w:t>
            </w:r>
          </w:p>
          <w:p w14:paraId="3A9FA09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②油（气）井场要在钻井前配备废弃钻井泥浆岩屑地上移动式收集设施，对钻井过程中废弃钻井泥浆岩屑进行不落地收集，收集设施不得收集其它废弃物；未配备废弃钻井泥浆收集设施的井场不得钻井作业。</w:t>
            </w:r>
          </w:p>
          <w:p w14:paraId="06AB0A2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③油（气）井场要在压裂及其它井下作业前配备废水地上收集罐，对压裂返排液及其它废水进行统一收集；未配备废水收集罐的井场不得开展相关作业。</w:t>
            </w:r>
          </w:p>
          <w:p w14:paraId="15398EE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油（气）开发企业要在油（气）井建设过程中建立气探井废弃钻井泥浆岩屑、压裂返排液及其它作业废水管理台帐，如实记录钻井泥浆及压裂液添加剂成分、用量及废弃钻井泥浆岩屑、压裂返排液及其它作业废水的产生量、循环利用量、去向及处理处置方式。</w:t>
            </w:r>
          </w:p>
          <w:p w14:paraId="545E04D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⑤废弃钻井泥浆岩屑须在油（气）井完井后3天内，由防渗漏、防抛洒、防扬尘的运输车辆统一运至油（气）开采废弃物集中处置场所处置；严禁废弃钻井泥浆岩屑井场处理、就地固化或随意抛洒、掩埋。</w:t>
            </w:r>
          </w:p>
          <w:p w14:paraId="05B1326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⑥油（气）井下作业废水须在井下作业完成后3天内，洗井废水由专用收集罐临时收集贮存后委托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外运</w:t>
            </w:r>
            <w:r>
              <w:rPr>
                <w:rFonts w:hint="default" w:ascii="Times New Roman" w:hAnsi="Times New Roman" w:cs="Times New Roman"/>
                <w:color w:val="auto"/>
              </w:rPr>
              <w:t>处置；严禁井下作业废水排入废弃钻井泥浆岩屑收集设施或随意排放。</w:t>
            </w:r>
          </w:p>
          <w:p w14:paraId="61638890">
            <w:pPr>
              <w:pStyle w:val="26"/>
              <w:bidi w:val="0"/>
              <w:rPr>
                <w:rFonts w:hint="default" w:ascii="Times New Roman" w:hAnsi="Times New Roman" w:cs="Times New Roman"/>
                <w:color w:val="auto"/>
              </w:rPr>
            </w:pPr>
            <w:r>
              <w:rPr>
                <w:rFonts w:hint="default" w:ascii="Times New Roman" w:hAnsi="Times New Roman" w:cs="Times New Roman"/>
                <w:color w:val="auto"/>
              </w:rPr>
              <w:t>⑦废弃钻井泥浆岩屑和井下作业废水转移前须向市级环保部门申领《榆林市油（气）开采废弃物转移联单》，运输过程实施全程GPS定位及监控；严禁运输过程中随意掩埋、抛洒废弃钻井泥浆岩屑和井下作业废水。</w:t>
            </w:r>
          </w:p>
          <w:p w14:paraId="549DE127">
            <w:pPr>
              <w:pStyle w:val="26"/>
              <w:bidi w:val="0"/>
              <w:rPr>
                <w:rFonts w:hint="default" w:ascii="Times New Roman" w:hAnsi="Times New Roman" w:cs="Times New Roman"/>
                <w:color w:val="auto"/>
              </w:rPr>
            </w:pPr>
            <w:r>
              <w:rPr>
                <w:rFonts w:hint="default" w:ascii="Times New Roman" w:hAnsi="Times New Roman" w:cs="Times New Roman"/>
                <w:color w:val="auto"/>
              </w:rPr>
              <w:t>⑧油（气）开采废弃物集中处置项目选址要避开重点生态功能区、环境敏感区和限制开发区，要选择清洁生产、高效环保的处理工艺，要完成建设项目环境影响评价审批，通过环保设施竣工验收，取得相关手续，具备收集、处置能力。</w:t>
            </w:r>
          </w:p>
          <w:p w14:paraId="4F49CB51">
            <w:pPr>
              <w:pStyle w:val="26"/>
              <w:bidi w:val="0"/>
              <w:rPr>
                <w:rFonts w:hint="default" w:ascii="Times New Roman" w:hAnsi="Times New Roman" w:cs="Times New Roman"/>
                <w:color w:val="auto"/>
              </w:rPr>
            </w:pPr>
            <w:r>
              <w:rPr>
                <w:rFonts w:hint="default" w:ascii="Times New Roman" w:hAnsi="Times New Roman" w:cs="Times New Roman"/>
                <w:color w:val="auto"/>
              </w:rPr>
              <w:t>⑨未取得相关资质的单位或者个人，禁止从事油（气）开采废弃物的收集、运输和处置活动。</w:t>
            </w:r>
          </w:p>
          <w:p w14:paraId="3ECA4770">
            <w:pPr>
              <w:pStyle w:val="26"/>
              <w:bidi w:val="0"/>
              <w:rPr>
                <w:rFonts w:hint="default" w:ascii="Times New Roman" w:hAnsi="Times New Roman" w:cs="Times New Roman"/>
                <w:color w:val="auto"/>
              </w:rPr>
            </w:pPr>
            <w:r>
              <w:rPr>
                <w:rFonts w:hint="default" w:ascii="Times New Roman" w:hAnsi="Times New Roman" w:cs="Times New Roman"/>
                <w:color w:val="auto"/>
              </w:rPr>
              <w:t>⑩井场四周必须修建挡水墙，大门或通行处应设有砖石拱形挡水设施，保证场外雨水不进场，场内雨水不出场。</w:t>
            </w:r>
          </w:p>
          <w:p w14:paraId="2F5B53DB">
            <w:pPr>
              <w:pStyle w:val="26"/>
              <w:bidi w:val="0"/>
              <w:rPr>
                <w:rFonts w:hint="default" w:ascii="Times New Roman" w:hAnsi="Times New Roman" w:cs="Times New Roman"/>
                <w:color w:val="auto"/>
              </w:rPr>
            </w:pPr>
            <w:r>
              <w:rPr>
                <w:rFonts w:hint="default" w:ascii="Times New Roman" w:hAnsi="Times New Roman" w:cs="Times New Roman"/>
                <w:color w:val="auto"/>
              </w:rPr>
              <w:t>⑪井场要平整清洁，建有雨水收集池。雨水收集池应参照当地最大暴雨量设计容积（最大暴雨量×井场面积）。</w:t>
            </w:r>
          </w:p>
          <w:p w14:paraId="266D3DC7">
            <w:pPr>
              <w:pStyle w:val="26"/>
              <w:bidi w:val="0"/>
              <w:rPr>
                <w:rFonts w:hint="default" w:ascii="Times New Roman" w:hAnsi="Times New Roman" w:cs="Times New Roman"/>
                <w:color w:val="auto"/>
              </w:rPr>
            </w:pPr>
            <w:r>
              <w:rPr>
                <w:rFonts w:hint="default" w:ascii="Times New Roman" w:hAnsi="Times New Roman" w:cs="Times New Roman"/>
                <w:color w:val="auto"/>
              </w:rPr>
              <w:t>⑫井场必须设置垃圾桶，不得将含油污泥等危废混入，垃圾应及时清运，分类定点处理。</w:t>
            </w:r>
          </w:p>
          <w:p w14:paraId="4556AC0F">
            <w:pPr>
              <w:pStyle w:val="26"/>
              <w:bidi w:val="0"/>
              <w:rPr>
                <w:rFonts w:hint="default" w:ascii="Times New Roman" w:hAnsi="Times New Roman" w:cs="Times New Roman"/>
                <w:color w:val="auto"/>
              </w:rPr>
            </w:pPr>
            <w:r>
              <w:rPr>
                <w:rFonts w:hint="default" w:ascii="Times New Roman" w:hAnsi="Times New Roman" w:cs="Times New Roman"/>
                <w:color w:val="auto"/>
              </w:rPr>
              <w:t>⑬井场的道路两侧和围墙内外宜绿化区域应实现林草覆盖，有效覆盖面积不低于98</w:t>
            </w:r>
            <w:r>
              <w:rPr>
                <w:rFonts w:hint="default" w:ascii="Times New Roman" w:hAnsi="Times New Roman" w:cs="Times New Roman"/>
                <w:color w:val="auto"/>
                <w:lang w:val="en-US" w:eastAsia="zh-CN"/>
              </w:rPr>
              <w:t>%</w:t>
            </w:r>
            <w:r>
              <w:rPr>
                <w:rFonts w:hint="default" w:ascii="Times New Roman" w:hAnsi="Times New Roman" w:cs="Times New Roman"/>
                <w:color w:val="auto"/>
              </w:rPr>
              <w:t>。</w:t>
            </w:r>
          </w:p>
          <w:p w14:paraId="20DC62E7">
            <w:pPr>
              <w:pStyle w:val="26"/>
              <w:bidi w:val="0"/>
              <w:rPr>
                <w:rFonts w:hint="default" w:ascii="Times New Roman" w:hAnsi="Times New Roman" w:cs="Times New Roman"/>
                <w:color w:val="auto"/>
              </w:rPr>
            </w:pPr>
            <w:r>
              <w:rPr>
                <w:rFonts w:hint="default" w:ascii="Times New Roman" w:hAnsi="Times New Roman" w:cs="Times New Roman"/>
                <w:color w:val="auto"/>
              </w:rPr>
              <w:t>⑭修路和开挖井场造成植被破坏或地表裸露的，必须采取有效的修复措施，所有生态措施应在井场投运半年内完成。</w:t>
            </w:r>
          </w:p>
          <w:p w14:paraId="04BAB4B3">
            <w:pPr>
              <w:pStyle w:val="26"/>
              <w:bidi w:val="0"/>
              <w:rPr>
                <w:rFonts w:hint="default" w:ascii="Times New Roman" w:hAnsi="Times New Roman" w:cs="Times New Roman"/>
                <w:color w:val="auto"/>
              </w:rPr>
            </w:pPr>
            <w:r>
              <w:rPr>
                <w:rFonts w:hint="default" w:ascii="Times New Roman" w:hAnsi="Times New Roman" w:cs="Times New Roman"/>
                <w:color w:val="auto"/>
              </w:rPr>
              <w:t>⑮关闭油（气）井应封堵油（气）层、封闭井口，并同步实施井场复垦还田或植树种草工程措施。</w:t>
            </w:r>
          </w:p>
          <w:p w14:paraId="373DF243">
            <w:pPr>
              <w:pStyle w:val="26"/>
              <w:bidi w:val="0"/>
              <w:rPr>
                <w:rFonts w:hint="default" w:ascii="Times New Roman" w:hAnsi="Times New Roman" w:cs="Times New Roman"/>
                <w:color w:val="auto"/>
              </w:rPr>
            </w:pPr>
            <w:r>
              <w:rPr>
                <w:rFonts w:hint="default" w:ascii="Times New Roman" w:hAnsi="Times New Roman" w:cs="Times New Roman"/>
                <w:color w:val="auto"/>
              </w:rPr>
              <w:t>⑯井场应做到清洁卫生，无跑、冒、滴、漏现象，场外无油污、无垃圾，杜绝污染物乱堆乱放。</w:t>
            </w:r>
          </w:p>
          <w:p w14:paraId="0FC90B4E">
            <w:pPr>
              <w:pStyle w:val="26"/>
              <w:bidi w:val="0"/>
              <w:rPr>
                <w:rFonts w:hint="default" w:ascii="Times New Roman" w:hAnsi="Times New Roman" w:cs="Times New Roman"/>
                <w:color w:val="auto"/>
              </w:rPr>
            </w:pPr>
            <w:r>
              <w:rPr>
                <w:rFonts w:hint="default" w:ascii="Times New Roman" w:hAnsi="Times New Roman" w:cs="Times New Roman"/>
                <w:color w:val="auto"/>
              </w:rPr>
              <w:t>⑰按照环境事故应急预案，要对井场操作人员进行应急培训，并储备相应抢险应急物资。</w:t>
            </w:r>
          </w:p>
          <w:p w14:paraId="5F1CB6C3">
            <w:pPr>
              <w:pStyle w:val="26"/>
              <w:bidi w:val="0"/>
              <w:rPr>
                <w:rFonts w:hint="default" w:ascii="Times New Roman" w:hAnsi="Times New Roman" w:cs="Times New Roman"/>
                <w:color w:val="auto"/>
              </w:rPr>
            </w:pPr>
            <w:r>
              <w:rPr>
                <w:rFonts w:hint="default" w:ascii="Times New Roman" w:hAnsi="Times New Roman" w:cs="Times New Roman"/>
                <w:color w:val="auto"/>
              </w:rPr>
              <w:t>⑱井场实行动态管理。县级环保部门负责日常监督管理，市级环保部门负责验收并颁发统一制式的清洁文明井场牌匾。出现达不到本标准情况的，由市级环保部门收回牌匾。</w:t>
            </w:r>
          </w:p>
          <w:p w14:paraId="3E1F17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eastAsiaTheme="minorHAnsi"/>
                <w:color w:val="auto"/>
                <w:kern w:val="0"/>
                <w:sz w:val="24"/>
                <w:szCs w:val="21"/>
                <w:lang w:val="en-US" w:eastAsia="en-US" w:bidi="ar-SA"/>
              </w:rPr>
              <w:t>⑲不得调整井口坐标，确保钻井井口距居民住宅距离大于100m，加强施工机械噪声管理，保证不影响周边居民生活。</w:t>
            </w:r>
          </w:p>
        </w:tc>
      </w:tr>
      <w:tr w14:paraId="0420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1D31F07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环保投资</w:t>
            </w:r>
          </w:p>
        </w:tc>
        <w:tc>
          <w:tcPr>
            <w:tcW w:w="8254" w:type="dxa"/>
            <w:vAlign w:val="top"/>
          </w:tcPr>
          <w:p w14:paraId="6A4D5F4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本项目总投资</w:t>
            </w:r>
            <w:r>
              <w:rPr>
                <w:rFonts w:hint="eastAsia" w:ascii="Times New Roman" w:hAnsi="Times New Roman" w:eastAsia="宋体" w:cs="Times New Roman"/>
                <w:b w:val="0"/>
                <w:bCs w:val="0"/>
                <w:color w:val="auto"/>
                <w:sz w:val="24"/>
                <w:szCs w:val="24"/>
                <w:highlight w:val="none"/>
                <w:vertAlign w:val="baseline"/>
                <w:lang w:val="en-US" w:eastAsia="zh-CN"/>
              </w:rPr>
              <w:t>500</w:t>
            </w:r>
            <w:r>
              <w:rPr>
                <w:rFonts w:hint="default" w:ascii="Times New Roman" w:hAnsi="Times New Roman" w:eastAsia="宋体" w:cs="Times New Roman"/>
                <w:b w:val="0"/>
                <w:bCs w:val="0"/>
                <w:color w:val="auto"/>
                <w:sz w:val="24"/>
                <w:szCs w:val="24"/>
                <w:highlight w:val="none"/>
                <w:vertAlign w:val="baseline"/>
                <w:lang w:val="en-US" w:eastAsia="zh-CN"/>
              </w:rPr>
              <w:t>万元，其中环保投资</w:t>
            </w:r>
            <w:r>
              <w:rPr>
                <w:rFonts w:hint="eastAsia" w:ascii="Times New Roman" w:hAnsi="Times New Roman" w:eastAsia="宋体" w:cs="Times New Roman"/>
                <w:b w:val="0"/>
                <w:bCs w:val="0"/>
                <w:color w:val="auto"/>
                <w:sz w:val="24"/>
                <w:szCs w:val="24"/>
                <w:highlight w:val="none"/>
                <w:vertAlign w:val="baseline"/>
                <w:lang w:val="en-US" w:eastAsia="zh-CN"/>
              </w:rPr>
              <w:t>54.5</w:t>
            </w:r>
            <w:r>
              <w:rPr>
                <w:rFonts w:hint="default" w:ascii="Times New Roman" w:hAnsi="Times New Roman" w:eastAsia="宋体" w:cs="Times New Roman"/>
                <w:b w:val="0"/>
                <w:bCs w:val="0"/>
                <w:color w:val="auto"/>
                <w:sz w:val="24"/>
                <w:szCs w:val="24"/>
                <w:highlight w:val="none"/>
                <w:vertAlign w:val="baseline"/>
                <w:lang w:val="en-US" w:eastAsia="zh-CN"/>
              </w:rPr>
              <w:t>万元，占总投资的</w:t>
            </w:r>
            <w:r>
              <w:rPr>
                <w:rFonts w:hint="eastAsia" w:ascii="Times New Roman" w:hAnsi="Times New Roman" w:eastAsia="宋体" w:cs="Times New Roman"/>
                <w:b w:val="0"/>
                <w:bCs w:val="0"/>
                <w:color w:val="auto"/>
                <w:sz w:val="24"/>
                <w:szCs w:val="24"/>
                <w:highlight w:val="none"/>
                <w:vertAlign w:val="baseline"/>
                <w:lang w:val="en-US" w:eastAsia="zh-CN"/>
              </w:rPr>
              <w:t>10.9</w:t>
            </w:r>
            <w:r>
              <w:rPr>
                <w:rFonts w:hint="default" w:ascii="Times New Roman" w:hAnsi="Times New Roman" w:eastAsia="宋体" w:cs="Times New Roman"/>
                <w:b w:val="0"/>
                <w:bCs w:val="0"/>
                <w:color w:val="auto"/>
                <w:sz w:val="24"/>
                <w:szCs w:val="24"/>
                <w:highlight w:val="none"/>
                <w:vertAlign w:val="baseline"/>
                <w:lang w:val="en-US" w:eastAsia="zh-CN"/>
              </w:rPr>
              <w:t>%。</w:t>
            </w:r>
          </w:p>
          <w:p w14:paraId="6DB439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表5-5   本项目主要环保投资一览表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1"/>
              <w:gridCol w:w="1279"/>
              <w:gridCol w:w="3883"/>
              <w:gridCol w:w="1270"/>
              <w:gridCol w:w="1586"/>
            </w:tblGrid>
            <w:tr w14:paraId="0A76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12" w:type="dxa"/>
                  <w:gridSpan w:val="2"/>
                  <w:vAlign w:val="center"/>
                </w:tcPr>
                <w:p w14:paraId="1339AEDC">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w:t>
                  </w:r>
                </w:p>
              </w:tc>
              <w:tc>
                <w:tcPr>
                  <w:tcW w:w="3704" w:type="dxa"/>
                  <w:vAlign w:val="center"/>
                </w:tcPr>
                <w:p w14:paraId="082237D2">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治理措施</w:t>
                  </w:r>
                </w:p>
              </w:tc>
              <w:tc>
                <w:tcPr>
                  <w:tcW w:w="1211" w:type="dxa"/>
                  <w:vAlign w:val="center"/>
                </w:tcPr>
                <w:p w14:paraId="099BCDDE">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数量</w:t>
                  </w:r>
                </w:p>
              </w:tc>
              <w:tc>
                <w:tcPr>
                  <w:tcW w:w="1513" w:type="dxa"/>
                  <w:vAlign w:val="center"/>
                </w:tcPr>
                <w:p w14:paraId="15FBB7FE">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费用（万元）</w:t>
                  </w:r>
                </w:p>
              </w:tc>
            </w:tr>
            <w:tr w14:paraId="75E0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12" w:type="dxa"/>
                  <w:gridSpan w:val="2"/>
                  <w:vMerge w:val="restart"/>
                  <w:vAlign w:val="center"/>
                </w:tcPr>
                <w:p w14:paraId="2AF609A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3704" w:type="dxa"/>
                  <w:vAlign w:val="center"/>
                </w:tcPr>
                <w:p w14:paraId="5B2DC88F">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洒水设备、设置挡板、车辆运输遮盖苫布</w:t>
                  </w:r>
                </w:p>
              </w:tc>
              <w:tc>
                <w:tcPr>
                  <w:tcW w:w="1211" w:type="dxa"/>
                  <w:vAlign w:val="center"/>
                </w:tcPr>
                <w:p w14:paraId="679E2A1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13" w:type="dxa"/>
                  <w:vAlign w:val="center"/>
                </w:tcPr>
                <w:p w14:paraId="55EE7C5F">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14:paraId="5552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12" w:type="dxa"/>
                  <w:gridSpan w:val="2"/>
                  <w:vMerge w:val="continue"/>
                  <w:vAlign w:val="center"/>
                </w:tcPr>
                <w:p w14:paraId="00FB7F13">
                  <w:pPr>
                    <w:pStyle w:val="27"/>
                    <w:bidi w:val="0"/>
                    <w:jc w:val="center"/>
                    <w:rPr>
                      <w:rFonts w:hint="default" w:ascii="Times New Roman" w:hAnsi="Times New Roman" w:cs="Times New Roman"/>
                      <w:color w:val="auto"/>
                      <w:sz w:val="21"/>
                      <w:szCs w:val="21"/>
                    </w:rPr>
                  </w:pPr>
                </w:p>
              </w:tc>
              <w:tc>
                <w:tcPr>
                  <w:tcW w:w="3704" w:type="dxa"/>
                  <w:vAlign w:val="center"/>
                </w:tcPr>
                <w:p w14:paraId="2B5CA645">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放空设施</w:t>
                  </w:r>
                </w:p>
              </w:tc>
              <w:tc>
                <w:tcPr>
                  <w:tcW w:w="1211" w:type="dxa"/>
                  <w:vAlign w:val="center"/>
                </w:tcPr>
                <w:p w14:paraId="414DA4CD">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lang w:val="en-US" w:eastAsia="zh-CN"/>
                    </w:rPr>
                    <w:t>套</w:t>
                  </w:r>
                </w:p>
              </w:tc>
              <w:tc>
                <w:tcPr>
                  <w:tcW w:w="1513" w:type="dxa"/>
                  <w:vMerge w:val="restart"/>
                  <w:vAlign w:val="center"/>
                </w:tcPr>
                <w:p w14:paraId="23F65EF6">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计入主体工程</w:t>
                  </w:r>
                </w:p>
              </w:tc>
            </w:tr>
            <w:tr w14:paraId="3A9B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12" w:type="dxa"/>
                  <w:gridSpan w:val="2"/>
                  <w:vMerge w:val="continue"/>
                  <w:vAlign w:val="center"/>
                </w:tcPr>
                <w:p w14:paraId="1AC0A74B">
                  <w:pPr>
                    <w:pStyle w:val="27"/>
                    <w:bidi w:val="0"/>
                    <w:jc w:val="center"/>
                    <w:rPr>
                      <w:rFonts w:hint="default" w:ascii="Times New Roman" w:hAnsi="Times New Roman" w:cs="Times New Roman"/>
                      <w:color w:val="auto"/>
                      <w:sz w:val="21"/>
                      <w:szCs w:val="21"/>
                    </w:rPr>
                  </w:pPr>
                </w:p>
              </w:tc>
              <w:tc>
                <w:tcPr>
                  <w:tcW w:w="3704" w:type="dxa"/>
                  <w:vAlign w:val="center"/>
                </w:tcPr>
                <w:p w14:paraId="435F0AFF">
                  <w:pPr>
                    <w:pStyle w:val="27"/>
                    <w:bidi w:val="0"/>
                    <w:jc w:val="center"/>
                    <w:rPr>
                      <w:rFonts w:hint="default" w:ascii="Times New Roman" w:hAnsi="Times New Roman" w:cs="Times New Roman"/>
                      <w:color w:val="auto"/>
                      <w:sz w:val="21"/>
                      <w:szCs w:val="21"/>
                    </w:rPr>
                  </w:pPr>
                  <w:r>
                    <w:rPr>
                      <w:rFonts w:hint="eastAsia" w:cs="Times New Roman"/>
                      <w:color w:val="auto"/>
                      <w:sz w:val="21"/>
                      <w:szCs w:val="21"/>
                      <w:lang w:eastAsia="zh-CN"/>
                    </w:rPr>
                    <w:t>放喷池</w:t>
                  </w:r>
                  <w:r>
                    <w:rPr>
                      <w:rFonts w:hint="default" w:ascii="Times New Roman" w:hAnsi="Times New Roman" w:cs="Times New Roman"/>
                      <w:color w:val="auto"/>
                      <w:sz w:val="21"/>
                      <w:szCs w:val="21"/>
                    </w:rPr>
                    <w:t>10</w:t>
                  </w:r>
                  <w:r>
                    <w:rPr>
                      <w:rFonts w:hint="eastAsia" w:cs="Times New Roman"/>
                      <w:color w:val="auto"/>
                      <w:sz w:val="21"/>
                      <w:szCs w:val="21"/>
                      <w:lang w:val="en-US" w:eastAsia="zh-CN"/>
                    </w:rPr>
                    <w:t>.6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1211" w:type="dxa"/>
                  <w:vAlign w:val="center"/>
                </w:tcPr>
                <w:p w14:paraId="6198CC47">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lang w:val="en-US" w:eastAsia="zh-CN"/>
                    </w:rPr>
                    <w:t>座</w:t>
                  </w:r>
                </w:p>
              </w:tc>
              <w:tc>
                <w:tcPr>
                  <w:tcW w:w="1513" w:type="dxa"/>
                  <w:vMerge w:val="continue"/>
                  <w:vAlign w:val="center"/>
                </w:tcPr>
                <w:p w14:paraId="23DF4EE7">
                  <w:pPr>
                    <w:pStyle w:val="27"/>
                    <w:bidi w:val="0"/>
                    <w:jc w:val="center"/>
                    <w:rPr>
                      <w:rFonts w:hint="default" w:ascii="Times New Roman" w:hAnsi="Times New Roman" w:cs="Times New Roman"/>
                      <w:color w:val="auto"/>
                      <w:sz w:val="21"/>
                      <w:szCs w:val="21"/>
                    </w:rPr>
                  </w:pPr>
                </w:p>
              </w:tc>
            </w:tr>
            <w:tr w14:paraId="69A9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restart"/>
                  <w:vAlign w:val="center"/>
                </w:tcPr>
                <w:p w14:paraId="36676134">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1220" w:type="dxa"/>
                  <w:vAlign w:val="center"/>
                </w:tcPr>
                <w:p w14:paraId="3AF712A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洗井废水</w:t>
                  </w:r>
                </w:p>
              </w:tc>
              <w:tc>
                <w:tcPr>
                  <w:tcW w:w="3704" w:type="dxa"/>
                  <w:vAlign w:val="center"/>
                </w:tcPr>
                <w:p w14:paraId="503445BF">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专用收集罐75m</w:t>
                  </w:r>
                  <w:r>
                    <w:rPr>
                      <w:rFonts w:hint="default" w:ascii="Times New Roman" w:hAnsi="Times New Roman" w:cs="Times New Roman"/>
                      <w:color w:val="auto"/>
                      <w:sz w:val="21"/>
                      <w:szCs w:val="21"/>
                      <w:vertAlign w:val="superscript"/>
                    </w:rPr>
                    <w:t>3</w:t>
                  </w:r>
                </w:p>
              </w:tc>
              <w:tc>
                <w:tcPr>
                  <w:tcW w:w="1211" w:type="dxa"/>
                  <w:vAlign w:val="center"/>
                </w:tcPr>
                <w:p w14:paraId="5422D3BA">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lang w:val="en-US" w:eastAsia="zh-CN"/>
                    </w:rPr>
                    <w:t>个</w:t>
                  </w:r>
                </w:p>
              </w:tc>
              <w:tc>
                <w:tcPr>
                  <w:tcW w:w="1513" w:type="dxa"/>
                  <w:vAlign w:val="center"/>
                </w:tcPr>
                <w:p w14:paraId="704F130D">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.0</w:t>
                  </w:r>
                </w:p>
              </w:tc>
            </w:tr>
            <w:tr w14:paraId="521C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continue"/>
                  <w:vAlign w:val="center"/>
                </w:tcPr>
                <w:p w14:paraId="78C3EA7A">
                  <w:pPr>
                    <w:pStyle w:val="27"/>
                    <w:bidi w:val="0"/>
                    <w:jc w:val="center"/>
                    <w:rPr>
                      <w:rFonts w:hint="default" w:ascii="Times New Roman" w:hAnsi="Times New Roman" w:cs="Times New Roman"/>
                      <w:color w:val="auto"/>
                      <w:sz w:val="21"/>
                      <w:szCs w:val="21"/>
                    </w:rPr>
                  </w:pPr>
                </w:p>
              </w:tc>
              <w:tc>
                <w:tcPr>
                  <w:tcW w:w="1220" w:type="dxa"/>
                  <w:vAlign w:val="center"/>
                </w:tcPr>
                <w:p w14:paraId="767D088B">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压裂返排液</w:t>
                  </w:r>
                </w:p>
              </w:tc>
              <w:tc>
                <w:tcPr>
                  <w:tcW w:w="3704" w:type="dxa"/>
                  <w:vAlign w:val="center"/>
                </w:tcPr>
                <w:p w14:paraId="49F761E4">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专用收集罐75m</w:t>
                  </w:r>
                  <w:r>
                    <w:rPr>
                      <w:rFonts w:hint="default" w:ascii="Times New Roman" w:hAnsi="Times New Roman" w:cs="Times New Roman"/>
                      <w:color w:val="auto"/>
                      <w:sz w:val="21"/>
                      <w:szCs w:val="21"/>
                      <w:vertAlign w:val="superscript"/>
                    </w:rPr>
                    <w:t>3</w:t>
                  </w:r>
                </w:p>
              </w:tc>
              <w:tc>
                <w:tcPr>
                  <w:tcW w:w="1211" w:type="dxa"/>
                  <w:vAlign w:val="center"/>
                </w:tcPr>
                <w:p w14:paraId="2F51A7AD">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个</w:t>
                  </w:r>
                </w:p>
              </w:tc>
              <w:tc>
                <w:tcPr>
                  <w:tcW w:w="1513" w:type="dxa"/>
                  <w:vAlign w:val="center"/>
                </w:tcPr>
                <w:p w14:paraId="0455E0E3">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.0</w:t>
                  </w:r>
                </w:p>
              </w:tc>
            </w:tr>
            <w:tr w14:paraId="546A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continue"/>
                  <w:vAlign w:val="center"/>
                </w:tcPr>
                <w:p w14:paraId="6D26EBE8">
                  <w:pPr>
                    <w:pStyle w:val="27"/>
                    <w:bidi w:val="0"/>
                    <w:jc w:val="center"/>
                    <w:rPr>
                      <w:rFonts w:hint="default" w:ascii="Times New Roman" w:hAnsi="Times New Roman" w:cs="Times New Roman"/>
                      <w:color w:val="auto"/>
                      <w:sz w:val="21"/>
                      <w:szCs w:val="21"/>
                    </w:rPr>
                  </w:pPr>
                </w:p>
              </w:tc>
              <w:tc>
                <w:tcPr>
                  <w:tcW w:w="1220" w:type="dxa"/>
                  <w:vMerge w:val="restart"/>
                  <w:vAlign w:val="center"/>
                </w:tcPr>
                <w:p w14:paraId="5DFB45AC">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3704" w:type="dxa"/>
                  <w:vAlign w:val="center"/>
                </w:tcPr>
                <w:p w14:paraId="38EC89B9">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移动式</w:t>
                  </w:r>
                  <w:r>
                    <w:rPr>
                      <w:rFonts w:hint="eastAsia" w:cs="Times New Roman"/>
                      <w:color w:val="auto"/>
                      <w:sz w:val="21"/>
                      <w:szCs w:val="21"/>
                      <w:lang w:val="en-US" w:eastAsia="zh-CN"/>
                    </w:rPr>
                    <w:t>卫生</w:t>
                  </w:r>
                  <w:r>
                    <w:rPr>
                      <w:rFonts w:hint="default" w:ascii="Times New Roman" w:hAnsi="Times New Roman" w:cs="Times New Roman"/>
                      <w:color w:val="auto"/>
                      <w:sz w:val="21"/>
                      <w:szCs w:val="21"/>
                    </w:rPr>
                    <w:t>旱厕</w:t>
                  </w:r>
                </w:p>
              </w:tc>
              <w:tc>
                <w:tcPr>
                  <w:tcW w:w="1211" w:type="dxa"/>
                  <w:vAlign w:val="center"/>
                </w:tcPr>
                <w:p w14:paraId="31469036">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lang w:val="en-US" w:eastAsia="zh-CN"/>
                    </w:rPr>
                    <w:t>个</w:t>
                  </w:r>
                </w:p>
              </w:tc>
              <w:tc>
                <w:tcPr>
                  <w:tcW w:w="1513" w:type="dxa"/>
                  <w:vAlign w:val="center"/>
                </w:tcPr>
                <w:p w14:paraId="01693B6E">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16C7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continue"/>
                  <w:vAlign w:val="center"/>
                </w:tcPr>
                <w:p w14:paraId="4199545C">
                  <w:pPr>
                    <w:pStyle w:val="27"/>
                    <w:bidi w:val="0"/>
                    <w:jc w:val="center"/>
                    <w:rPr>
                      <w:rFonts w:hint="default" w:ascii="Times New Roman" w:hAnsi="Times New Roman" w:cs="Times New Roman"/>
                      <w:color w:val="auto"/>
                      <w:sz w:val="21"/>
                      <w:szCs w:val="21"/>
                    </w:rPr>
                  </w:pPr>
                </w:p>
              </w:tc>
              <w:tc>
                <w:tcPr>
                  <w:tcW w:w="1220" w:type="dxa"/>
                  <w:vMerge w:val="continue"/>
                  <w:vAlign w:val="center"/>
                </w:tcPr>
                <w:p w14:paraId="3E19C8B9">
                  <w:pPr>
                    <w:pStyle w:val="27"/>
                    <w:bidi w:val="0"/>
                    <w:jc w:val="center"/>
                    <w:rPr>
                      <w:rFonts w:hint="default" w:ascii="Times New Roman" w:hAnsi="Times New Roman" w:cs="Times New Roman"/>
                      <w:color w:val="auto"/>
                      <w:sz w:val="21"/>
                      <w:szCs w:val="21"/>
                    </w:rPr>
                  </w:pPr>
                </w:p>
              </w:tc>
              <w:tc>
                <w:tcPr>
                  <w:tcW w:w="3704" w:type="dxa"/>
                  <w:vAlign w:val="center"/>
                </w:tcPr>
                <w:p w14:paraId="216C8F02">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沉淀罐1</w:t>
                  </w:r>
                  <w:r>
                    <w:rPr>
                      <w:rFonts w:hint="default" w:ascii="Times New Roman" w:hAnsi="Times New Roman" w:cs="Times New Roman"/>
                      <w:color w:val="auto"/>
                      <w:sz w:val="21"/>
                      <w:szCs w:val="21"/>
                      <w:lang w:val="en-US" w:eastAsia="zh-CN"/>
                    </w:rPr>
                    <w:t>座（</w:t>
                  </w:r>
                  <w:r>
                    <w:rPr>
                      <w:rFonts w:hint="eastAsia" w:cs="Times New Roman"/>
                      <w:color w:val="auto"/>
                      <w:sz w:val="21"/>
                      <w:szCs w:val="21"/>
                      <w:lang w:val="en-US" w:eastAsia="zh-CN"/>
                    </w:rPr>
                    <w:t>15</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c>
                <w:tcPr>
                  <w:tcW w:w="1211" w:type="dxa"/>
                  <w:vAlign w:val="center"/>
                </w:tcPr>
                <w:p w14:paraId="31456599">
                  <w:pPr>
                    <w:pStyle w:val="27"/>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lang w:val="en-US" w:eastAsia="zh-CN"/>
                    </w:rPr>
                    <w:t>座</w:t>
                  </w:r>
                </w:p>
              </w:tc>
              <w:tc>
                <w:tcPr>
                  <w:tcW w:w="1513" w:type="dxa"/>
                  <w:vAlign w:val="center"/>
                </w:tcPr>
                <w:p w14:paraId="1CDCDEC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14:paraId="30E3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2" w:hRule="atLeast"/>
                <w:jc w:val="center"/>
              </w:trPr>
              <w:tc>
                <w:tcPr>
                  <w:tcW w:w="592" w:type="dxa"/>
                  <w:vMerge w:val="restart"/>
                  <w:vAlign w:val="center"/>
                </w:tcPr>
                <w:p w14:paraId="79E38BC6">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1220" w:type="dxa"/>
                  <w:vAlign w:val="center"/>
                </w:tcPr>
                <w:p w14:paraId="36A3C69A">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钻井设备</w:t>
                  </w:r>
                </w:p>
              </w:tc>
              <w:tc>
                <w:tcPr>
                  <w:tcW w:w="3704" w:type="dxa"/>
                  <w:vAlign w:val="center"/>
                </w:tcPr>
                <w:p w14:paraId="53F69E7D">
                  <w:pPr>
                    <w:pStyle w:val="27"/>
                    <w:bidi w:val="0"/>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rPr>
                    <w:t>基础减</w:t>
                  </w:r>
                  <w:r>
                    <w:rPr>
                      <w:rFonts w:hint="eastAsia" w:cs="Times New Roman"/>
                      <w:color w:val="auto"/>
                      <w:sz w:val="21"/>
                      <w:szCs w:val="21"/>
                      <w:highlight w:val="none"/>
                      <w:lang w:val="en-US" w:eastAsia="zh-CN"/>
                    </w:rPr>
                    <w:t>振</w:t>
                  </w:r>
                </w:p>
              </w:tc>
              <w:tc>
                <w:tcPr>
                  <w:tcW w:w="1211" w:type="dxa"/>
                  <w:vAlign w:val="center"/>
                </w:tcPr>
                <w:p w14:paraId="6BD84B2F">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w:t>
                  </w:r>
                </w:p>
              </w:tc>
              <w:tc>
                <w:tcPr>
                  <w:tcW w:w="1513" w:type="dxa"/>
                  <w:vAlign w:val="center"/>
                </w:tcPr>
                <w:p w14:paraId="76CDF5C8">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0.6</w:t>
                  </w:r>
                </w:p>
              </w:tc>
            </w:tr>
            <w:tr w14:paraId="22DE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continue"/>
                  <w:vAlign w:val="center"/>
                </w:tcPr>
                <w:p w14:paraId="7B221632">
                  <w:pPr>
                    <w:pStyle w:val="27"/>
                    <w:bidi w:val="0"/>
                    <w:jc w:val="center"/>
                    <w:rPr>
                      <w:rFonts w:hint="default" w:ascii="Times New Roman" w:hAnsi="Times New Roman" w:cs="Times New Roman"/>
                      <w:color w:val="auto"/>
                      <w:sz w:val="21"/>
                      <w:szCs w:val="21"/>
                    </w:rPr>
                  </w:pPr>
                </w:p>
              </w:tc>
              <w:tc>
                <w:tcPr>
                  <w:tcW w:w="1220" w:type="dxa"/>
                  <w:vAlign w:val="center"/>
                </w:tcPr>
                <w:p w14:paraId="113A5456">
                  <w:pPr>
                    <w:pStyle w:val="27"/>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压裂车</w:t>
                  </w:r>
                </w:p>
              </w:tc>
              <w:tc>
                <w:tcPr>
                  <w:tcW w:w="3704" w:type="dxa"/>
                  <w:vAlign w:val="center"/>
                </w:tcPr>
                <w:p w14:paraId="5151BCEB">
                  <w:pPr>
                    <w:pStyle w:val="27"/>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设置隔声</w:t>
                  </w:r>
                  <w:r>
                    <w:rPr>
                      <w:rFonts w:hint="eastAsia" w:cs="Times New Roman"/>
                      <w:color w:val="auto"/>
                      <w:sz w:val="21"/>
                      <w:szCs w:val="21"/>
                      <w:highlight w:val="none"/>
                      <w:lang w:val="en-US" w:eastAsia="zh-CN"/>
                    </w:rPr>
                    <w:t>设备</w:t>
                  </w:r>
                  <w:r>
                    <w:rPr>
                      <w:rFonts w:hint="default" w:ascii="Times New Roman" w:hAnsi="Times New Roman" w:cs="Times New Roman"/>
                      <w:color w:val="auto"/>
                      <w:sz w:val="21"/>
                      <w:szCs w:val="21"/>
                      <w:highlight w:val="none"/>
                    </w:rPr>
                    <w:t>，仅在白天运行</w:t>
                  </w:r>
                </w:p>
              </w:tc>
              <w:tc>
                <w:tcPr>
                  <w:tcW w:w="1211" w:type="dxa"/>
                  <w:vAlign w:val="center"/>
                </w:tcPr>
                <w:p w14:paraId="484BA76F">
                  <w:pPr>
                    <w:pStyle w:val="27"/>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w:t>
                  </w:r>
                </w:p>
              </w:tc>
              <w:tc>
                <w:tcPr>
                  <w:tcW w:w="1513" w:type="dxa"/>
                  <w:vAlign w:val="center"/>
                </w:tcPr>
                <w:p w14:paraId="6480C576">
                  <w:pPr>
                    <w:pStyle w:val="27"/>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0.5</w:t>
                  </w:r>
                </w:p>
              </w:tc>
            </w:tr>
            <w:tr w14:paraId="2EA4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continue"/>
                  <w:vAlign w:val="center"/>
                </w:tcPr>
                <w:p w14:paraId="48611B76">
                  <w:pPr>
                    <w:pStyle w:val="27"/>
                    <w:bidi w:val="0"/>
                    <w:jc w:val="center"/>
                    <w:rPr>
                      <w:rFonts w:hint="default" w:ascii="Times New Roman" w:hAnsi="Times New Roman" w:cs="Times New Roman"/>
                      <w:color w:val="auto"/>
                      <w:sz w:val="21"/>
                      <w:szCs w:val="21"/>
                    </w:rPr>
                  </w:pPr>
                </w:p>
              </w:tc>
              <w:tc>
                <w:tcPr>
                  <w:tcW w:w="1220" w:type="dxa"/>
                  <w:vAlign w:val="center"/>
                </w:tcPr>
                <w:p w14:paraId="55AD5610">
                  <w:pPr>
                    <w:pStyle w:val="27"/>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钻井工作区</w:t>
                  </w:r>
                </w:p>
              </w:tc>
              <w:tc>
                <w:tcPr>
                  <w:tcW w:w="3704" w:type="dxa"/>
                  <w:vAlign w:val="center"/>
                </w:tcPr>
                <w:p w14:paraId="14D90809">
                  <w:pPr>
                    <w:pStyle w:val="27"/>
                    <w:bidi w:val="0"/>
                    <w:ind w:firstLine="0" w:firstLineChars="0"/>
                    <w:jc w:val="center"/>
                    <w:rPr>
                      <w:rFonts w:hint="default" w:ascii="Times New Roman" w:hAnsi="Times New Roman" w:cs="Times New Roman"/>
                      <w:color w:val="auto"/>
                      <w:sz w:val="21"/>
                      <w:szCs w:val="21"/>
                    </w:rPr>
                  </w:pPr>
                  <w:r>
                    <w:rPr>
                      <w:rFonts w:hint="eastAsia" w:cs="Times New Roman"/>
                      <w:color w:val="auto"/>
                      <w:sz w:val="21"/>
                      <w:szCs w:val="21"/>
                      <w:highlight w:val="none"/>
                      <w:lang w:val="en-US" w:eastAsia="zh-CN"/>
                    </w:rPr>
                    <w:t>设置隔声墙</w:t>
                  </w:r>
                </w:p>
              </w:tc>
              <w:tc>
                <w:tcPr>
                  <w:tcW w:w="1211" w:type="dxa"/>
                  <w:vAlign w:val="center"/>
                </w:tcPr>
                <w:p w14:paraId="5229A133">
                  <w:pPr>
                    <w:pStyle w:val="27"/>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w:t>
                  </w:r>
                </w:p>
              </w:tc>
              <w:tc>
                <w:tcPr>
                  <w:tcW w:w="1513" w:type="dxa"/>
                  <w:vAlign w:val="center"/>
                </w:tcPr>
                <w:p w14:paraId="728DCBB7">
                  <w:pPr>
                    <w:pStyle w:val="27"/>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1</w:t>
                  </w:r>
                </w:p>
              </w:tc>
            </w:tr>
            <w:tr w14:paraId="7681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restart"/>
                  <w:vAlign w:val="center"/>
                </w:tcPr>
                <w:p w14:paraId="50845E5B">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固体废物</w:t>
                  </w:r>
                </w:p>
              </w:tc>
              <w:tc>
                <w:tcPr>
                  <w:tcW w:w="1220" w:type="dxa"/>
                  <w:vAlign w:val="center"/>
                </w:tcPr>
                <w:p w14:paraId="2851E7D8">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废弃泥浆、</w:t>
                  </w:r>
                </w:p>
                <w:p w14:paraId="3F42BF2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钻井岩屑</w:t>
                  </w:r>
                </w:p>
              </w:tc>
              <w:tc>
                <w:tcPr>
                  <w:tcW w:w="3704" w:type="dxa"/>
                  <w:vAlign w:val="center"/>
                </w:tcPr>
                <w:p w14:paraId="7D93F7F0">
                  <w:pPr>
                    <w:pStyle w:val="27"/>
                    <w:bidi w:val="0"/>
                    <w:jc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sz w:val="21"/>
                      <w:szCs w:val="21"/>
                      <w:vertAlign w:val="baseline"/>
                      <w:lang w:val="en-US" w:eastAsia="zh-CN"/>
                    </w:rPr>
                    <w:t>50</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移动式泥饼收集罐</w:t>
                  </w:r>
                </w:p>
              </w:tc>
              <w:tc>
                <w:tcPr>
                  <w:tcW w:w="1211" w:type="dxa"/>
                  <w:vAlign w:val="center"/>
                </w:tcPr>
                <w:p w14:paraId="02546384">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r>
                    <w:rPr>
                      <w:rFonts w:hint="default" w:ascii="Times New Roman" w:hAnsi="Times New Roman" w:cs="Times New Roman"/>
                      <w:color w:val="auto"/>
                      <w:sz w:val="21"/>
                      <w:szCs w:val="21"/>
                      <w:lang w:val="en-US" w:eastAsia="zh-CN"/>
                    </w:rPr>
                    <w:t>个</w:t>
                  </w:r>
                </w:p>
              </w:tc>
              <w:tc>
                <w:tcPr>
                  <w:tcW w:w="1513" w:type="dxa"/>
                  <w:vAlign w:val="center"/>
                </w:tcPr>
                <w:p w14:paraId="71E1C6AE">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w:t>
                  </w:r>
                </w:p>
              </w:tc>
            </w:tr>
            <w:tr w14:paraId="701E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continue"/>
                  <w:vAlign w:val="center"/>
                </w:tcPr>
                <w:p w14:paraId="2FCD7EE1">
                  <w:pPr>
                    <w:pStyle w:val="27"/>
                    <w:bidi w:val="0"/>
                    <w:jc w:val="center"/>
                    <w:rPr>
                      <w:rFonts w:hint="default" w:ascii="Times New Roman" w:hAnsi="Times New Roman" w:cs="Times New Roman"/>
                      <w:color w:val="auto"/>
                      <w:sz w:val="21"/>
                      <w:szCs w:val="21"/>
                    </w:rPr>
                  </w:pPr>
                </w:p>
              </w:tc>
              <w:tc>
                <w:tcPr>
                  <w:tcW w:w="1220" w:type="dxa"/>
                  <w:vAlign w:val="center"/>
                </w:tcPr>
                <w:p w14:paraId="0949BC1C">
                  <w:pPr>
                    <w:pStyle w:val="27"/>
                    <w:bidi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危险废物</w:t>
                  </w:r>
                </w:p>
              </w:tc>
              <w:tc>
                <w:tcPr>
                  <w:tcW w:w="3704" w:type="dxa"/>
                  <w:vAlign w:val="center"/>
                </w:tcPr>
                <w:p w14:paraId="4EE86FCD">
                  <w:pPr>
                    <w:pStyle w:val="27"/>
                    <w:bidi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撬装</w:t>
                  </w:r>
                  <w:r>
                    <w:rPr>
                      <w:rFonts w:hint="default" w:ascii="Times New Roman" w:hAnsi="Times New Roman" w:cs="Times New Roman"/>
                      <w:color w:val="auto"/>
                      <w:sz w:val="21"/>
                      <w:szCs w:val="21"/>
                    </w:rPr>
                    <w:t>危废</w:t>
                  </w:r>
                  <w:r>
                    <w:rPr>
                      <w:rFonts w:hint="eastAsia" w:cs="Times New Roman"/>
                      <w:color w:val="auto"/>
                      <w:sz w:val="21"/>
                      <w:szCs w:val="21"/>
                      <w:lang w:val="en-US" w:eastAsia="zh-CN"/>
                    </w:rPr>
                    <w:t>贮存库</w:t>
                  </w:r>
                </w:p>
              </w:tc>
              <w:tc>
                <w:tcPr>
                  <w:tcW w:w="1211" w:type="dxa"/>
                  <w:vAlign w:val="center"/>
                </w:tcPr>
                <w:p w14:paraId="491EEA2A">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lang w:val="en-US" w:eastAsia="zh-CN"/>
                    </w:rPr>
                    <w:t>个</w:t>
                  </w:r>
                </w:p>
              </w:tc>
              <w:tc>
                <w:tcPr>
                  <w:tcW w:w="1513" w:type="dxa"/>
                  <w:vAlign w:val="center"/>
                </w:tcPr>
                <w:p w14:paraId="7A644B0A">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.0</w:t>
                  </w:r>
                </w:p>
              </w:tc>
            </w:tr>
            <w:tr w14:paraId="089E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92" w:type="dxa"/>
                  <w:vMerge w:val="continue"/>
                  <w:vAlign w:val="center"/>
                </w:tcPr>
                <w:p w14:paraId="08A60BB9">
                  <w:pPr>
                    <w:pStyle w:val="27"/>
                    <w:bidi w:val="0"/>
                    <w:jc w:val="center"/>
                    <w:rPr>
                      <w:rFonts w:hint="default" w:ascii="Times New Roman" w:hAnsi="Times New Roman" w:cs="Times New Roman"/>
                      <w:color w:val="auto"/>
                      <w:sz w:val="21"/>
                      <w:szCs w:val="21"/>
                    </w:rPr>
                  </w:pPr>
                </w:p>
              </w:tc>
              <w:tc>
                <w:tcPr>
                  <w:tcW w:w="1220" w:type="dxa"/>
                  <w:vAlign w:val="center"/>
                </w:tcPr>
                <w:p w14:paraId="0656AC0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3704" w:type="dxa"/>
                  <w:vAlign w:val="center"/>
                </w:tcPr>
                <w:p w14:paraId="797D83A7">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经垃圾桶集中收集后由</w:t>
                  </w:r>
                  <w:r>
                    <w:rPr>
                      <w:rFonts w:hint="default" w:ascii="Times New Roman" w:hAnsi="Times New Roman" w:cs="Times New Roman"/>
                      <w:color w:val="auto"/>
                      <w:sz w:val="21"/>
                      <w:szCs w:val="21"/>
                      <w:lang w:val="en-US" w:eastAsia="zh-CN"/>
                    </w:rPr>
                    <w:t>交由</w:t>
                  </w:r>
                  <w:r>
                    <w:rPr>
                      <w:rFonts w:hint="default" w:ascii="Times New Roman" w:hAnsi="Times New Roman" w:cs="Times New Roman"/>
                      <w:color w:val="auto"/>
                      <w:sz w:val="21"/>
                      <w:szCs w:val="21"/>
                    </w:rPr>
                    <w:t>当地环卫部门集中处置。</w:t>
                  </w:r>
                </w:p>
              </w:tc>
              <w:tc>
                <w:tcPr>
                  <w:tcW w:w="1211" w:type="dxa"/>
                  <w:vAlign w:val="center"/>
                </w:tcPr>
                <w:p w14:paraId="7D9F27D5">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若干</w:t>
                  </w:r>
                </w:p>
              </w:tc>
              <w:tc>
                <w:tcPr>
                  <w:tcW w:w="1513" w:type="dxa"/>
                  <w:vAlign w:val="center"/>
                </w:tcPr>
                <w:p w14:paraId="455FB95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2</w:t>
                  </w:r>
                </w:p>
              </w:tc>
            </w:tr>
            <w:tr w14:paraId="330E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12" w:type="dxa"/>
                  <w:gridSpan w:val="2"/>
                  <w:vAlign w:val="center"/>
                </w:tcPr>
                <w:p w14:paraId="0E532C64">
                  <w:pPr>
                    <w:pStyle w:val="27"/>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地下水污染防治</w:t>
                  </w:r>
                </w:p>
              </w:tc>
              <w:tc>
                <w:tcPr>
                  <w:tcW w:w="3704" w:type="dxa"/>
                  <w:vAlign w:val="center"/>
                </w:tcPr>
                <w:p w14:paraId="596DCF42">
                  <w:pPr>
                    <w:pStyle w:val="27"/>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钻井工作区、泥浆不落地系统区、钻井液材料房、储罐区</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撬装式</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w:t>
                  </w:r>
                  <w:r>
                    <w:rPr>
                      <w:rFonts w:hint="eastAsia" w:cs="Times New Roman"/>
                      <w:color w:val="auto"/>
                      <w:sz w:val="21"/>
                      <w:szCs w:val="21"/>
                      <w:lang w:eastAsia="zh-CN"/>
                    </w:rPr>
                    <w:t>放喷池</w:t>
                  </w:r>
                  <w:r>
                    <w:rPr>
                      <w:rFonts w:hint="default" w:ascii="Times New Roman" w:hAnsi="Times New Roman" w:cs="Times New Roman"/>
                      <w:color w:val="auto"/>
                      <w:sz w:val="21"/>
                      <w:szCs w:val="21"/>
                    </w:rPr>
                    <w:t>进行重点防渗处理</w:t>
                  </w:r>
                </w:p>
              </w:tc>
              <w:tc>
                <w:tcPr>
                  <w:tcW w:w="1211" w:type="dxa"/>
                  <w:vAlign w:val="center"/>
                </w:tcPr>
                <w:p w14:paraId="21C9F30F">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13" w:type="dxa"/>
                  <w:vAlign w:val="center"/>
                </w:tcPr>
                <w:p w14:paraId="78CE24C1">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r>
                    <w:rPr>
                      <w:rFonts w:hint="default" w:ascii="Times New Roman" w:hAnsi="Times New Roman" w:cs="Times New Roman"/>
                      <w:color w:val="auto"/>
                      <w:sz w:val="21"/>
                      <w:szCs w:val="21"/>
                      <w:lang w:val="en-US" w:eastAsia="zh-CN"/>
                    </w:rPr>
                    <w:t>.0</w:t>
                  </w:r>
                </w:p>
              </w:tc>
            </w:tr>
            <w:tr w14:paraId="6DA1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12" w:type="dxa"/>
                  <w:gridSpan w:val="2"/>
                  <w:vAlign w:val="center"/>
                </w:tcPr>
                <w:p w14:paraId="2C2BEB1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w:t>
                  </w:r>
                </w:p>
              </w:tc>
              <w:tc>
                <w:tcPr>
                  <w:tcW w:w="3704" w:type="dxa"/>
                  <w:vAlign w:val="center"/>
                </w:tcPr>
                <w:p w14:paraId="2BCE7CF9">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风险防范措施</w:t>
                  </w:r>
                </w:p>
              </w:tc>
              <w:tc>
                <w:tcPr>
                  <w:tcW w:w="1211" w:type="dxa"/>
                  <w:vAlign w:val="center"/>
                </w:tcPr>
                <w:p w14:paraId="4BDE4C93">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13" w:type="dxa"/>
                  <w:vAlign w:val="center"/>
                </w:tcPr>
                <w:p w14:paraId="1C73AF11">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.0</w:t>
                  </w:r>
                </w:p>
              </w:tc>
            </w:tr>
            <w:tr w14:paraId="6457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12" w:type="dxa"/>
                  <w:gridSpan w:val="2"/>
                  <w:vAlign w:val="center"/>
                </w:tcPr>
                <w:p w14:paraId="6BBEB69A">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临时占地生态恢复</w:t>
                  </w:r>
                </w:p>
              </w:tc>
              <w:tc>
                <w:tcPr>
                  <w:tcW w:w="3704" w:type="dxa"/>
                  <w:vAlign w:val="center"/>
                </w:tcPr>
                <w:p w14:paraId="5D9CBC6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覆土平整、恢复原有使用功能</w:t>
                  </w:r>
                </w:p>
              </w:tc>
              <w:tc>
                <w:tcPr>
                  <w:tcW w:w="1211" w:type="dxa"/>
                  <w:vAlign w:val="center"/>
                </w:tcPr>
                <w:p w14:paraId="4C183D19">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12801.6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1513" w:type="dxa"/>
                  <w:vAlign w:val="center"/>
                </w:tcPr>
                <w:p w14:paraId="661C118E">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r>
                    <w:rPr>
                      <w:rFonts w:hint="default" w:ascii="Times New Roman" w:hAnsi="Times New Roman" w:cs="Times New Roman"/>
                      <w:color w:val="auto"/>
                      <w:sz w:val="21"/>
                      <w:szCs w:val="21"/>
                      <w:lang w:val="en-US" w:eastAsia="zh-CN"/>
                    </w:rPr>
                    <w:t>.0</w:t>
                  </w:r>
                </w:p>
              </w:tc>
            </w:tr>
            <w:tr w14:paraId="3E2A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727" w:type="dxa"/>
                  <w:gridSpan w:val="4"/>
                  <w:vAlign w:val="center"/>
                </w:tcPr>
                <w:p w14:paraId="51AB479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513" w:type="dxa"/>
                  <w:vAlign w:val="center"/>
                </w:tcPr>
                <w:p w14:paraId="2343DF78">
                  <w:pPr>
                    <w:pStyle w:val="27"/>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54.5</w:t>
                  </w:r>
                </w:p>
              </w:tc>
            </w:tr>
          </w:tbl>
          <w:p w14:paraId="037CAB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2671C3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76B9E9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6F36B3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50F8BC4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tc>
      </w:tr>
    </w:tbl>
    <w:p w14:paraId="1E2028F3">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0660B732">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生态环境保护措施监督检查清单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4782"/>
        <w:gridCol w:w="1738"/>
        <w:gridCol w:w="862"/>
        <w:gridCol w:w="642"/>
      </w:tblGrid>
      <w:tr w14:paraId="47FA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1E6B4B8B">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3810</wp:posOffset>
                      </wp:positionV>
                      <wp:extent cx="793115" cy="588645"/>
                      <wp:effectExtent l="3810" t="5080" r="22225" b="15875"/>
                      <wp:wrapNone/>
                      <wp:docPr id="4" name="直接连接符 4"/>
                      <wp:cNvGraphicFramePr/>
                      <a:graphic xmlns:a="http://schemas.openxmlformats.org/drawingml/2006/main">
                        <a:graphicData uri="http://schemas.microsoft.com/office/word/2010/wordprocessingShape">
                          <wps:wsp>
                            <wps:cNvCnPr/>
                            <wps:spPr>
                              <a:xfrm>
                                <a:off x="831215" y="1315720"/>
                                <a:ext cx="793115" cy="5886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0.3pt;height:46.35pt;width:62.45pt;z-index:251660288;mso-width-relative:page;mso-height-relative:page;" filled="f" stroked="t" coordsize="21600,21600" o:gfxdata="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OdeHNYAAAAHAQAADwAAAAAAAAABACAAAAAiAAAAZHJzL2Rvd25yZXYueG1sUEsBAhQA&#10;FAAAAAgAh07iQC7zlXz0AQAAwQMAAA4AAAAAAAAAAQAgAAAAJQEAAGRycy9lMm9Eb2MueG1sUEsF&#10;BgAAAAAGAAYAWQEAAIsFAAAAAA==&#10;">
                      <v:fill on="f" focussize="0,0"/>
                      <v:stroke weight="1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rPr>
              <w:t>内容</w:t>
            </w:r>
          </w:p>
          <w:p w14:paraId="0DF14A95">
            <w:pPr>
              <w:numPr>
                <w:ilvl w:val="0"/>
                <w:numId w:val="0"/>
              </w:numPr>
              <w:jc w:val="both"/>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要素</w:t>
            </w:r>
          </w:p>
        </w:tc>
        <w:tc>
          <w:tcPr>
            <w:tcW w:w="6520" w:type="dxa"/>
            <w:gridSpan w:val="2"/>
            <w:vAlign w:val="center"/>
          </w:tcPr>
          <w:p w14:paraId="19937743">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施工期</w:t>
            </w:r>
          </w:p>
        </w:tc>
        <w:tc>
          <w:tcPr>
            <w:tcW w:w="1504" w:type="dxa"/>
            <w:gridSpan w:val="2"/>
            <w:vAlign w:val="center"/>
          </w:tcPr>
          <w:p w14:paraId="0A54388E">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营运期</w:t>
            </w:r>
          </w:p>
        </w:tc>
      </w:tr>
      <w:tr w14:paraId="2057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2E32F2C0">
            <w:pPr>
              <w:numPr>
                <w:ilvl w:val="0"/>
                <w:numId w:val="0"/>
              </w:numPr>
              <w:jc w:val="center"/>
              <w:rPr>
                <w:rFonts w:hint="default" w:ascii="Times New Roman" w:hAnsi="Times New Roman" w:eastAsia="宋体" w:cs="Times New Roman"/>
                <w:b/>
                <w:bCs/>
                <w:color w:val="auto"/>
                <w:sz w:val="21"/>
                <w:szCs w:val="21"/>
                <w:vertAlign w:val="baseline"/>
                <w:lang w:val="en-US" w:eastAsia="zh-CN"/>
              </w:rPr>
            </w:pPr>
          </w:p>
        </w:tc>
        <w:tc>
          <w:tcPr>
            <w:tcW w:w="4782" w:type="dxa"/>
            <w:vAlign w:val="center"/>
          </w:tcPr>
          <w:p w14:paraId="15FD63BC">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环境保护措施</w:t>
            </w:r>
          </w:p>
        </w:tc>
        <w:tc>
          <w:tcPr>
            <w:tcW w:w="1738" w:type="dxa"/>
            <w:vAlign w:val="center"/>
          </w:tcPr>
          <w:p w14:paraId="46738352">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验收要求</w:t>
            </w:r>
          </w:p>
        </w:tc>
        <w:tc>
          <w:tcPr>
            <w:tcW w:w="862" w:type="dxa"/>
            <w:vAlign w:val="center"/>
          </w:tcPr>
          <w:p w14:paraId="7008D869">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环境保护措施</w:t>
            </w:r>
          </w:p>
        </w:tc>
        <w:tc>
          <w:tcPr>
            <w:tcW w:w="642" w:type="dxa"/>
            <w:vAlign w:val="center"/>
          </w:tcPr>
          <w:p w14:paraId="0A50942F">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验收要求</w:t>
            </w:r>
          </w:p>
        </w:tc>
      </w:tr>
      <w:tr w14:paraId="1625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32A74E6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陆生生态</w:t>
            </w:r>
          </w:p>
        </w:tc>
        <w:tc>
          <w:tcPr>
            <w:tcW w:w="4782" w:type="dxa"/>
            <w:vAlign w:val="center"/>
          </w:tcPr>
          <w:p w14:paraId="73B765C3">
            <w:pPr>
              <w:spacing w:beforeLines="0" w:afterLines="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施工期：</w:t>
            </w:r>
          </w:p>
          <w:p w14:paraId="3352E1E7">
            <w:pPr>
              <w:spacing w:beforeLines="0" w:afterLines="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合理布置井场及钻井设备，减少井场占地面积；合理安排施工时间；禁止废水、废弃泥浆、岩屑以及其他废物流失和乱排放；完井后回收各种废料；施工结束后，除生产井所需的面积外，对其余占地覆土恢复植被种植。</w:t>
            </w:r>
          </w:p>
          <w:p w14:paraId="4523B605">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封井期：拆除场地地面设施，进行井场清理，草地恢复为草地，林地恢复为林地，并辅以草地搭配，园地种植原有果树。</w:t>
            </w:r>
          </w:p>
        </w:tc>
        <w:tc>
          <w:tcPr>
            <w:tcW w:w="1738" w:type="dxa"/>
            <w:vAlign w:val="center"/>
          </w:tcPr>
          <w:p w14:paraId="43EEE83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生态环境质量不降低</w:t>
            </w:r>
          </w:p>
        </w:tc>
        <w:tc>
          <w:tcPr>
            <w:tcW w:w="862" w:type="dxa"/>
            <w:vAlign w:val="center"/>
          </w:tcPr>
          <w:p w14:paraId="2741EBE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549DAD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8C0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72DB9E2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水生生态</w:t>
            </w:r>
          </w:p>
        </w:tc>
        <w:tc>
          <w:tcPr>
            <w:tcW w:w="4782" w:type="dxa"/>
            <w:vAlign w:val="center"/>
          </w:tcPr>
          <w:p w14:paraId="14D159D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361459A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489137E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4FD294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C5E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47F9786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地表水环境</w:t>
            </w:r>
          </w:p>
        </w:tc>
        <w:tc>
          <w:tcPr>
            <w:tcW w:w="4782" w:type="dxa"/>
            <w:vAlign w:val="center"/>
          </w:tcPr>
          <w:p w14:paraId="3ADB10D3">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钻井废水：项目钻井废水经泥浆水循环系统处理后优先作为钻井液配水回用，钻井结束后，</w:t>
            </w:r>
            <w:r>
              <w:rPr>
                <w:rFonts w:hint="eastAsia" w:ascii="宋体" w:hAnsi="宋体" w:eastAsia="宋体" w:cs="宋体"/>
                <w:color w:val="auto"/>
                <w:sz w:val="21"/>
                <w:szCs w:val="21"/>
              </w:rPr>
              <w:t>不能回用的钻井废水委托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restart"/>
            <w:vAlign w:val="center"/>
          </w:tcPr>
          <w:p w14:paraId="03EF5F9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废水妥善处置，不外排</w:t>
            </w:r>
          </w:p>
        </w:tc>
        <w:tc>
          <w:tcPr>
            <w:tcW w:w="862" w:type="dxa"/>
            <w:vAlign w:val="center"/>
          </w:tcPr>
          <w:p w14:paraId="7E19861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9E5B72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121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323CEBB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230AAF5D">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洗井废水：由专用收集罐临时收集</w:t>
            </w:r>
            <w:r>
              <w:rPr>
                <w:rFonts w:hint="default" w:ascii="Times New Roman" w:hAnsi="Times New Roman" w:eastAsia="宋体" w:cs="Times New Roman"/>
                <w:color w:val="auto"/>
                <w:sz w:val="21"/>
                <w:szCs w:val="24"/>
                <w:lang w:eastAsia="zh-CN"/>
              </w:rPr>
              <w:t>，</w:t>
            </w:r>
            <w:r>
              <w:rPr>
                <w:rFonts w:hint="default" w:ascii="Times New Roman" w:hAnsi="Times New Roman" w:eastAsia="宋体" w:cs="Times New Roman"/>
                <w:color w:val="auto"/>
                <w:sz w:val="21"/>
                <w:szCs w:val="24"/>
              </w:rPr>
              <w:t>钻井结束后，</w:t>
            </w:r>
            <w:r>
              <w:rPr>
                <w:rFonts w:hint="eastAsia" w:ascii="宋体" w:hAnsi="宋体" w:eastAsia="宋体" w:cs="宋体"/>
                <w:color w:val="auto"/>
                <w:sz w:val="21"/>
                <w:szCs w:val="21"/>
              </w:rPr>
              <w:t>不能回用的钻井废水委托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continue"/>
            <w:vAlign w:val="center"/>
          </w:tcPr>
          <w:p w14:paraId="51EE03B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73F869E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6D9B5A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F01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5AB4AF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450ADA70">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压裂返排液：本项目压裂返排液临时收集贮存于专用收集罐，钻井结束后剩余压裂返排液用专用收集罐收集，</w:t>
            </w:r>
            <w:r>
              <w:rPr>
                <w:rFonts w:hint="eastAsia" w:ascii="宋体" w:hAnsi="宋体" w:eastAsia="宋体" w:cs="宋体"/>
                <w:color w:val="auto"/>
                <w:sz w:val="21"/>
                <w:szCs w:val="21"/>
              </w:rPr>
              <w:t>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continue"/>
            <w:vAlign w:val="center"/>
          </w:tcPr>
          <w:p w14:paraId="05565B0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2DDAC90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BDBA5D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118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673A69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47C9ABE7">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生活污水：场区设移动式防渗</w:t>
            </w:r>
            <w:r>
              <w:rPr>
                <w:rFonts w:hint="eastAsia" w:ascii="Times New Roman" w:hAnsi="Times New Roman" w:eastAsia="宋体" w:cs="Times New Roman"/>
                <w:color w:val="auto"/>
                <w:sz w:val="21"/>
                <w:szCs w:val="24"/>
                <w:lang w:val="en-US" w:eastAsia="zh-CN"/>
              </w:rPr>
              <w:t>卫生</w:t>
            </w:r>
            <w:r>
              <w:rPr>
                <w:rFonts w:hint="default" w:ascii="Times New Roman" w:hAnsi="Times New Roman" w:eastAsia="宋体" w:cs="Times New Roman"/>
                <w:color w:val="auto"/>
                <w:sz w:val="21"/>
                <w:szCs w:val="24"/>
              </w:rPr>
              <w:t>旱厕，定期清掏用作周边农田堆肥。</w:t>
            </w:r>
          </w:p>
        </w:tc>
        <w:tc>
          <w:tcPr>
            <w:tcW w:w="1738" w:type="dxa"/>
            <w:vMerge w:val="continue"/>
            <w:vAlign w:val="center"/>
          </w:tcPr>
          <w:p w14:paraId="639DC65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124EC2E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5DA80E8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8C9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04AC8BD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地下水及土壤环境</w:t>
            </w:r>
          </w:p>
        </w:tc>
        <w:tc>
          <w:tcPr>
            <w:tcW w:w="4782" w:type="dxa"/>
            <w:vAlign w:val="center"/>
          </w:tcPr>
          <w:p w14:paraId="07131BC5">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重</w:t>
            </w:r>
            <w:r>
              <w:rPr>
                <w:rFonts w:hint="default" w:ascii="Times New Roman" w:hAnsi="Times New Roman" w:eastAsia="宋体" w:cs="Times New Roman"/>
                <w:b w:val="0"/>
                <w:bCs w:val="0"/>
                <w:color w:val="auto"/>
                <w:sz w:val="21"/>
                <w:szCs w:val="21"/>
                <w:vertAlign w:val="baseline"/>
                <w:lang w:val="en-US" w:eastAsia="zh-CN"/>
              </w:rPr>
              <w:t>点防渗区地面底部利用机械将衬层压实，四周用土堆成简易围堰，围堰内地面连同四周的土围堰整体铺设防渗材料（</w:t>
            </w:r>
            <w:r>
              <w:rPr>
                <w:rFonts w:hint="eastAsia" w:ascii="Times New Roman" w:hAnsi="Times New Roman" w:eastAsia="宋体" w:cs="Times New Roman"/>
                <w:b w:val="0"/>
                <w:bCs w:val="0"/>
                <w:color w:val="auto"/>
                <w:sz w:val="21"/>
                <w:szCs w:val="21"/>
                <w:vertAlign w:val="baseline"/>
                <w:lang w:val="en-US" w:eastAsia="zh-CN"/>
              </w:rPr>
              <w:t>HDPE膜，不低于2mm厚</w:t>
            </w:r>
            <w:r>
              <w:rPr>
                <w:rFonts w:hint="default" w:ascii="Times New Roman" w:hAnsi="Times New Roman" w:eastAsia="宋体" w:cs="Times New Roman"/>
                <w:b w:val="0"/>
                <w:bCs w:val="0"/>
                <w:color w:val="auto"/>
                <w:sz w:val="21"/>
                <w:szCs w:val="21"/>
                <w:vertAlign w:val="baseline"/>
                <w:lang w:val="en-US" w:eastAsia="zh-CN"/>
              </w:rPr>
              <w:t>），等效黏土防渗层Mb≥6.0m，K≤1×10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cm/s，HDPE膜敷设面积应适当扩大，覆盖围堰区外延1.0m范围；</w:t>
            </w:r>
            <w:r>
              <w:rPr>
                <w:rFonts w:hint="eastAsia" w:ascii="Times New Roman" w:hAnsi="Times New Roman" w:eastAsia="宋体" w:cs="Times New Roman"/>
                <w:b w:val="0"/>
                <w:bCs w:val="0"/>
                <w:color w:val="auto"/>
                <w:sz w:val="21"/>
                <w:szCs w:val="21"/>
                <w:vertAlign w:val="baseline"/>
                <w:lang w:val="en-US" w:eastAsia="zh-CN"/>
              </w:rPr>
              <w:t>放喷池</w:t>
            </w:r>
            <w:r>
              <w:rPr>
                <w:rFonts w:hint="default" w:ascii="Times New Roman" w:hAnsi="Times New Roman" w:eastAsia="宋体" w:cs="Times New Roman"/>
                <w:b w:val="0"/>
                <w:bCs w:val="0"/>
                <w:color w:val="auto"/>
                <w:sz w:val="21"/>
                <w:szCs w:val="21"/>
                <w:vertAlign w:val="baseline"/>
                <w:lang w:val="en-US" w:eastAsia="zh-CN"/>
              </w:rPr>
              <w:t>防渗措施：</w:t>
            </w:r>
            <w:r>
              <w:rPr>
                <w:rFonts w:hint="default" w:ascii="Times New Roman" w:hAnsi="Times New Roman" w:eastAsia="宋体" w:cs="Times New Roman"/>
                <w:b w:val="0"/>
                <w:bCs w:val="0"/>
                <w:color w:val="auto"/>
                <w:sz w:val="21"/>
                <w:szCs w:val="21"/>
                <w:vertAlign w:val="baseline"/>
                <w:lang w:val="en-US" w:eastAsia="zh-CN"/>
              </w:rPr>
              <w:t>池底填筑一定厚度的土壤后压实，池底及四周铺设复合防水卷材作防渗漏处理，防水卷材搭接长度不小于300mm，等效黏土防渗层Mb≥6.0m，K≤1×10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cm/s；危废</w:t>
            </w:r>
            <w:r>
              <w:rPr>
                <w:rFonts w:hint="eastAsia" w:ascii="Times New Roman" w:hAnsi="Times New Roman" w:eastAsia="宋体" w:cs="Times New Roman"/>
                <w:b w:val="0"/>
                <w:bCs w:val="0"/>
                <w:color w:val="auto"/>
                <w:sz w:val="21"/>
                <w:szCs w:val="21"/>
                <w:vertAlign w:val="baseline"/>
                <w:lang w:val="en-US" w:eastAsia="zh-CN"/>
              </w:rPr>
              <w:t>贮存库</w:t>
            </w:r>
            <w:r>
              <w:rPr>
                <w:rFonts w:hint="default" w:ascii="Times New Roman" w:hAnsi="Times New Roman" w:eastAsia="宋体" w:cs="Times New Roman"/>
                <w:b w:val="0"/>
                <w:bCs w:val="0"/>
                <w:color w:val="auto"/>
                <w:sz w:val="21"/>
                <w:szCs w:val="21"/>
                <w:vertAlign w:val="baseline"/>
                <w:lang w:val="en-US" w:eastAsia="zh-CN"/>
              </w:rPr>
              <w:t>防渗措施：采用撬装式危废</w:t>
            </w:r>
            <w:r>
              <w:rPr>
                <w:rFonts w:hint="eastAsia" w:ascii="Times New Roman" w:hAnsi="Times New Roman" w:eastAsia="宋体" w:cs="Times New Roman"/>
                <w:b w:val="0"/>
                <w:bCs w:val="0"/>
                <w:color w:val="auto"/>
                <w:sz w:val="21"/>
                <w:szCs w:val="21"/>
                <w:vertAlign w:val="baseline"/>
                <w:lang w:val="en-US" w:eastAsia="zh-CN"/>
              </w:rPr>
              <w:t>贮存库</w:t>
            </w:r>
            <w:r>
              <w:rPr>
                <w:rFonts w:hint="default" w:ascii="Times New Roman" w:hAnsi="Times New Roman" w:eastAsia="宋体" w:cs="Times New Roman"/>
                <w:b w:val="0"/>
                <w:bCs w:val="0"/>
                <w:color w:val="auto"/>
                <w:sz w:val="21"/>
                <w:szCs w:val="21"/>
                <w:vertAlign w:val="baseline"/>
                <w:lang w:val="en-US" w:eastAsia="zh-CN"/>
              </w:rPr>
              <w:t>，防渗同时可满足《危险废物贮存污染控制标准》(GB18597-2023)的相关要求，防渗层渗透系数小于1×10</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vertAlign w:val="baseline"/>
                <w:lang w:val="en-US" w:eastAsia="zh-CN"/>
              </w:rPr>
              <w:t>cm/s。</w:t>
            </w:r>
          </w:p>
        </w:tc>
        <w:tc>
          <w:tcPr>
            <w:tcW w:w="1738" w:type="dxa"/>
            <w:vAlign w:val="center"/>
          </w:tcPr>
          <w:p w14:paraId="5A8DD908">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施工现场无遗留废水、固体废物等可能对地下水及土壤环境造成影响的污染物；污染物均得到妥善处置</w:t>
            </w:r>
          </w:p>
        </w:tc>
        <w:tc>
          <w:tcPr>
            <w:tcW w:w="862" w:type="dxa"/>
            <w:vAlign w:val="center"/>
          </w:tcPr>
          <w:p w14:paraId="2F7B391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446826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2E18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041E89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声环境</w:t>
            </w:r>
          </w:p>
        </w:tc>
        <w:tc>
          <w:tcPr>
            <w:tcW w:w="4782" w:type="dxa"/>
            <w:vAlign w:val="center"/>
          </w:tcPr>
          <w:p w14:paraId="032668C5">
            <w:pPr>
              <w:spacing w:beforeLines="0" w:afterLines="0"/>
              <w:jc w:val="left"/>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采用符合国家规定的设备；严格控制高噪声设备运行时间段，加强施工管理；泥浆泵加衬弹性垫料，管理和作业过程中平稳操作，避免特种作业时产生非正常的噪声</w:t>
            </w:r>
            <w:r>
              <w:rPr>
                <w:rFonts w:hint="eastAsia" w:ascii="Times New Roman" w:hAnsi="Times New Roman" w:eastAsia="宋体" w:cs="Times New Roman"/>
                <w:color w:val="auto"/>
                <w:sz w:val="21"/>
                <w:szCs w:val="24"/>
                <w:lang w:eastAsia="zh-CN"/>
              </w:rPr>
              <w:t>，</w:t>
            </w:r>
            <w:r>
              <w:rPr>
                <w:rFonts w:hint="eastAsia" w:ascii="Times New Roman" w:hAnsi="Times New Roman" w:eastAsia="宋体" w:cs="Times New Roman"/>
                <w:color w:val="auto"/>
                <w:sz w:val="21"/>
                <w:szCs w:val="24"/>
                <w:lang w:val="en-US" w:eastAsia="zh-CN"/>
              </w:rPr>
              <w:t>压裂车设置隔声设备，仅在白天运行</w:t>
            </w:r>
            <w:r>
              <w:rPr>
                <w:rFonts w:hint="default" w:ascii="Times New Roman" w:hAnsi="Times New Roman" w:eastAsia="宋体" w:cs="Times New Roman"/>
                <w:color w:val="auto"/>
                <w:sz w:val="21"/>
                <w:szCs w:val="24"/>
              </w:rPr>
              <w:t>等</w:t>
            </w:r>
          </w:p>
        </w:tc>
        <w:tc>
          <w:tcPr>
            <w:tcW w:w="1738" w:type="dxa"/>
            <w:vAlign w:val="center"/>
          </w:tcPr>
          <w:p w14:paraId="4457214D">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满足《建筑施工场界环境噪声排放标准》（</w:t>
            </w:r>
            <w:r>
              <w:rPr>
                <w:rFonts w:hint="default" w:ascii="Times New Roman" w:hAnsi="Times New Roman" w:eastAsia="TimesNewRomanPSMT" w:cs="Times New Roman"/>
                <w:color w:val="auto"/>
                <w:sz w:val="21"/>
                <w:szCs w:val="24"/>
              </w:rPr>
              <w:t>GB12523-2011</w:t>
            </w:r>
            <w:r>
              <w:rPr>
                <w:rFonts w:hint="default" w:ascii="Times New Roman" w:hAnsi="Times New Roman" w:eastAsia="宋体" w:cs="Times New Roman"/>
                <w:color w:val="auto"/>
                <w:sz w:val="21"/>
                <w:szCs w:val="24"/>
              </w:rPr>
              <w:t>）中限值要求</w:t>
            </w:r>
          </w:p>
        </w:tc>
        <w:tc>
          <w:tcPr>
            <w:tcW w:w="862" w:type="dxa"/>
            <w:vAlign w:val="center"/>
          </w:tcPr>
          <w:p w14:paraId="28F75C5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5622B86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FCE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E15345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振动</w:t>
            </w:r>
          </w:p>
        </w:tc>
        <w:tc>
          <w:tcPr>
            <w:tcW w:w="4782" w:type="dxa"/>
            <w:vAlign w:val="center"/>
          </w:tcPr>
          <w:p w14:paraId="7818B9C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4EDEBCB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759B584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7EE877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2C0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4A7F9E5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大气环境</w:t>
            </w:r>
          </w:p>
        </w:tc>
        <w:tc>
          <w:tcPr>
            <w:tcW w:w="4782" w:type="dxa"/>
            <w:vAlign w:val="center"/>
          </w:tcPr>
          <w:p w14:paraId="2F65841C">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施工扬尘：施工场地围挡、物料堆放覆盖、洒水降尘、土方开挖湿法作业；利用现有道路运输；重污染天气严禁开挖等作业；禁止就地焚烧固体废弃物等。</w:t>
            </w:r>
          </w:p>
        </w:tc>
        <w:tc>
          <w:tcPr>
            <w:tcW w:w="1738" w:type="dxa"/>
            <w:vAlign w:val="center"/>
          </w:tcPr>
          <w:p w14:paraId="154DB631">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达到《施工场界扬尘排放限值》（</w:t>
            </w:r>
            <w:r>
              <w:rPr>
                <w:rFonts w:hint="default" w:ascii="Times New Roman" w:hAnsi="Times New Roman" w:eastAsia="TimesNewRomanPSMT" w:cs="Times New Roman"/>
                <w:color w:val="auto"/>
                <w:sz w:val="21"/>
                <w:szCs w:val="24"/>
              </w:rPr>
              <w:t>DB61/1078-2017</w:t>
            </w:r>
            <w:r>
              <w:rPr>
                <w:rFonts w:hint="default" w:ascii="Times New Roman" w:hAnsi="Times New Roman" w:eastAsia="宋体" w:cs="Times New Roman"/>
                <w:color w:val="auto"/>
                <w:sz w:val="21"/>
                <w:szCs w:val="24"/>
              </w:rPr>
              <w:t>）的相关要求</w:t>
            </w:r>
          </w:p>
        </w:tc>
        <w:tc>
          <w:tcPr>
            <w:tcW w:w="862" w:type="dxa"/>
            <w:vAlign w:val="center"/>
          </w:tcPr>
          <w:p w14:paraId="78B8C71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A0E82D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E6D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348FF8B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14283C22">
            <w:pPr>
              <w:spacing w:beforeLines="0" w:afterLines="0"/>
              <w:jc w:val="left"/>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事故放喷废气：事故放喷时间持续较短，且通过专用的放喷管线将天然气引至</w:t>
            </w:r>
            <w:r>
              <w:rPr>
                <w:rFonts w:hint="eastAsia" w:ascii="Times New Roman" w:hAnsi="Times New Roman" w:eastAsia="宋体" w:cs="Times New Roman"/>
                <w:color w:val="auto"/>
                <w:sz w:val="21"/>
                <w:szCs w:val="24"/>
                <w:lang w:eastAsia="zh-CN"/>
              </w:rPr>
              <w:t>放喷池</w:t>
            </w:r>
            <w:r>
              <w:rPr>
                <w:rFonts w:hint="default" w:ascii="Times New Roman" w:hAnsi="Times New Roman" w:eastAsia="宋体" w:cs="Times New Roman"/>
                <w:color w:val="auto"/>
                <w:sz w:val="21"/>
                <w:szCs w:val="24"/>
              </w:rPr>
              <w:t>进行点火放喷，事故放喷时间段属临时排放，放喷完毕，影响很快消除</w:t>
            </w:r>
            <w:r>
              <w:rPr>
                <w:rFonts w:hint="eastAsia" w:ascii="Times New Roman" w:hAnsi="Times New Roman" w:eastAsia="宋体" w:cs="Times New Roman"/>
                <w:color w:val="auto"/>
                <w:sz w:val="21"/>
                <w:szCs w:val="24"/>
                <w:lang w:eastAsia="zh-CN"/>
              </w:rPr>
              <w:t>。</w:t>
            </w:r>
          </w:p>
        </w:tc>
        <w:tc>
          <w:tcPr>
            <w:tcW w:w="1738" w:type="dxa"/>
            <w:vAlign w:val="center"/>
          </w:tcPr>
          <w:p w14:paraId="426498EB">
            <w:pPr>
              <w:spacing w:beforeLines="0" w:afterLine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《大气污染物综合排放标准》（</w:t>
            </w:r>
            <w:r>
              <w:rPr>
                <w:rFonts w:hint="default" w:ascii="Times New Roman" w:hAnsi="Times New Roman" w:eastAsia="TimesNewRomanPSMT" w:cs="Times New Roman"/>
                <w:color w:val="auto"/>
                <w:sz w:val="21"/>
                <w:szCs w:val="24"/>
              </w:rPr>
              <w:t>GB16297-1996</w:t>
            </w:r>
            <w:r>
              <w:rPr>
                <w:rFonts w:hint="default" w:ascii="Times New Roman" w:hAnsi="Times New Roman" w:eastAsia="宋体" w:cs="Times New Roman"/>
                <w:color w:val="auto"/>
                <w:sz w:val="21"/>
                <w:szCs w:val="24"/>
              </w:rPr>
              <w:t>）二级标准</w:t>
            </w:r>
          </w:p>
        </w:tc>
        <w:tc>
          <w:tcPr>
            <w:tcW w:w="862" w:type="dxa"/>
            <w:vAlign w:val="center"/>
          </w:tcPr>
          <w:p w14:paraId="0A0DDF1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715A78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235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58C5C43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固体废物</w:t>
            </w:r>
          </w:p>
        </w:tc>
        <w:tc>
          <w:tcPr>
            <w:tcW w:w="4782" w:type="dxa"/>
            <w:vAlign w:val="center"/>
          </w:tcPr>
          <w:p w14:paraId="0F26BDB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4"/>
                <w:lang w:val="en-US" w:eastAsia="zh-CN"/>
              </w:rPr>
              <w:t>泥饼</w:t>
            </w:r>
            <w:r>
              <w:rPr>
                <w:rFonts w:hint="default" w:ascii="Times New Roman" w:hAnsi="Times New Roman" w:eastAsia="宋体" w:cs="Times New Roman"/>
                <w:color w:val="auto"/>
                <w:sz w:val="21"/>
                <w:szCs w:val="24"/>
              </w:rPr>
              <w:t>、岩屑：</w:t>
            </w:r>
            <w:r>
              <w:rPr>
                <w:rFonts w:hint="eastAsia" w:ascii="Times New Roman" w:hAnsi="Times New Roman" w:eastAsia="宋体" w:cs="宋体"/>
                <w:color w:val="auto"/>
                <w:sz w:val="21"/>
                <w:szCs w:val="21"/>
              </w:rPr>
              <w:t>由移动式收集罐统一收集，</w:t>
            </w:r>
            <w:r>
              <w:rPr>
                <w:rFonts w:hint="default" w:ascii="Times New Roman" w:hAnsi="Times New Roman" w:cs="Times New Roman"/>
                <w:color w:val="auto"/>
                <w:sz w:val="21"/>
                <w:szCs w:val="21"/>
                <w:lang w:val="en-US" w:eastAsia="zh-CN"/>
              </w:rPr>
              <w:t>委托</w:t>
            </w:r>
            <w:r>
              <w:rPr>
                <w:rFonts w:hint="default" w:ascii="Times New Roman" w:hAnsi="Times New Roman" w:eastAsia="宋体" w:cs="Times New Roman"/>
                <w:color w:val="auto"/>
                <w:sz w:val="21"/>
                <w:szCs w:val="21"/>
                <w:lang w:eastAsia="zh-CN"/>
              </w:rPr>
              <w:t>陕西德禾鑫盛环保科技有限公司</w:t>
            </w:r>
            <w:r>
              <w:rPr>
                <w:rFonts w:hint="default" w:ascii="Times New Roman" w:hAnsi="Times New Roman" w:cs="Times New Roman"/>
                <w:color w:val="auto"/>
                <w:sz w:val="21"/>
                <w:szCs w:val="21"/>
                <w:lang w:val="en-US" w:eastAsia="zh-CN"/>
              </w:rPr>
              <w:t>外运处置</w:t>
            </w:r>
            <w:r>
              <w:rPr>
                <w:rFonts w:hint="default" w:ascii="Times New Roman" w:hAnsi="Times New Roman" w:cs="Times New Roman"/>
                <w:color w:val="auto"/>
                <w:sz w:val="21"/>
                <w:szCs w:val="21"/>
                <w:lang w:eastAsia="zh-CN"/>
              </w:rPr>
              <w:t>；</w:t>
            </w:r>
          </w:p>
        </w:tc>
        <w:tc>
          <w:tcPr>
            <w:tcW w:w="1738" w:type="dxa"/>
            <w:vMerge w:val="restart"/>
            <w:vAlign w:val="center"/>
          </w:tcPr>
          <w:p w14:paraId="03D3627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合理妥善处置；施工现场无遗留固体废弃物</w:t>
            </w:r>
          </w:p>
        </w:tc>
        <w:tc>
          <w:tcPr>
            <w:tcW w:w="862" w:type="dxa"/>
            <w:vAlign w:val="center"/>
          </w:tcPr>
          <w:p w14:paraId="654B895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0C881D1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1D4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62F3F38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26AD65CE">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废机油、氢氧化钠包装袋、沾染危险废物的废防渗膜：暂存于</w:t>
            </w:r>
            <w:r>
              <w:rPr>
                <w:rFonts w:hint="eastAsia" w:ascii="Times New Roman" w:hAnsi="Times New Roman" w:eastAsia="宋体" w:cs="Times New Roman"/>
                <w:color w:val="auto"/>
                <w:sz w:val="21"/>
                <w:szCs w:val="24"/>
                <w:lang w:eastAsia="zh-CN"/>
              </w:rPr>
              <w:t>危废贮存库</w:t>
            </w:r>
            <w:r>
              <w:rPr>
                <w:rFonts w:hint="default" w:ascii="Times New Roman" w:hAnsi="Times New Roman" w:eastAsia="宋体" w:cs="Times New Roman"/>
                <w:color w:val="auto"/>
                <w:sz w:val="21"/>
                <w:szCs w:val="24"/>
              </w:rPr>
              <w:t>，委托有资质单位处置。</w:t>
            </w:r>
          </w:p>
        </w:tc>
        <w:tc>
          <w:tcPr>
            <w:tcW w:w="1738" w:type="dxa"/>
            <w:vMerge w:val="continue"/>
            <w:vAlign w:val="center"/>
          </w:tcPr>
          <w:p w14:paraId="304839F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68304D7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C65EFB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817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2E830EC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3D0119C6">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生活垃圾：集中收集，委托当地环卫部门清运处置</w:t>
            </w:r>
          </w:p>
        </w:tc>
        <w:tc>
          <w:tcPr>
            <w:tcW w:w="1738" w:type="dxa"/>
            <w:vMerge w:val="continue"/>
            <w:vAlign w:val="center"/>
          </w:tcPr>
          <w:p w14:paraId="21F8FE1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29AAFC6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A1E505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027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116A6AF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249247C1">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废包装袋、废防渗膜（一般固废）：集中收集后交由物资回收公司回收处置</w:t>
            </w:r>
          </w:p>
        </w:tc>
        <w:tc>
          <w:tcPr>
            <w:tcW w:w="1738" w:type="dxa"/>
            <w:vMerge w:val="continue"/>
            <w:vAlign w:val="center"/>
          </w:tcPr>
          <w:p w14:paraId="35477D0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30EA489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EB4BE6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1B4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2DD943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电磁环境</w:t>
            </w:r>
          </w:p>
        </w:tc>
        <w:tc>
          <w:tcPr>
            <w:tcW w:w="4782" w:type="dxa"/>
            <w:vAlign w:val="center"/>
          </w:tcPr>
          <w:p w14:paraId="635DE0F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35D8617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12D12C8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B4CA6C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25E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F2DE41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w:t>
            </w:r>
          </w:p>
        </w:tc>
        <w:tc>
          <w:tcPr>
            <w:tcW w:w="4782" w:type="dxa"/>
            <w:vAlign w:val="center"/>
          </w:tcPr>
          <w:p w14:paraId="72CFFAE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井口安装防喷器和控制装置，定期检查与维护；对废水罐区、泥浆不落地装置区、原辅料存放区、危废暂存间进行重点防渗处理，采取基础黏土防渗</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双层防渗布的措施，并定期巡查。</w:t>
            </w:r>
          </w:p>
        </w:tc>
        <w:tc>
          <w:tcPr>
            <w:tcW w:w="1738" w:type="dxa"/>
            <w:vAlign w:val="center"/>
          </w:tcPr>
          <w:p w14:paraId="14FC8BF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环境风险可控</w:t>
            </w:r>
          </w:p>
        </w:tc>
        <w:tc>
          <w:tcPr>
            <w:tcW w:w="862" w:type="dxa"/>
            <w:vAlign w:val="center"/>
          </w:tcPr>
          <w:p w14:paraId="3301A9C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C053C4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A33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5931009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环境监测</w:t>
            </w:r>
          </w:p>
        </w:tc>
        <w:tc>
          <w:tcPr>
            <w:tcW w:w="4782" w:type="dxa"/>
            <w:vAlign w:val="center"/>
          </w:tcPr>
          <w:p w14:paraId="4C6E583D">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根据监测计划进行监测</w:t>
            </w:r>
          </w:p>
        </w:tc>
        <w:tc>
          <w:tcPr>
            <w:tcW w:w="1738" w:type="dxa"/>
            <w:vAlign w:val="center"/>
          </w:tcPr>
          <w:p w14:paraId="6FE19ED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满足相关标准要求</w:t>
            </w:r>
          </w:p>
        </w:tc>
        <w:tc>
          <w:tcPr>
            <w:tcW w:w="862" w:type="dxa"/>
            <w:vAlign w:val="center"/>
          </w:tcPr>
          <w:p w14:paraId="1B45156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83C8FF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B33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A04B33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4782" w:type="dxa"/>
            <w:vAlign w:val="center"/>
          </w:tcPr>
          <w:p w14:paraId="3B95E2D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加强施工管理，合理利用场地，严格控制施工范围，尽可能减少临时占地，严格执行《石油天然气钻井井控技术规范》，加强安全管理措施等。</w:t>
            </w:r>
          </w:p>
        </w:tc>
        <w:tc>
          <w:tcPr>
            <w:tcW w:w="1738" w:type="dxa"/>
            <w:vAlign w:val="center"/>
          </w:tcPr>
          <w:p w14:paraId="63153C4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6A24F46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32E02B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bl>
    <w:p w14:paraId="634D13CE">
      <w:pPr>
        <w:numPr>
          <w:ilvl w:val="0"/>
          <w:numId w:val="0"/>
        </w:numPr>
        <w:ind w:leftChars="0"/>
        <w:jc w:val="both"/>
        <w:rPr>
          <w:rFonts w:hint="default" w:ascii="Times New Roman" w:hAnsi="Times New Roman" w:eastAsia="黑体" w:cs="Times New Roman"/>
          <w:b w:val="0"/>
          <w:bCs w:val="0"/>
          <w:color w:val="auto"/>
          <w:sz w:val="28"/>
          <w:szCs w:val="28"/>
          <w:lang w:val="en-US" w:eastAsia="zh-CN"/>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5C8ACAB4">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结论</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5466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vAlign w:val="center"/>
          </w:tcPr>
          <w:p w14:paraId="71A487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color w:val="auto"/>
                <w:sz w:val="24"/>
                <w:szCs w:val="24"/>
              </w:rPr>
              <w:t>本项目</w:t>
            </w:r>
            <w:r>
              <w:rPr>
                <w:rFonts w:hint="eastAsia" w:ascii="Times New Roman" w:hAnsi="Times New Roman" w:eastAsia="宋体" w:cs="Times New Roman"/>
                <w:color w:val="auto"/>
                <w:sz w:val="24"/>
                <w:szCs w:val="24"/>
                <w:lang w:val="en-US" w:eastAsia="zh-CN"/>
              </w:rPr>
              <w:t>米107-3MH井</w:t>
            </w:r>
            <w:r>
              <w:rPr>
                <w:rFonts w:hint="eastAsia"/>
                <w:color w:val="auto"/>
                <w:sz w:val="24"/>
                <w:szCs w:val="24"/>
              </w:rPr>
              <w:t>建设符合国家产业政策和相关法规、技术规范、政策要求，选址合理，项目建设环境影响主要集中在施工期，在严格执行本评价提出的各项污染防治措施、生态保护措施和风险防范措施后，项目建设对环境影响较小。从环境保护角度</w:t>
            </w:r>
            <w:r>
              <w:rPr>
                <w:rFonts w:hint="eastAsia"/>
                <w:color w:val="auto"/>
                <w:sz w:val="24"/>
                <w:szCs w:val="24"/>
                <w:lang w:val="en-US" w:eastAsia="zh-CN"/>
              </w:rPr>
              <w:t>分析</w:t>
            </w:r>
            <w:r>
              <w:rPr>
                <w:rFonts w:hint="eastAsia"/>
                <w:color w:val="auto"/>
                <w:sz w:val="24"/>
                <w:szCs w:val="24"/>
              </w:rPr>
              <w:t>，项目建设环境影响可行</w:t>
            </w:r>
            <w:r>
              <w:rPr>
                <w:rFonts w:hint="eastAsia"/>
                <w:color w:val="auto"/>
                <w:sz w:val="24"/>
                <w:szCs w:val="24"/>
                <w:lang w:eastAsia="zh-CN"/>
              </w:rPr>
              <w:t>。</w:t>
            </w:r>
          </w:p>
          <w:p w14:paraId="4FF7F784">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8DAE2D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3A6A10B3">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45A746F">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00416841">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4CD3469A">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7984097C">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9B2A3B9">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EACB004">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055DA0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40692AA">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FD314BD">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DC4AD7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E08B8E6">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51FBB4D">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1A06687">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488CC6E">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tc>
      </w:tr>
    </w:tbl>
    <w:p w14:paraId="3F5BE5C2">
      <w:pPr>
        <w:numPr>
          <w:ilvl w:val="0"/>
          <w:numId w:val="0"/>
        </w:numPr>
        <w:ind w:leftChars="0"/>
        <w:jc w:val="both"/>
        <w:rPr>
          <w:rFonts w:hint="default" w:ascii="Times New Roman" w:hAnsi="Times New Roman" w:eastAsia="黑体" w:cs="Times New Roman"/>
          <w:b w:val="0"/>
          <w:bCs w:val="0"/>
          <w:color w:val="auto"/>
          <w:sz w:val="28"/>
          <w:szCs w:val="28"/>
          <w:lang w:val="en-US" w:eastAsia="zh-CN"/>
        </w:rPr>
      </w:pPr>
    </w:p>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AF40">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1D50E">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A91D50E">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4CFF8B"/>
    <w:multiLevelType w:val="multilevel"/>
    <w:tmpl w:val="8D4CFF8B"/>
    <w:lvl w:ilvl="0" w:tentative="0">
      <w:start w:val="1"/>
      <w:numFmt w:val="decimal"/>
      <w:pStyle w:val="3"/>
      <w:lvlText w:val="%1."/>
      <w:lvlJc w:val="left"/>
      <w:pPr>
        <w:ind w:left="0" w:leftChars="0" w:firstLine="0" w:firstLineChars="0"/>
      </w:pPr>
      <w:rPr>
        <w:rFonts w:hint="default"/>
      </w:rPr>
    </w:lvl>
    <w:lvl w:ilvl="1" w:tentative="0">
      <w:start w:val="1"/>
      <w:numFmt w:val="decimal"/>
      <w:lvlText w:val="%1.%2."/>
      <w:lvlJc w:val="left"/>
      <w:pPr>
        <w:ind w:left="0" w:leftChars="0" w:firstLine="0" w:firstLineChars="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DB9B55F"/>
    <w:multiLevelType w:val="singleLevel"/>
    <w:tmpl w:val="ADB9B55F"/>
    <w:lvl w:ilvl="0" w:tentative="0">
      <w:start w:val="5"/>
      <w:numFmt w:val="chineseCounting"/>
      <w:suff w:val="nothing"/>
      <w:lvlText w:val="%1、"/>
      <w:lvlJc w:val="left"/>
      <w:rPr>
        <w:rFonts w:hint="eastAsia"/>
      </w:rPr>
    </w:lvl>
  </w:abstractNum>
  <w:abstractNum w:abstractNumId="2">
    <w:nsid w:val="B41C1ECA"/>
    <w:multiLevelType w:val="singleLevel"/>
    <w:tmpl w:val="B41C1ECA"/>
    <w:lvl w:ilvl="0" w:tentative="0">
      <w:start w:val="2"/>
      <w:numFmt w:val="chineseCounting"/>
      <w:suff w:val="nothing"/>
      <w:lvlText w:val="%1、"/>
      <w:lvlJc w:val="left"/>
      <w:rPr>
        <w:rFonts w:hint="eastAsia"/>
      </w:rPr>
    </w:lvl>
  </w:abstractNum>
  <w:abstractNum w:abstractNumId="3">
    <w:nsid w:val="D67EFA1A"/>
    <w:multiLevelType w:val="singleLevel"/>
    <w:tmpl w:val="D67EFA1A"/>
    <w:lvl w:ilvl="0" w:tentative="0">
      <w:start w:val="2"/>
      <w:numFmt w:val="decimal"/>
      <w:suff w:val="nothing"/>
      <w:lvlText w:val="%1、"/>
      <w:lvlJc w:val="left"/>
    </w:lvl>
  </w:abstractNum>
  <w:abstractNum w:abstractNumId="4">
    <w:nsid w:val="32149D62"/>
    <w:multiLevelType w:val="singleLevel"/>
    <w:tmpl w:val="32149D62"/>
    <w:lvl w:ilvl="0" w:tentative="0">
      <w:start w:val="1"/>
      <w:numFmt w:val="chineseCounting"/>
      <w:suff w:val="nothing"/>
      <w:lvlText w:val="%1、"/>
      <w:lvlJc w:val="left"/>
      <w:rPr>
        <w:rFonts w:hint="eastAsia"/>
      </w:rPr>
    </w:lvl>
  </w:abstractNum>
  <w:abstractNum w:abstractNumId="5">
    <w:nsid w:val="49C5845D"/>
    <w:multiLevelType w:val="singleLevel"/>
    <w:tmpl w:val="49C5845D"/>
    <w:lvl w:ilvl="0" w:tentative="0">
      <w:start w:val="1"/>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ZTUyNGQwZTBkNDhlZGFiNDgwNzBmZjUyMWUyZTIifQ=="/>
  </w:docVars>
  <w:rsids>
    <w:rsidRoot w:val="00172A27"/>
    <w:rsid w:val="00134CA1"/>
    <w:rsid w:val="003F501A"/>
    <w:rsid w:val="00B2494E"/>
    <w:rsid w:val="01DF79C5"/>
    <w:rsid w:val="02E04B4E"/>
    <w:rsid w:val="048702B8"/>
    <w:rsid w:val="04D20BB8"/>
    <w:rsid w:val="05062889"/>
    <w:rsid w:val="0526590B"/>
    <w:rsid w:val="07660849"/>
    <w:rsid w:val="09242161"/>
    <w:rsid w:val="09320F56"/>
    <w:rsid w:val="094440FD"/>
    <w:rsid w:val="09A3577C"/>
    <w:rsid w:val="0ACE6829"/>
    <w:rsid w:val="0BFA514F"/>
    <w:rsid w:val="0E2B79A6"/>
    <w:rsid w:val="0E63372C"/>
    <w:rsid w:val="0EB26C85"/>
    <w:rsid w:val="10381F19"/>
    <w:rsid w:val="103F3D25"/>
    <w:rsid w:val="1068018E"/>
    <w:rsid w:val="11601843"/>
    <w:rsid w:val="11A20BBD"/>
    <w:rsid w:val="126C2EB5"/>
    <w:rsid w:val="136E0C91"/>
    <w:rsid w:val="146A5321"/>
    <w:rsid w:val="15813FCC"/>
    <w:rsid w:val="169E4A2C"/>
    <w:rsid w:val="17057A40"/>
    <w:rsid w:val="1743234C"/>
    <w:rsid w:val="17F03118"/>
    <w:rsid w:val="18D3065E"/>
    <w:rsid w:val="198B05F8"/>
    <w:rsid w:val="1AD55433"/>
    <w:rsid w:val="1B841906"/>
    <w:rsid w:val="1C0A6B05"/>
    <w:rsid w:val="1C8F582E"/>
    <w:rsid w:val="1D0504A8"/>
    <w:rsid w:val="1EF34658"/>
    <w:rsid w:val="1F35288E"/>
    <w:rsid w:val="1FEC0668"/>
    <w:rsid w:val="209F0117"/>
    <w:rsid w:val="21D73DBD"/>
    <w:rsid w:val="25070584"/>
    <w:rsid w:val="254E0DAA"/>
    <w:rsid w:val="25EA16C0"/>
    <w:rsid w:val="2648502F"/>
    <w:rsid w:val="26C62652"/>
    <w:rsid w:val="2733555C"/>
    <w:rsid w:val="27EC0DA0"/>
    <w:rsid w:val="29011EFD"/>
    <w:rsid w:val="2A052684"/>
    <w:rsid w:val="2A954815"/>
    <w:rsid w:val="2A9A62D0"/>
    <w:rsid w:val="2C1B50BA"/>
    <w:rsid w:val="2D9B0395"/>
    <w:rsid w:val="2E5C3FC8"/>
    <w:rsid w:val="2EA414CB"/>
    <w:rsid w:val="2F3E6E64"/>
    <w:rsid w:val="305D3D24"/>
    <w:rsid w:val="32143544"/>
    <w:rsid w:val="32214117"/>
    <w:rsid w:val="331A5A33"/>
    <w:rsid w:val="33D60378"/>
    <w:rsid w:val="3499449E"/>
    <w:rsid w:val="34A55C73"/>
    <w:rsid w:val="352252DB"/>
    <w:rsid w:val="35A1427C"/>
    <w:rsid w:val="388365F5"/>
    <w:rsid w:val="38A500E9"/>
    <w:rsid w:val="38D806EF"/>
    <w:rsid w:val="39507C97"/>
    <w:rsid w:val="39DB7D7F"/>
    <w:rsid w:val="3A4309FB"/>
    <w:rsid w:val="3AA4715B"/>
    <w:rsid w:val="3CB723D8"/>
    <w:rsid w:val="3D912B7A"/>
    <w:rsid w:val="3DAC214A"/>
    <w:rsid w:val="3F1764D3"/>
    <w:rsid w:val="3F2023A0"/>
    <w:rsid w:val="3F2635C5"/>
    <w:rsid w:val="42AE48D0"/>
    <w:rsid w:val="43525542"/>
    <w:rsid w:val="45B92F84"/>
    <w:rsid w:val="45D71911"/>
    <w:rsid w:val="464A1051"/>
    <w:rsid w:val="46913FB4"/>
    <w:rsid w:val="486A02C1"/>
    <w:rsid w:val="48BD3414"/>
    <w:rsid w:val="4B6E46BF"/>
    <w:rsid w:val="4BAF5421"/>
    <w:rsid w:val="4DE4323A"/>
    <w:rsid w:val="4E6401DA"/>
    <w:rsid w:val="4EB40496"/>
    <w:rsid w:val="4F07644B"/>
    <w:rsid w:val="50493828"/>
    <w:rsid w:val="519E06A1"/>
    <w:rsid w:val="51A80D1E"/>
    <w:rsid w:val="51DB4B16"/>
    <w:rsid w:val="5292555D"/>
    <w:rsid w:val="52CA29FF"/>
    <w:rsid w:val="53A476F3"/>
    <w:rsid w:val="56916930"/>
    <w:rsid w:val="572A43B4"/>
    <w:rsid w:val="576877D5"/>
    <w:rsid w:val="583B5BA2"/>
    <w:rsid w:val="594F68E5"/>
    <w:rsid w:val="597050CF"/>
    <w:rsid w:val="59BE107D"/>
    <w:rsid w:val="5A36150B"/>
    <w:rsid w:val="5A53372E"/>
    <w:rsid w:val="5B8B17A8"/>
    <w:rsid w:val="5BB95B5E"/>
    <w:rsid w:val="5C2421EB"/>
    <w:rsid w:val="5C9C18B0"/>
    <w:rsid w:val="5D8521D0"/>
    <w:rsid w:val="61491BEA"/>
    <w:rsid w:val="62821EAC"/>
    <w:rsid w:val="64BD54F9"/>
    <w:rsid w:val="64CD212B"/>
    <w:rsid w:val="64F86911"/>
    <w:rsid w:val="657C76E0"/>
    <w:rsid w:val="68C40C08"/>
    <w:rsid w:val="69FF37E1"/>
    <w:rsid w:val="6AF879B8"/>
    <w:rsid w:val="6C240F7A"/>
    <w:rsid w:val="6DC522E8"/>
    <w:rsid w:val="6E1D3ED3"/>
    <w:rsid w:val="6E5E3D24"/>
    <w:rsid w:val="6E682450"/>
    <w:rsid w:val="6E7E6481"/>
    <w:rsid w:val="6E8757F0"/>
    <w:rsid w:val="6E954194"/>
    <w:rsid w:val="6F7F55DA"/>
    <w:rsid w:val="6FBB1E58"/>
    <w:rsid w:val="6FC36F6D"/>
    <w:rsid w:val="701A7094"/>
    <w:rsid w:val="70F0197B"/>
    <w:rsid w:val="71020628"/>
    <w:rsid w:val="71252A22"/>
    <w:rsid w:val="71AE08A7"/>
    <w:rsid w:val="71B0505E"/>
    <w:rsid w:val="720862FD"/>
    <w:rsid w:val="733F6699"/>
    <w:rsid w:val="7352461E"/>
    <w:rsid w:val="73D44D08"/>
    <w:rsid w:val="742449DF"/>
    <w:rsid w:val="74E966B4"/>
    <w:rsid w:val="753524B9"/>
    <w:rsid w:val="75611EFA"/>
    <w:rsid w:val="75C512CB"/>
    <w:rsid w:val="7679100F"/>
    <w:rsid w:val="76E063E5"/>
    <w:rsid w:val="773B17F4"/>
    <w:rsid w:val="7A766BBA"/>
    <w:rsid w:val="7C6548D1"/>
    <w:rsid w:val="7CF908DC"/>
    <w:rsid w:val="7D3D3869"/>
    <w:rsid w:val="7E162C72"/>
    <w:rsid w:val="7E6A1542"/>
    <w:rsid w:val="7E8152D9"/>
    <w:rsid w:val="7EFB6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unhideWhenUsed/>
    <w:qFormat/>
    <w:uiPriority w:val="99"/>
    <w:pPr>
      <w:keepNext/>
      <w:overflowPunct w:val="0"/>
      <w:snapToGrid w:val="0"/>
      <w:spacing w:before="120" w:after="160" w:line="259" w:lineRule="auto"/>
      <w:ind w:left="432" w:hanging="432"/>
      <w:outlineLvl w:val="0"/>
    </w:pPr>
    <w:rPr>
      <w:rFonts w:hint="eastAsia"/>
      <w:b/>
      <w:color w:val="000000"/>
      <w:kern w:val="44"/>
      <w:sz w:val="30"/>
      <w:szCs w:val="24"/>
    </w:rPr>
  </w:style>
  <w:style w:type="paragraph" w:styleId="3">
    <w:name w:val="heading 2"/>
    <w:basedOn w:val="1"/>
    <w:next w:val="1"/>
    <w:semiHidden/>
    <w:unhideWhenUsed/>
    <w:qFormat/>
    <w:uiPriority w:val="0"/>
    <w:pPr>
      <w:numPr>
        <w:ilvl w:val="0"/>
        <w:numId w:val="1"/>
      </w:numPr>
      <w:spacing w:beforeAutospacing="1" w:after="0" w:afterAutospacing="1"/>
      <w:ind w:firstLine="0" w:firstLineChars="0"/>
      <w:jc w:val="left"/>
      <w:outlineLvl w:val="1"/>
    </w:pPr>
    <w:rPr>
      <w:rFonts w:hint="eastAsia" w:ascii="Times New Roman" w:hAnsi="Times New Roman" w:eastAsia="宋体" w:cs="宋体"/>
      <w:b/>
      <w:bCs/>
      <w:sz w:val="30"/>
      <w:szCs w:val="36"/>
      <w:lang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0"/>
    <w:pPr>
      <w:ind w:firstLine="420"/>
    </w:pPr>
    <w:rPr>
      <w:szCs w:val="20"/>
    </w:rPr>
  </w:style>
  <w:style w:type="paragraph" w:styleId="5">
    <w:name w:val="Body Text First Indent 2"/>
    <w:basedOn w:val="6"/>
    <w:next w:val="7"/>
    <w:unhideWhenUsed/>
    <w:qFormat/>
    <w:uiPriority w:val="0"/>
    <w:pPr>
      <w:widowControl/>
      <w:spacing w:before="60" w:line="240" w:lineRule="auto"/>
      <w:ind w:firstLine="420"/>
    </w:pPr>
    <w:rPr>
      <w:rFonts w:ascii="宋体" w:hAnsi="宋体" w:eastAsia="宋体"/>
      <w:color w:val="000000"/>
      <w:szCs w:val="24"/>
    </w:rPr>
  </w:style>
  <w:style w:type="paragraph" w:styleId="6">
    <w:name w:val="Body Text Indent"/>
    <w:basedOn w:val="1"/>
    <w:qFormat/>
    <w:uiPriority w:val="0"/>
    <w:pPr>
      <w:spacing w:line="360" w:lineRule="auto"/>
      <w:ind w:firstLine="480"/>
    </w:pPr>
    <w:rPr>
      <w:sz w:val="24"/>
    </w:rPr>
  </w:style>
  <w:style w:type="paragraph" w:styleId="7">
    <w:name w:val="Body Text First Indent"/>
    <w:basedOn w:val="8"/>
    <w:next w:val="9"/>
    <w:qFormat/>
    <w:uiPriority w:val="0"/>
    <w:pPr>
      <w:ind w:firstLine="420" w:firstLineChars="100"/>
    </w:pPr>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table of figures"/>
    <w:basedOn w:val="1"/>
    <w:next w:val="1"/>
    <w:unhideWhenUsed/>
    <w:qFormat/>
    <w:uiPriority w:val="99"/>
  </w:style>
  <w:style w:type="paragraph" w:styleId="10">
    <w:name w:val="caption"/>
    <w:basedOn w:val="1"/>
    <w:next w:val="1"/>
    <w:unhideWhenUsed/>
    <w:qFormat/>
    <w:uiPriority w:val="0"/>
    <w:pPr>
      <w:jc w:val="center"/>
    </w:pPr>
    <w:rPr>
      <w:b/>
      <w:sz w:val="24"/>
    </w:rPr>
  </w:style>
  <w:style w:type="paragraph" w:styleId="11">
    <w:name w:val="annotation text"/>
    <w:basedOn w:val="1"/>
    <w:qFormat/>
    <w:uiPriority w:val="0"/>
    <w:pPr>
      <w:jc w:val="left"/>
    </w:pPr>
  </w:style>
  <w:style w:type="paragraph" w:styleId="12">
    <w:name w:val="Plain Text"/>
    <w:basedOn w:val="1"/>
    <w:next w:val="13"/>
    <w:qFormat/>
    <w:uiPriority w:val="0"/>
    <w:rPr>
      <w:rFonts w:ascii="宋体" w:hAnsi="Courier New" w:cs="Courier New"/>
      <w:sz w:val="21"/>
      <w:szCs w:val="21"/>
    </w:rPr>
  </w:style>
  <w:style w:type="paragraph" w:styleId="13">
    <w:name w:val="toc 9"/>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Body Text Indent 2"/>
    <w:basedOn w:val="1"/>
    <w:next w:val="5"/>
    <w:qFormat/>
    <w:uiPriority w:val="0"/>
    <w:pPr>
      <w:spacing w:after="120" w:afterLines="0" w:line="480" w:lineRule="auto"/>
      <w:ind w:left="420" w:leftChars="200"/>
    </w:pPr>
    <w:rPr>
      <w:sz w:val="21"/>
      <w:szCs w:val="24"/>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List"/>
    <w:basedOn w:val="1"/>
    <w:qFormat/>
    <w:uiPriority w:val="0"/>
    <w:pPr>
      <w:ind w:left="420" w:hanging="420"/>
    </w:pPr>
    <w:rPr>
      <w:rFonts w:ascii="宋体"/>
      <w:b/>
      <w:snapToGrid w:val="0"/>
      <w:kern w:val="0"/>
      <w:sz w:val="44"/>
    </w:rPr>
  </w:style>
  <w:style w:type="paragraph" w:styleId="18">
    <w:name w:val="Body Text 2"/>
    <w:basedOn w:val="1"/>
    <w:next w:val="1"/>
    <w:unhideWhenUsed/>
    <w:qFormat/>
    <w:uiPriority w:val="99"/>
    <w:pPr>
      <w:spacing w:after="120" w:afterLines="0" w:afterAutospacing="0" w:line="480" w:lineRule="auto"/>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表格"/>
    <w:basedOn w:val="17"/>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23">
    <w:name w:val="Default"/>
    <w:basedOn w:val="24"/>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4">
    <w:name w:val="纯文本1"/>
    <w:basedOn w:val="1"/>
    <w:qFormat/>
    <w:uiPriority w:val="0"/>
    <w:pPr>
      <w:autoSpaceDE w:val="0"/>
      <w:autoSpaceDN w:val="0"/>
      <w:adjustRightInd w:val="0"/>
      <w:textAlignment w:val="baseline"/>
    </w:pPr>
    <w:rPr>
      <w:rFonts w:ascii="Courier New" w:hAnsi="Courier New"/>
      <w:sz w:val="15"/>
    </w:rPr>
  </w:style>
  <w:style w:type="paragraph" w:customStyle="1" w:styleId="25">
    <w:name w:val="Table Paragraph"/>
    <w:basedOn w:val="1"/>
    <w:qFormat/>
    <w:uiPriority w:val="1"/>
    <w:rPr>
      <w:rFonts w:ascii="宋体" w:hAnsi="宋体" w:eastAsia="宋体" w:cs="宋体"/>
      <w:lang w:val="zh-CN" w:eastAsia="zh-CN" w:bidi="zh-CN"/>
    </w:rPr>
  </w:style>
  <w:style w:type="paragraph" w:customStyle="1" w:styleId="26">
    <w:name w:val="报告正文"/>
    <w:basedOn w:val="1"/>
    <w:qFormat/>
    <w:uiPriority w:val="0"/>
    <w:pPr>
      <w:adjustRightInd w:val="0"/>
      <w:snapToGrid w:val="0"/>
      <w:spacing w:line="360" w:lineRule="auto"/>
      <w:ind w:firstLine="720" w:firstLineChars="200"/>
      <w:jc w:val="both"/>
    </w:pPr>
    <w:rPr>
      <w:rFonts w:cs="宋体"/>
      <w:kern w:val="0"/>
      <w:sz w:val="24"/>
      <w:szCs w:val="21"/>
    </w:rPr>
  </w:style>
  <w:style w:type="paragraph" w:customStyle="1" w:styleId="27">
    <w:name w:val="表格文字"/>
    <w:basedOn w:val="1"/>
    <w:qFormat/>
    <w:uiPriority w:val="0"/>
    <w:pPr>
      <w:adjustRightInd w:val="0"/>
      <w:snapToGrid w:val="0"/>
      <w:spacing w:line="240" w:lineRule="auto"/>
      <w:ind w:firstLine="0" w:firstLineChars="0"/>
      <w:jc w:val="center"/>
      <w:textAlignment w:val="center"/>
    </w:pPr>
    <w:rPr>
      <w:rFonts w:ascii="Times New Roman" w:hAnsi="Times New Roman" w:eastAsia="宋体" w:cs="宋体"/>
      <w:kern w:val="0"/>
      <w:szCs w:val="21"/>
    </w:rPr>
  </w:style>
  <w:style w:type="paragraph" w:customStyle="1" w:styleId="28">
    <w:name w:val="表格内容"/>
    <w:basedOn w:val="1"/>
    <w:qFormat/>
    <w:uiPriority w:val="0"/>
    <w:pPr>
      <w:adjustRightInd w:val="0"/>
      <w:snapToGrid w:val="0"/>
      <w:spacing w:line="240" w:lineRule="auto"/>
      <w:ind w:firstLine="0" w:firstLineChars="0"/>
      <w:jc w:val="center"/>
    </w:pPr>
    <w:rPr>
      <w:sz w:val="21"/>
    </w:rPr>
  </w:style>
  <w:style w:type="table" w:customStyle="1" w:styleId="29">
    <w:name w:val="网格型1"/>
    <w:basedOn w:val="19"/>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正文格式"/>
    <w:basedOn w:val="1"/>
    <w:qFormat/>
    <w:uiPriority w:val="0"/>
    <w:pPr>
      <w:spacing w:line="360" w:lineRule="auto"/>
      <w:ind w:firstLine="482"/>
    </w:pPr>
    <w:rPr>
      <w:rFonts w:ascii="宋体" w:cs="宋体"/>
      <w:color w:val="000000"/>
      <w:sz w:val="24"/>
      <w:lang w:bidi="ar-SA"/>
    </w:rPr>
  </w:style>
  <w:style w:type="character" w:customStyle="1" w:styleId="31">
    <w:name w:val="font31"/>
    <w:basedOn w:val="21"/>
    <w:qFormat/>
    <w:uiPriority w:val="0"/>
    <w:rPr>
      <w:rFonts w:ascii="宋体" w:hAnsi="宋体" w:eastAsia="宋体" w:cs="宋体"/>
      <w:color w:val="000000"/>
      <w:sz w:val="14"/>
      <w:szCs w:val="14"/>
      <w:u w:val="none"/>
    </w:rPr>
  </w:style>
  <w:style w:type="character" w:customStyle="1" w:styleId="32">
    <w:name w:val="font21"/>
    <w:basedOn w:val="21"/>
    <w:qFormat/>
    <w:uiPriority w:val="0"/>
    <w:rPr>
      <w:rFonts w:ascii="宋体" w:hAnsi="宋体" w:eastAsia="宋体" w:cs="宋体"/>
      <w:color w:val="000096"/>
      <w:sz w:val="14"/>
      <w:szCs w:val="14"/>
      <w:u w:val="none"/>
    </w:rPr>
  </w:style>
  <w:style w:type="character" w:customStyle="1" w:styleId="33">
    <w:name w:val="font41"/>
    <w:basedOn w:val="21"/>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19722</Words>
  <Characters>20534</Characters>
  <Lines>0</Lines>
  <Paragraphs>0</Paragraphs>
  <TotalTime>0</TotalTime>
  <ScaleCrop>false</ScaleCrop>
  <LinksUpToDate>false</LinksUpToDate>
  <CharactersWithSpaces>20630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2024-06-24T06:35:00Z</dcterms:created>
  <dc:creator>甜梦中大白兔粘牙</dc:creator>
  <cp:lastModifiedBy>G</cp:lastModifiedBy>
  <dcterms:modified xsi:type="dcterms:W3CDTF">2025-05-22T01:10:02Z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A660BCD387AF47278453B983E32FCC14_13</vt:lpwstr>
  </property>
  <property fmtid="{D5CDD505-2E9C-101B-9397-08002B2CF9AE}" pid="4" name="KSOTemplateDocerSaveRecord">
    <vt:lpwstr>eyJoZGlkIjoiOWZjMjI0OTBlYzA5YWY2NGM5YmNkZjQ4YTFjZjYxZjkiLCJ1c2VySWQiOiIzNzQ2OTk4MjEifQ==</vt:lpwstr>
  </property>
</Properties>
</file>