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8BA05">
      <w:pPr>
        <w:spacing w:before="0" w:line="240" w:lineRule="auto"/>
        <w:rPr>
          <w:rFonts w:hint="default" w:ascii="Times New Roman" w:hAnsi="Times New Roman" w:eastAsia="Times New Roman" w:cs="Times New Roman"/>
          <w:color w:val="auto"/>
          <w:sz w:val="20"/>
          <w:szCs w:val="20"/>
        </w:rPr>
      </w:pPr>
    </w:p>
    <w:p w14:paraId="6EE0877B">
      <w:pPr>
        <w:spacing w:before="0" w:line="240" w:lineRule="auto"/>
        <w:rPr>
          <w:rFonts w:hint="default" w:ascii="Times New Roman" w:hAnsi="Times New Roman" w:eastAsia="Times New Roman" w:cs="Times New Roman"/>
          <w:color w:val="auto"/>
          <w:sz w:val="20"/>
          <w:szCs w:val="20"/>
        </w:rPr>
      </w:pPr>
    </w:p>
    <w:p w14:paraId="210C376B">
      <w:pPr>
        <w:spacing w:before="0" w:line="240" w:lineRule="auto"/>
        <w:rPr>
          <w:rFonts w:hint="default" w:ascii="Times New Roman" w:hAnsi="Times New Roman" w:eastAsia="Times New Roman" w:cs="Times New Roman"/>
          <w:color w:val="auto"/>
          <w:sz w:val="20"/>
          <w:szCs w:val="20"/>
        </w:rPr>
      </w:pPr>
    </w:p>
    <w:p w14:paraId="38F4156F">
      <w:pPr>
        <w:spacing w:before="0" w:line="240" w:lineRule="auto"/>
        <w:rPr>
          <w:rFonts w:hint="default" w:ascii="Times New Roman" w:hAnsi="Times New Roman" w:eastAsia="Times New Roman" w:cs="Times New Roman"/>
          <w:color w:val="auto"/>
          <w:sz w:val="20"/>
          <w:szCs w:val="20"/>
        </w:rPr>
      </w:pPr>
    </w:p>
    <w:p w14:paraId="721E4E86">
      <w:pPr>
        <w:spacing w:before="0" w:line="240" w:lineRule="auto"/>
        <w:rPr>
          <w:rFonts w:hint="default" w:ascii="Times New Roman" w:hAnsi="Times New Roman" w:eastAsia="Times New Roman" w:cs="Times New Roman"/>
          <w:color w:val="auto"/>
          <w:sz w:val="20"/>
          <w:szCs w:val="20"/>
        </w:rPr>
      </w:pPr>
    </w:p>
    <w:p w14:paraId="3407CC2F">
      <w:pPr>
        <w:spacing w:before="0" w:line="240" w:lineRule="auto"/>
        <w:rPr>
          <w:rFonts w:hint="default" w:ascii="Times New Roman" w:hAnsi="Times New Roman" w:eastAsia="Times New Roman" w:cs="Times New Roman"/>
          <w:color w:val="auto"/>
          <w:sz w:val="20"/>
          <w:szCs w:val="20"/>
        </w:rPr>
      </w:pPr>
    </w:p>
    <w:p w14:paraId="4BA8663B">
      <w:pPr>
        <w:spacing w:before="0" w:line="240" w:lineRule="auto"/>
        <w:rPr>
          <w:rFonts w:hint="default" w:ascii="Times New Roman" w:hAnsi="Times New Roman" w:eastAsia="Times New Roman" w:cs="Times New Roman"/>
          <w:color w:val="auto"/>
          <w:sz w:val="20"/>
          <w:szCs w:val="20"/>
        </w:rPr>
      </w:pPr>
    </w:p>
    <w:p w14:paraId="11578261">
      <w:pPr>
        <w:spacing w:before="0" w:line="240" w:lineRule="auto"/>
        <w:rPr>
          <w:rFonts w:hint="default" w:ascii="Times New Roman" w:hAnsi="Times New Roman" w:eastAsia="Times New Roman" w:cs="Times New Roman"/>
          <w:color w:val="auto"/>
          <w:sz w:val="20"/>
          <w:szCs w:val="20"/>
        </w:rPr>
      </w:pPr>
    </w:p>
    <w:p w14:paraId="4CAC5E45">
      <w:pPr>
        <w:spacing w:before="0" w:line="240" w:lineRule="auto"/>
        <w:rPr>
          <w:rFonts w:hint="default" w:ascii="Times New Roman" w:hAnsi="Times New Roman" w:eastAsia="Times New Roman" w:cs="Times New Roman"/>
          <w:color w:val="auto"/>
          <w:sz w:val="20"/>
          <w:szCs w:val="20"/>
        </w:rPr>
      </w:pPr>
    </w:p>
    <w:p w14:paraId="3E4DBF26">
      <w:pPr>
        <w:spacing w:before="0" w:line="993" w:lineRule="exact"/>
        <w:ind w:left="552" w:right="294" w:firstLine="0"/>
        <w:jc w:val="center"/>
        <w:rPr>
          <w:rFonts w:hint="default" w:ascii="Times New Roman" w:hAnsi="Times New Roman" w:eastAsia="微软雅黑" w:cs="Times New Roman"/>
          <w:color w:val="auto"/>
          <w:sz w:val="72"/>
          <w:szCs w:val="72"/>
        </w:rPr>
      </w:pPr>
      <w:bookmarkStart w:id="0" w:name="建设项目环境影响报告表"/>
      <w:bookmarkEnd w:id="0"/>
      <w:r>
        <w:rPr>
          <w:rFonts w:hint="default" w:ascii="Times New Roman" w:hAnsi="Times New Roman" w:eastAsia="方正小标宋_GBK" w:cs="Times New Roman"/>
          <w:bCs/>
          <w:color w:val="auto"/>
          <w:sz w:val="72"/>
          <w:szCs w:val="72"/>
        </w:rPr>
        <w:t>建设项目环境影响报告表</w:t>
      </w:r>
    </w:p>
    <w:p w14:paraId="71D16A97">
      <w:pPr>
        <w:spacing w:before="256"/>
        <w:ind w:left="552" w:right="294" w:firstLine="0"/>
        <w:jc w:val="center"/>
        <w:rPr>
          <w:rFonts w:hint="default" w:ascii="Times New Roman" w:hAnsi="Times New Roman" w:eastAsia="楷体" w:cs="Times New Roman"/>
          <w:color w:val="auto"/>
          <w:sz w:val="48"/>
          <w:szCs w:val="48"/>
        </w:rPr>
      </w:pPr>
      <w:r>
        <w:rPr>
          <w:rFonts w:hint="default" w:ascii="Times New Roman" w:hAnsi="Times New Roman" w:eastAsia="楷体" w:cs="Times New Roman"/>
          <w:color w:val="auto"/>
          <w:sz w:val="48"/>
          <w:szCs w:val="48"/>
        </w:rPr>
        <w:t>（生态影响类）</w:t>
      </w:r>
    </w:p>
    <w:p w14:paraId="3B7913EA">
      <w:pPr>
        <w:spacing w:before="0" w:line="240" w:lineRule="auto"/>
        <w:rPr>
          <w:rFonts w:hint="default" w:ascii="Times New Roman" w:hAnsi="Times New Roman" w:eastAsia="楷体" w:cs="Times New Roman"/>
          <w:color w:val="auto"/>
          <w:sz w:val="48"/>
          <w:szCs w:val="48"/>
        </w:rPr>
      </w:pPr>
    </w:p>
    <w:p w14:paraId="3AB901C5">
      <w:pPr>
        <w:spacing w:before="0" w:line="240" w:lineRule="auto"/>
        <w:rPr>
          <w:rFonts w:hint="default" w:ascii="Times New Roman" w:hAnsi="Times New Roman" w:eastAsia="楷体" w:cs="Times New Roman"/>
          <w:color w:val="auto"/>
          <w:sz w:val="48"/>
          <w:szCs w:val="48"/>
        </w:rPr>
      </w:pPr>
    </w:p>
    <w:p w14:paraId="3BC55853">
      <w:pPr>
        <w:spacing w:before="10" w:line="240" w:lineRule="auto"/>
        <w:rPr>
          <w:rFonts w:hint="default" w:ascii="Times New Roman" w:hAnsi="Times New Roman" w:eastAsia="楷体" w:cs="Times New Roman"/>
          <w:color w:val="auto"/>
          <w:sz w:val="61"/>
          <w:szCs w:val="61"/>
        </w:rPr>
      </w:pPr>
    </w:p>
    <w:p w14:paraId="36F544E1">
      <w:pPr>
        <w:tabs>
          <w:tab w:val="left" w:pos="2271"/>
          <w:tab w:val="left" w:pos="8569"/>
        </w:tabs>
        <w:spacing w:before="0"/>
        <w:ind w:left="1790" w:right="0" w:hanging="1790" w:hangingChars="500"/>
        <w:jc w:val="center"/>
        <w:rPr>
          <w:rFonts w:hint="default" w:ascii="Times New Roman" w:hAnsi="Times New Roman" w:eastAsia="仿宋" w:cs="Times New Roman"/>
          <w:color w:val="auto"/>
          <w:spacing w:val="-1"/>
          <w:sz w:val="36"/>
          <w:szCs w:val="36"/>
          <w:u w:val="single"/>
          <w:lang w:val="en-US" w:eastAsia="zh-CN"/>
        </w:rPr>
      </w:pPr>
      <w:r>
        <w:rPr>
          <w:rFonts w:hint="default" w:ascii="Times New Roman" w:hAnsi="Times New Roman" w:eastAsia="仿宋" w:cs="Times New Roman"/>
          <w:color w:val="auto"/>
          <w:spacing w:val="-1"/>
          <w:sz w:val="36"/>
          <w:szCs w:val="36"/>
        </w:rPr>
        <w:t>项目名称：</w:t>
      </w:r>
      <w:r>
        <w:rPr>
          <w:rFonts w:hint="default" w:ascii="Times New Roman" w:hAnsi="Times New Roman" w:eastAsia="仿宋" w:cs="Times New Roman"/>
          <w:color w:val="auto"/>
          <w:spacing w:val="-1"/>
          <w:sz w:val="36"/>
          <w:szCs w:val="36"/>
          <w:u w:val="single"/>
          <w:lang w:val="en-US" w:eastAsia="zh-CN"/>
        </w:rPr>
        <w:t>宁榆天然气评价项目组米</w:t>
      </w:r>
      <w:r>
        <w:rPr>
          <w:rFonts w:hint="eastAsia" w:ascii="Times New Roman" w:hAnsi="Times New Roman" w:eastAsia="仿宋" w:cs="Times New Roman"/>
          <w:color w:val="auto"/>
          <w:spacing w:val="-1"/>
          <w:sz w:val="36"/>
          <w:szCs w:val="36"/>
          <w:u w:val="single"/>
          <w:lang w:val="en-US" w:eastAsia="zh-CN"/>
        </w:rPr>
        <w:t>107-12M、107-6MX等6口评价</w:t>
      </w:r>
      <w:r>
        <w:rPr>
          <w:rFonts w:hint="default" w:ascii="Times New Roman" w:hAnsi="Times New Roman" w:eastAsia="仿宋" w:cs="Times New Roman"/>
          <w:color w:val="auto"/>
          <w:spacing w:val="-1"/>
          <w:sz w:val="36"/>
          <w:szCs w:val="36"/>
          <w:u w:val="single"/>
          <w:lang w:val="en-US" w:eastAsia="zh-CN"/>
        </w:rPr>
        <w:t>井建设项目</w:t>
      </w:r>
    </w:p>
    <w:p w14:paraId="38E1F6E8">
      <w:pPr>
        <w:tabs>
          <w:tab w:val="left" w:pos="8480"/>
        </w:tabs>
        <w:spacing w:before="90"/>
        <w:ind w:left="111" w:right="0" w:firstLine="0"/>
        <w:jc w:val="left"/>
        <w:rPr>
          <w:rFonts w:hint="default" w:ascii="Times New Roman" w:hAnsi="Times New Roman" w:eastAsia="仿宋" w:cs="Times New Roman"/>
          <w:color w:val="auto"/>
          <w:spacing w:val="-1"/>
          <w:sz w:val="36"/>
          <w:szCs w:val="36"/>
          <w:u w:val="single"/>
          <w:lang w:val="en-US" w:eastAsia="zh-CN"/>
        </w:rPr>
      </w:pPr>
      <w:r>
        <w:rPr>
          <w:rFonts w:hint="default" w:ascii="Times New Roman" w:hAnsi="Times New Roman" w:eastAsia="仿宋" w:cs="Times New Roman"/>
          <w:color w:val="auto"/>
          <w:sz w:val="36"/>
          <w:szCs w:val="36"/>
        </w:rPr>
        <w:t>建设单位（盖章）：</w:t>
      </w:r>
      <w:r>
        <w:rPr>
          <w:rFonts w:hint="default" w:ascii="Times New Roman" w:hAnsi="Times New Roman" w:eastAsia="仿宋" w:cs="Times New Roman"/>
          <w:color w:val="auto"/>
          <w:spacing w:val="-1"/>
          <w:sz w:val="36"/>
          <w:szCs w:val="36"/>
          <w:u w:val="single"/>
          <w:lang w:val="en-US" w:eastAsia="zh-CN"/>
        </w:rPr>
        <w:t xml:space="preserve"> </w:t>
      </w:r>
      <w:r>
        <w:rPr>
          <w:rFonts w:hint="eastAsia"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lang w:val="en-US" w:eastAsia="zh-CN"/>
        </w:rPr>
        <w:t xml:space="preserve">中国石油天然气股份有限公司  </w:t>
      </w:r>
    </w:p>
    <w:p w14:paraId="652C93E3">
      <w:pPr>
        <w:tabs>
          <w:tab w:val="left" w:pos="2991"/>
          <w:tab w:val="left" w:pos="8480"/>
        </w:tabs>
        <w:spacing w:before="88"/>
        <w:ind w:left="3346" w:leftChars="1521" w:right="0" w:firstLine="0" w:firstLineChars="0"/>
        <w:jc w:val="left"/>
        <w:rPr>
          <w:rFonts w:hint="default" w:ascii="Times New Roman" w:hAnsi="Times New Roman" w:eastAsia="Times New Roman" w:cs="Times New Roman"/>
          <w:color w:val="auto"/>
          <w:sz w:val="36"/>
          <w:szCs w:val="36"/>
          <w:lang w:val="en-US"/>
        </w:rPr>
      </w:pPr>
      <w:r>
        <w:rPr>
          <w:rFonts w:hint="default" w:ascii="Times New Roman" w:hAnsi="Times New Roman" w:eastAsia="仿宋" w:cs="Times New Roman"/>
          <w:color w:val="auto"/>
          <w:sz w:val="36"/>
          <w:szCs w:val="36"/>
          <w:u w:val="single" w:color="000000"/>
        </w:rPr>
        <w:t>长庆油田分公司</w:t>
      </w:r>
      <w:r>
        <w:rPr>
          <w:rFonts w:hint="default" w:ascii="Times New Roman" w:hAnsi="Times New Roman" w:eastAsia="仿宋" w:cs="Times New Roman"/>
          <w:color w:val="auto"/>
          <w:sz w:val="36"/>
          <w:szCs w:val="36"/>
          <w:u w:val="single" w:color="000000"/>
          <w:lang w:val="en-US" w:eastAsia="zh-CN"/>
        </w:rPr>
        <w:t xml:space="preserve">天然气评价项目部宁榆天然气评价项目组          </w:t>
      </w:r>
    </w:p>
    <w:p w14:paraId="0A308787">
      <w:pPr>
        <w:tabs>
          <w:tab w:val="left" w:pos="4071"/>
        </w:tabs>
        <w:spacing w:before="88"/>
        <w:ind w:left="111" w:right="0" w:firstLine="0"/>
        <w:jc w:val="left"/>
        <w:rPr>
          <w:rFonts w:hint="default" w:ascii="Times New Roman" w:hAnsi="Times New Roman" w:eastAsia="仿宋" w:cs="Times New Roman"/>
          <w:color w:val="auto"/>
          <w:sz w:val="36"/>
          <w:szCs w:val="36"/>
          <w:lang w:val="en-US" w:eastAsia="zh-CN"/>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lang w:val="en-US" w:eastAsia="zh-CN"/>
        </w:rPr>
        <w:t xml:space="preserve">            202</w:t>
      </w:r>
      <w:r>
        <w:rPr>
          <w:rFonts w:hint="eastAsia"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lang w:val="en-US" w:eastAsia="zh-CN"/>
        </w:rPr>
        <w:t>年</w:t>
      </w:r>
      <w:r>
        <w:rPr>
          <w:rFonts w:hint="eastAsia"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lang w:val="en-US" w:eastAsia="zh-CN"/>
        </w:rPr>
        <w:t xml:space="preserve">月                </w:t>
      </w:r>
    </w:p>
    <w:p w14:paraId="29784C16">
      <w:pPr>
        <w:spacing w:line="20" w:lineRule="exact"/>
        <w:ind w:left="1902" w:right="0" w:firstLine="0"/>
        <w:rPr>
          <w:rFonts w:hint="default" w:ascii="Times New Roman" w:hAnsi="Times New Roman" w:eastAsia="仿宋" w:cs="Times New Roman"/>
          <w:color w:val="auto"/>
          <w:sz w:val="2"/>
          <w:szCs w:val="2"/>
        </w:rPr>
      </w:pPr>
    </w:p>
    <w:p w14:paraId="0EC6CA94">
      <w:pPr>
        <w:spacing w:before="0" w:line="240" w:lineRule="auto"/>
        <w:rPr>
          <w:rFonts w:hint="default" w:ascii="Times New Roman" w:hAnsi="Times New Roman" w:eastAsia="仿宋" w:cs="Times New Roman"/>
          <w:color w:val="auto"/>
          <w:sz w:val="20"/>
          <w:szCs w:val="20"/>
        </w:rPr>
      </w:pPr>
    </w:p>
    <w:p w14:paraId="7B360AE0">
      <w:pPr>
        <w:spacing w:before="0" w:line="240" w:lineRule="auto"/>
        <w:rPr>
          <w:rFonts w:hint="default" w:ascii="Times New Roman" w:hAnsi="Times New Roman" w:eastAsia="仿宋" w:cs="Times New Roman"/>
          <w:color w:val="auto"/>
          <w:sz w:val="20"/>
          <w:szCs w:val="20"/>
        </w:rPr>
      </w:pPr>
    </w:p>
    <w:p w14:paraId="42363B11">
      <w:pPr>
        <w:spacing w:before="0" w:line="240" w:lineRule="auto"/>
        <w:rPr>
          <w:rFonts w:hint="default" w:ascii="Times New Roman" w:hAnsi="Times New Roman" w:eastAsia="仿宋" w:cs="Times New Roman"/>
          <w:color w:val="auto"/>
          <w:sz w:val="20"/>
          <w:szCs w:val="20"/>
        </w:rPr>
      </w:pPr>
    </w:p>
    <w:p w14:paraId="51CC8BAF">
      <w:pPr>
        <w:spacing w:before="0" w:line="240" w:lineRule="auto"/>
        <w:rPr>
          <w:rFonts w:hint="default" w:ascii="Times New Roman" w:hAnsi="Times New Roman" w:eastAsia="仿宋" w:cs="Times New Roman"/>
          <w:color w:val="auto"/>
          <w:sz w:val="20"/>
          <w:szCs w:val="20"/>
        </w:rPr>
      </w:pPr>
    </w:p>
    <w:p w14:paraId="1CB1F4BC">
      <w:pPr>
        <w:spacing w:before="0" w:line="240" w:lineRule="auto"/>
        <w:rPr>
          <w:rFonts w:hint="default" w:ascii="Times New Roman" w:hAnsi="Times New Roman" w:eastAsia="仿宋" w:cs="Times New Roman"/>
          <w:color w:val="auto"/>
          <w:sz w:val="20"/>
          <w:szCs w:val="20"/>
        </w:rPr>
      </w:pPr>
    </w:p>
    <w:p w14:paraId="1B6BA599">
      <w:pPr>
        <w:spacing w:before="0" w:line="240" w:lineRule="auto"/>
        <w:rPr>
          <w:rFonts w:hint="default" w:ascii="Times New Roman" w:hAnsi="Times New Roman" w:eastAsia="仿宋" w:cs="Times New Roman"/>
          <w:color w:val="auto"/>
          <w:sz w:val="20"/>
          <w:szCs w:val="20"/>
        </w:rPr>
      </w:pPr>
    </w:p>
    <w:p w14:paraId="127D4DB4">
      <w:pPr>
        <w:jc w:val="cente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t>中华人民共和国生态环境部制</w:t>
      </w:r>
    </w:p>
    <w:p w14:paraId="3C38A892">
      <w:pPr>
        <w:jc w:val="center"/>
        <w:rPr>
          <w:rFonts w:hint="default" w:ascii="Times New Roman" w:hAnsi="Times New Roman" w:eastAsia="楷体" w:cs="Times New Roman"/>
          <w:color w:val="auto"/>
          <w:sz w:val="36"/>
          <w:szCs w:val="36"/>
        </w:rPr>
      </w:pPr>
    </w:p>
    <w:p w14:paraId="01348EAF">
      <w:pPr>
        <w:jc w:val="center"/>
        <w:rPr>
          <w:rFonts w:hint="default" w:ascii="Times New Roman" w:hAnsi="Times New Roman" w:eastAsia="楷体" w:cs="Times New Roman"/>
          <w:color w:val="auto"/>
          <w:sz w:val="36"/>
          <w:szCs w:val="36"/>
        </w:rPr>
      </w:pPr>
    </w:p>
    <w:p w14:paraId="2C3D3783">
      <w:pPr>
        <w:jc w:val="center"/>
        <w:rPr>
          <w:rFonts w:hint="default" w:ascii="Times New Roman" w:hAnsi="Times New Roman" w:eastAsia="楷体" w:cs="Times New Roman"/>
          <w:color w:val="auto"/>
          <w:sz w:val="36"/>
          <w:szCs w:val="36"/>
        </w:rPr>
      </w:pPr>
    </w:p>
    <w:p w14:paraId="6F41A48E">
      <w:pPr>
        <w:jc w:val="center"/>
        <w:rPr>
          <w:rFonts w:hint="default" w:ascii="Times New Roman" w:hAnsi="Times New Roman" w:eastAsia="楷体" w:cs="Times New Roman"/>
          <w:color w:val="auto"/>
          <w:sz w:val="36"/>
          <w:szCs w:val="36"/>
        </w:rPr>
      </w:pPr>
    </w:p>
    <w:p w14:paraId="35763B49">
      <w:pPr>
        <w:jc w:val="center"/>
        <w:rPr>
          <w:rFonts w:hint="default" w:ascii="Times New Roman" w:hAnsi="Times New Roman" w:eastAsia="楷体" w:cs="Times New Roman"/>
          <w:color w:val="auto"/>
          <w:sz w:val="36"/>
          <w:szCs w:val="36"/>
        </w:rPr>
      </w:pPr>
    </w:p>
    <w:p w14:paraId="6C27868C">
      <w:pPr>
        <w:jc w:val="center"/>
        <w:rPr>
          <w:rFonts w:hint="default" w:ascii="Times New Roman" w:hAnsi="Times New Roman" w:eastAsia="楷体" w:cs="Times New Roman"/>
          <w:color w:val="auto"/>
          <w:sz w:val="36"/>
          <w:szCs w:val="36"/>
        </w:rPr>
      </w:pPr>
    </w:p>
    <w:p w14:paraId="23B37C77">
      <w:pPr>
        <w:jc w:val="center"/>
        <w:rPr>
          <w:rFonts w:hint="default" w:ascii="Times New Roman" w:hAnsi="Times New Roman" w:eastAsia="楷体" w:cs="Times New Roman"/>
          <w:color w:val="auto"/>
          <w:sz w:val="36"/>
          <w:szCs w:val="36"/>
        </w:rPr>
      </w:pPr>
    </w:p>
    <w:p w14:paraId="331C576A">
      <w:pPr>
        <w:jc w:val="center"/>
        <w:rPr>
          <w:rFonts w:hint="default" w:ascii="Times New Roman" w:hAnsi="Times New Roman" w:eastAsia="楷体" w:cs="Times New Roman"/>
          <w:color w:val="auto"/>
          <w:sz w:val="36"/>
          <w:szCs w:val="36"/>
        </w:rPr>
      </w:pPr>
    </w:p>
    <w:p w14:paraId="25FF0ED2">
      <w:pPr>
        <w:jc w:val="center"/>
        <w:rPr>
          <w:rFonts w:hint="default" w:ascii="Times New Roman" w:hAnsi="Times New Roman" w:eastAsia="楷体" w:cs="Times New Roman"/>
          <w:color w:val="auto"/>
          <w:sz w:val="36"/>
          <w:szCs w:val="36"/>
        </w:rPr>
      </w:pPr>
    </w:p>
    <w:p w14:paraId="0612BD3D">
      <w:pPr>
        <w:jc w:val="center"/>
        <w:rPr>
          <w:rFonts w:hint="default" w:ascii="Times New Roman" w:hAnsi="Times New Roman" w:eastAsia="楷体" w:cs="Times New Roman"/>
          <w:color w:val="auto"/>
          <w:sz w:val="36"/>
          <w:szCs w:val="36"/>
        </w:rPr>
      </w:pPr>
    </w:p>
    <w:p w14:paraId="7C10ECE0">
      <w:pPr>
        <w:jc w:val="center"/>
        <w:rPr>
          <w:rFonts w:hint="default" w:ascii="Times New Roman" w:hAnsi="Times New Roman" w:eastAsia="楷体" w:cs="Times New Roman"/>
          <w:color w:val="auto"/>
          <w:sz w:val="36"/>
          <w:szCs w:val="36"/>
        </w:rPr>
      </w:pPr>
    </w:p>
    <w:p w14:paraId="366A1B0F">
      <w:pPr>
        <w:jc w:val="center"/>
        <w:rPr>
          <w:rFonts w:hint="default" w:ascii="Times New Roman" w:hAnsi="Times New Roman" w:eastAsia="楷体" w:cs="Times New Roman"/>
          <w:color w:val="auto"/>
          <w:sz w:val="36"/>
          <w:szCs w:val="36"/>
        </w:rPr>
      </w:pPr>
    </w:p>
    <w:p w14:paraId="646083F6">
      <w:pPr>
        <w:jc w:val="center"/>
        <w:rPr>
          <w:rFonts w:hint="default" w:ascii="Times New Roman" w:hAnsi="Times New Roman" w:eastAsia="楷体" w:cs="Times New Roman"/>
          <w:color w:val="auto"/>
          <w:sz w:val="36"/>
          <w:szCs w:val="36"/>
        </w:rPr>
      </w:pPr>
    </w:p>
    <w:p w14:paraId="48177AEC">
      <w:pPr>
        <w:jc w:val="center"/>
        <w:rPr>
          <w:rFonts w:hint="default" w:ascii="Times New Roman" w:hAnsi="Times New Roman" w:eastAsia="楷体" w:cs="Times New Roman"/>
          <w:color w:val="auto"/>
          <w:sz w:val="36"/>
          <w:szCs w:val="36"/>
        </w:rPr>
      </w:pPr>
    </w:p>
    <w:p w14:paraId="66CB7378">
      <w:pPr>
        <w:jc w:val="center"/>
        <w:rPr>
          <w:rFonts w:hint="default" w:ascii="Times New Roman" w:hAnsi="Times New Roman" w:eastAsia="楷体" w:cs="Times New Roman"/>
          <w:color w:val="auto"/>
          <w:sz w:val="36"/>
          <w:szCs w:val="36"/>
        </w:rPr>
      </w:pPr>
    </w:p>
    <w:p w14:paraId="2DF9D5CF">
      <w:pPr>
        <w:jc w:val="center"/>
        <w:rPr>
          <w:rFonts w:hint="default" w:ascii="Times New Roman" w:hAnsi="Times New Roman" w:eastAsia="楷体" w:cs="Times New Roman"/>
          <w:color w:val="auto"/>
          <w:sz w:val="36"/>
          <w:szCs w:val="36"/>
        </w:rPr>
      </w:pPr>
    </w:p>
    <w:p w14:paraId="27483ABA">
      <w:pPr>
        <w:jc w:val="center"/>
        <w:rPr>
          <w:rFonts w:hint="default" w:ascii="Times New Roman" w:hAnsi="Times New Roman" w:eastAsia="楷体" w:cs="Times New Roman"/>
          <w:color w:val="auto"/>
          <w:sz w:val="36"/>
          <w:szCs w:val="36"/>
        </w:rPr>
      </w:pPr>
    </w:p>
    <w:p w14:paraId="466DAA50">
      <w:pPr>
        <w:jc w:val="center"/>
        <w:rPr>
          <w:rFonts w:hint="default" w:ascii="Times New Roman" w:hAnsi="Times New Roman" w:eastAsia="楷体" w:cs="Times New Roman"/>
          <w:color w:val="auto"/>
          <w:sz w:val="36"/>
          <w:szCs w:val="36"/>
        </w:rPr>
      </w:pPr>
    </w:p>
    <w:p w14:paraId="73850243">
      <w:pPr>
        <w:jc w:val="center"/>
        <w:rPr>
          <w:rFonts w:hint="default" w:ascii="Times New Roman" w:hAnsi="Times New Roman" w:eastAsia="楷体" w:cs="Times New Roman"/>
          <w:color w:val="auto"/>
          <w:sz w:val="36"/>
          <w:szCs w:val="36"/>
        </w:rPr>
      </w:pPr>
    </w:p>
    <w:p w14:paraId="160B0B19">
      <w:pPr>
        <w:jc w:val="center"/>
        <w:rPr>
          <w:rFonts w:hint="default" w:ascii="Times New Roman" w:hAnsi="Times New Roman" w:eastAsia="楷体" w:cs="Times New Roman"/>
          <w:color w:val="auto"/>
          <w:sz w:val="36"/>
          <w:szCs w:val="36"/>
        </w:rPr>
      </w:pPr>
    </w:p>
    <w:p w14:paraId="4A51F52B">
      <w:pPr>
        <w:jc w:val="both"/>
        <w:rPr>
          <w:rFonts w:hint="default" w:ascii="Times New Roman" w:hAnsi="Times New Roman" w:eastAsia="楷体" w:cs="Times New Roman"/>
          <w:color w:val="auto"/>
          <w:sz w:val="36"/>
          <w:szCs w:val="36"/>
        </w:rPr>
      </w:pPr>
    </w:p>
    <w:p w14:paraId="23A455BF">
      <w:pPr>
        <w:jc w:val="center"/>
        <w:rPr>
          <w:rFonts w:hint="default" w:ascii="Times New Roman" w:hAnsi="Times New Roman" w:eastAsia="楷体" w:cs="Times New Roman"/>
          <w:color w:val="auto"/>
          <w:sz w:val="36"/>
          <w:szCs w:val="36"/>
        </w:rPr>
      </w:pPr>
    </w:p>
    <w:p w14:paraId="350C9640">
      <w:pPr>
        <w:jc w:val="center"/>
        <w:rPr>
          <w:rFonts w:hint="default" w:ascii="Times New Roman" w:hAnsi="Times New Roman" w:eastAsia="黑体" w:cs="Times New Roman"/>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38BF72A1">
      <w:pPr>
        <w:jc w:val="center"/>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一、建设项目基本情况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2839"/>
        <w:gridCol w:w="2229"/>
        <w:gridCol w:w="2973"/>
      </w:tblGrid>
      <w:tr w14:paraId="3752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154CD6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建设项目名称</w:t>
            </w:r>
          </w:p>
        </w:tc>
        <w:tc>
          <w:tcPr>
            <w:tcW w:w="8041" w:type="dxa"/>
            <w:gridSpan w:val="3"/>
            <w:vAlign w:val="center"/>
          </w:tcPr>
          <w:p w14:paraId="259E2C4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宁榆天然气评价项目组米</w:t>
            </w:r>
            <w:r>
              <w:rPr>
                <w:rFonts w:hint="eastAsia" w:ascii="Times New Roman" w:hAnsi="Times New Roman" w:eastAsia="宋体" w:cs="Times New Roman"/>
                <w:color w:val="auto"/>
                <w:sz w:val="21"/>
                <w:szCs w:val="21"/>
                <w:vertAlign w:val="baseline"/>
                <w:lang w:val="en-US" w:eastAsia="zh-CN"/>
              </w:rPr>
              <w:t>107-12M、107-6MX等6口评价</w:t>
            </w:r>
            <w:r>
              <w:rPr>
                <w:rFonts w:hint="default" w:ascii="Times New Roman" w:hAnsi="Times New Roman" w:eastAsia="宋体" w:cs="Times New Roman"/>
                <w:color w:val="auto"/>
                <w:sz w:val="21"/>
                <w:szCs w:val="21"/>
                <w:vertAlign w:val="baseline"/>
                <w:lang w:val="en-US" w:eastAsia="zh-CN"/>
              </w:rPr>
              <w:t>井建设项目</w:t>
            </w:r>
          </w:p>
        </w:tc>
      </w:tr>
      <w:tr w14:paraId="6F84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47" w:type="dxa"/>
            <w:vAlign w:val="center"/>
          </w:tcPr>
          <w:p w14:paraId="0816FD0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项目代码</w:t>
            </w:r>
          </w:p>
        </w:tc>
        <w:tc>
          <w:tcPr>
            <w:tcW w:w="8041" w:type="dxa"/>
            <w:gridSpan w:val="3"/>
            <w:vAlign w:val="center"/>
          </w:tcPr>
          <w:p w14:paraId="5880BDA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115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5B176C6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建设单位联系人</w:t>
            </w:r>
          </w:p>
        </w:tc>
        <w:tc>
          <w:tcPr>
            <w:tcW w:w="2839" w:type="dxa"/>
            <w:vAlign w:val="center"/>
          </w:tcPr>
          <w:p w14:paraId="794C1992">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宋斌</w:t>
            </w:r>
          </w:p>
        </w:tc>
        <w:tc>
          <w:tcPr>
            <w:tcW w:w="2229" w:type="dxa"/>
            <w:vAlign w:val="center"/>
          </w:tcPr>
          <w:p w14:paraId="51E01FB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联系方式</w:t>
            </w:r>
          </w:p>
        </w:tc>
        <w:tc>
          <w:tcPr>
            <w:tcW w:w="2973" w:type="dxa"/>
            <w:vAlign w:val="center"/>
          </w:tcPr>
          <w:p w14:paraId="76BC104B">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13629575890</w:t>
            </w:r>
          </w:p>
        </w:tc>
      </w:tr>
      <w:tr w14:paraId="1B9A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44697D3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建设地点</w:t>
            </w:r>
          </w:p>
        </w:tc>
        <w:tc>
          <w:tcPr>
            <w:tcW w:w="8041" w:type="dxa"/>
            <w:gridSpan w:val="3"/>
            <w:vAlign w:val="top"/>
          </w:tcPr>
          <w:p w14:paraId="31DE18D4">
            <w:pPr>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米107-6MX：陕西省榆林市佳县朱官寨镇元峁村</w:t>
            </w:r>
          </w:p>
          <w:p w14:paraId="57ACE9A4">
            <w:pPr>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米107-10MX：陕西省榆林市佳县朱官寨镇磨家川村</w:t>
            </w:r>
          </w:p>
          <w:p w14:paraId="1BD7C3ED">
            <w:pPr>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米107-11M：陕西省榆林市佳县朱官寨镇石家坂村</w:t>
            </w:r>
          </w:p>
          <w:p w14:paraId="4CFBCFA8">
            <w:pPr>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米107-12M：陕西省榆林市佳县朱官寨镇冯家佗佬村</w:t>
            </w:r>
          </w:p>
          <w:p w14:paraId="70128A76">
            <w:pPr>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米107-15M：陕西省榆林市佳县朱官寨镇刘仓弧村</w:t>
            </w:r>
          </w:p>
          <w:p w14:paraId="35F89374">
            <w:pPr>
              <w:jc w:val="center"/>
              <w:rPr>
                <w:rFonts w:hint="default"/>
                <w:color w:val="auto"/>
                <w:lang w:val="en-US" w:eastAsia="zh-CN"/>
              </w:rPr>
            </w:pPr>
            <w:r>
              <w:rPr>
                <w:rFonts w:hint="eastAsia" w:ascii="Times New Roman" w:hAnsi="Times New Roman" w:eastAsia="宋体" w:cs="Times New Roman"/>
                <w:color w:val="auto"/>
                <w:sz w:val="21"/>
                <w:szCs w:val="21"/>
                <w:u w:val="none"/>
                <w:vertAlign w:val="baseline"/>
                <w:lang w:val="en-US" w:eastAsia="zh-CN"/>
              </w:rPr>
              <w:t>米107-34M：陕西省榆林市佳县朱官寨镇元郎村</w:t>
            </w:r>
          </w:p>
        </w:tc>
      </w:tr>
      <w:tr w14:paraId="1C92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0E9400E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地理坐标</w:t>
            </w:r>
          </w:p>
        </w:tc>
        <w:tc>
          <w:tcPr>
            <w:tcW w:w="8041" w:type="dxa"/>
            <w:gridSpan w:val="3"/>
            <w:vAlign w:val="top"/>
          </w:tcPr>
          <w:p w14:paraId="7AFCA63A">
            <w:pPr>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米107-6MX：110°12′50.361″,38°8′49.563″</w:t>
            </w:r>
          </w:p>
          <w:p w14:paraId="441B3480">
            <w:pPr>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米107-10MX：110°13′18.319″,38°7′41.295″</w:t>
            </w:r>
          </w:p>
          <w:p w14:paraId="229414A2">
            <w:pPr>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米107-11M：110°16′24.886″,38°7′50.285″</w:t>
            </w:r>
          </w:p>
          <w:p w14:paraId="33FAE2E0">
            <w:pPr>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米107-12M：110°19′21.692″,38°7′34.1994″</w:t>
            </w:r>
          </w:p>
          <w:p w14:paraId="365412C2">
            <w:pPr>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米107-15M：110°11′31.309″,38°6′34.302″</w:t>
            </w:r>
          </w:p>
          <w:p w14:paraId="707B2079">
            <w:pPr>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米107-34M：110°12′15.278″,38°9′41.574″</w:t>
            </w:r>
          </w:p>
          <w:p w14:paraId="097A0868">
            <w:pPr>
              <w:jc w:val="center"/>
              <w:rPr>
                <w:rFonts w:hint="default"/>
                <w:color w:val="auto"/>
                <w:lang w:val="en-US" w:eastAsia="zh-CN"/>
              </w:rPr>
            </w:pPr>
            <w:r>
              <w:rPr>
                <w:rFonts w:hint="default" w:ascii="Times New Roman" w:hAnsi="Times New Roman" w:eastAsia="宋体" w:cs="Times New Roman"/>
                <w:color w:val="auto"/>
                <w:sz w:val="21"/>
                <w:szCs w:val="21"/>
                <w:u w:val="none"/>
                <w:vertAlign w:val="baseline"/>
                <w:lang w:val="en-US" w:eastAsia="zh-CN"/>
              </w:rPr>
              <w:t>环评中具体坐标以榆林市投资项目选址“</w:t>
            </w:r>
            <w:r>
              <w:rPr>
                <w:rFonts w:hint="eastAsia" w:ascii="Times New Roman" w:hAnsi="Times New Roman" w:eastAsia="宋体" w:cs="Times New Roman"/>
                <w:color w:val="auto"/>
                <w:sz w:val="21"/>
                <w:szCs w:val="21"/>
                <w:u w:val="none"/>
                <w:vertAlign w:val="baseline"/>
                <w:lang w:val="en-US" w:eastAsia="zh-CN"/>
              </w:rPr>
              <w:t>一</w:t>
            </w:r>
            <w:r>
              <w:rPr>
                <w:rFonts w:hint="default" w:ascii="Times New Roman" w:hAnsi="Times New Roman" w:eastAsia="宋体" w:cs="Times New Roman"/>
                <w:color w:val="auto"/>
                <w:sz w:val="21"/>
                <w:szCs w:val="21"/>
                <w:u w:val="none"/>
                <w:vertAlign w:val="baseline"/>
                <w:lang w:val="en-US" w:eastAsia="zh-CN"/>
              </w:rPr>
              <w:t>张图”控制线检测报告中的坐标点位为推</w:t>
            </w:r>
          </w:p>
        </w:tc>
      </w:tr>
      <w:tr w14:paraId="077B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33481E6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建设项目类别</w:t>
            </w:r>
          </w:p>
        </w:tc>
        <w:tc>
          <w:tcPr>
            <w:tcW w:w="2839" w:type="dxa"/>
            <w:vAlign w:val="top"/>
          </w:tcPr>
          <w:p w14:paraId="02C66636">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四十六、专业技术服务-99、陆地矿产资源地质勘察（含油气资源勘探）-全部</w:t>
            </w:r>
          </w:p>
        </w:tc>
        <w:tc>
          <w:tcPr>
            <w:tcW w:w="2229" w:type="dxa"/>
            <w:vAlign w:val="center"/>
          </w:tcPr>
          <w:p w14:paraId="76E2327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用地（用海）面积（m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）/长度（km）</w:t>
            </w:r>
          </w:p>
        </w:tc>
        <w:tc>
          <w:tcPr>
            <w:tcW w:w="2973" w:type="dxa"/>
            <w:vAlign w:val="center"/>
          </w:tcPr>
          <w:p w14:paraId="7A6F3B56">
            <w:pPr>
              <w:jc w:val="center"/>
              <w:rPr>
                <w:rFonts w:hint="default"/>
                <w:color w:val="auto"/>
                <w:sz w:val="21"/>
                <w:szCs w:val="21"/>
                <w:lang w:val="en-US" w:eastAsia="zh-CN"/>
              </w:rPr>
            </w:pPr>
            <w:r>
              <w:rPr>
                <w:rFonts w:hint="eastAsia" w:ascii="Times New Roman" w:hAnsi="Times New Roman" w:eastAsia="宋体" w:cs="Times New Roman"/>
                <w:color w:val="auto"/>
                <w:sz w:val="21"/>
                <w:szCs w:val="21"/>
                <w:u w:val="none"/>
                <w:vertAlign w:val="baseline"/>
                <w:lang w:val="en-US" w:eastAsia="zh-CN"/>
              </w:rPr>
              <w:t>67428临时用地）</w:t>
            </w:r>
          </w:p>
        </w:tc>
      </w:tr>
      <w:tr w14:paraId="5339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1A6AE78">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建设性质</w:t>
            </w:r>
          </w:p>
        </w:tc>
        <w:tc>
          <w:tcPr>
            <w:tcW w:w="2839" w:type="dxa"/>
            <w:vAlign w:val="center"/>
          </w:tcPr>
          <w:p w14:paraId="00D92047">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新建（迁建）</w:t>
            </w:r>
          </w:p>
          <w:p w14:paraId="152E4797">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改建</w:t>
            </w:r>
          </w:p>
          <w:p w14:paraId="787D8663">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扩建</w:t>
            </w:r>
          </w:p>
          <w:p w14:paraId="3F731B92">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技术改造</w:t>
            </w:r>
          </w:p>
        </w:tc>
        <w:tc>
          <w:tcPr>
            <w:tcW w:w="2229" w:type="dxa"/>
            <w:vAlign w:val="center"/>
          </w:tcPr>
          <w:p w14:paraId="5B949BF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w:t>
            </w:r>
          </w:p>
          <w:p w14:paraId="3709A2C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申报情形</w:t>
            </w:r>
          </w:p>
        </w:tc>
        <w:tc>
          <w:tcPr>
            <w:tcW w:w="2973" w:type="dxa"/>
            <w:vAlign w:val="top"/>
          </w:tcPr>
          <w:p w14:paraId="6B2BA492">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首次申报项目</w:t>
            </w:r>
          </w:p>
          <w:p w14:paraId="2AB7F42A">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不予批准后再次申报项目</w:t>
            </w:r>
          </w:p>
          <w:p w14:paraId="59FE85C1">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超过五年重新审核项目</w:t>
            </w:r>
          </w:p>
          <w:p w14:paraId="08173230">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重大变动重新报批项目</w:t>
            </w:r>
          </w:p>
        </w:tc>
      </w:tr>
      <w:tr w14:paraId="6CDD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7" w:type="dxa"/>
            <w:vAlign w:val="top"/>
          </w:tcPr>
          <w:p w14:paraId="6A6C6F7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项目审批（核准/备案）部门（选填）</w:t>
            </w:r>
          </w:p>
        </w:tc>
        <w:tc>
          <w:tcPr>
            <w:tcW w:w="2839" w:type="dxa"/>
            <w:vAlign w:val="center"/>
          </w:tcPr>
          <w:p w14:paraId="7255AF7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2229" w:type="dxa"/>
            <w:vAlign w:val="center"/>
          </w:tcPr>
          <w:p w14:paraId="3C3CAB57">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项目审批（核准/备案）文号（选填）</w:t>
            </w:r>
          </w:p>
        </w:tc>
        <w:tc>
          <w:tcPr>
            <w:tcW w:w="2973" w:type="dxa"/>
            <w:vAlign w:val="center"/>
          </w:tcPr>
          <w:p w14:paraId="19BE676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33F7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9F0B6C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总投资（万元）</w:t>
            </w:r>
          </w:p>
        </w:tc>
        <w:tc>
          <w:tcPr>
            <w:tcW w:w="2839" w:type="dxa"/>
            <w:vAlign w:val="center"/>
          </w:tcPr>
          <w:p w14:paraId="660FBA3E">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3000</w:t>
            </w:r>
          </w:p>
        </w:tc>
        <w:tc>
          <w:tcPr>
            <w:tcW w:w="2229" w:type="dxa"/>
            <w:vAlign w:val="center"/>
          </w:tcPr>
          <w:p w14:paraId="1B1DD3B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环保投资（万元）</w:t>
            </w:r>
          </w:p>
        </w:tc>
        <w:tc>
          <w:tcPr>
            <w:tcW w:w="2973" w:type="dxa"/>
            <w:vAlign w:val="center"/>
          </w:tcPr>
          <w:p w14:paraId="41F18650">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334.6</w:t>
            </w:r>
          </w:p>
        </w:tc>
      </w:tr>
      <w:tr w14:paraId="3596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2FA79D2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环保投资占比（%）</w:t>
            </w:r>
          </w:p>
        </w:tc>
        <w:tc>
          <w:tcPr>
            <w:tcW w:w="2839" w:type="dxa"/>
            <w:vAlign w:val="center"/>
          </w:tcPr>
          <w:p w14:paraId="1B3C30D9">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11.21</w:t>
            </w:r>
          </w:p>
        </w:tc>
        <w:tc>
          <w:tcPr>
            <w:tcW w:w="2229" w:type="dxa"/>
            <w:vAlign w:val="center"/>
          </w:tcPr>
          <w:p w14:paraId="1BE678A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施工工期</w:t>
            </w:r>
          </w:p>
        </w:tc>
        <w:tc>
          <w:tcPr>
            <w:tcW w:w="2973" w:type="dxa"/>
            <w:vAlign w:val="center"/>
          </w:tcPr>
          <w:p w14:paraId="18481F93">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r>
              <w:rPr>
                <w:rFonts w:hint="default" w:ascii="Times New Roman" w:hAnsi="Times New Roman" w:eastAsia="宋体" w:cs="Times New Roman"/>
                <w:color w:val="auto"/>
                <w:sz w:val="21"/>
                <w:szCs w:val="21"/>
                <w:vertAlign w:val="baseline"/>
                <w:lang w:val="en-US" w:eastAsia="zh-CN"/>
              </w:rPr>
              <w:t>天</w:t>
            </w:r>
          </w:p>
        </w:tc>
      </w:tr>
      <w:tr w14:paraId="7C95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top"/>
          </w:tcPr>
          <w:p w14:paraId="75F70A3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是否开工建设</w:t>
            </w:r>
          </w:p>
        </w:tc>
        <w:tc>
          <w:tcPr>
            <w:tcW w:w="8041" w:type="dxa"/>
            <w:gridSpan w:val="3"/>
            <w:vAlign w:val="top"/>
          </w:tcPr>
          <w:p w14:paraId="08FC6D4F">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否</w:t>
            </w:r>
          </w:p>
          <w:p w14:paraId="2DEDA711">
            <w:pPr>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是：</w:t>
            </w:r>
            <w:r>
              <w:rPr>
                <w:rFonts w:hint="default" w:ascii="Times New Roman" w:hAnsi="Times New Roman" w:eastAsia="宋体" w:cs="Times New Roman"/>
                <w:color w:val="auto"/>
                <w:sz w:val="21"/>
                <w:szCs w:val="21"/>
                <w:u w:val="single"/>
                <w:vertAlign w:val="baseline"/>
                <w:lang w:val="en-US" w:eastAsia="zh-CN"/>
              </w:rPr>
              <w:t xml:space="preserve">                          </w:t>
            </w:r>
          </w:p>
        </w:tc>
      </w:tr>
      <w:tr w14:paraId="6FDB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top"/>
          </w:tcPr>
          <w:p w14:paraId="6A04BCE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专项评价设置情况</w:t>
            </w:r>
          </w:p>
        </w:tc>
        <w:tc>
          <w:tcPr>
            <w:tcW w:w="8041" w:type="dxa"/>
            <w:gridSpan w:val="3"/>
            <w:vAlign w:val="top"/>
          </w:tcPr>
          <w:p w14:paraId="2C50EF79">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表1-1   专项评价设置情况表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3634"/>
              <w:gridCol w:w="2205"/>
              <w:gridCol w:w="788"/>
            </w:tblGrid>
            <w:tr w14:paraId="59D0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8" w:type="pct"/>
                  <w:vAlign w:val="center"/>
                </w:tcPr>
                <w:p w14:paraId="48060D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专项评价的类别</w:t>
                  </w:r>
                </w:p>
              </w:tc>
              <w:tc>
                <w:tcPr>
                  <w:tcW w:w="2325" w:type="pct"/>
                  <w:vAlign w:val="center"/>
                </w:tcPr>
                <w:p w14:paraId="056E6C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涉及项目类别</w:t>
                  </w:r>
                </w:p>
              </w:tc>
              <w:tc>
                <w:tcPr>
                  <w:tcW w:w="1411" w:type="pct"/>
                  <w:vAlign w:val="center"/>
                </w:tcPr>
                <w:p w14:paraId="574062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本项目</w:t>
                  </w:r>
                </w:p>
              </w:tc>
              <w:tc>
                <w:tcPr>
                  <w:tcW w:w="504" w:type="pct"/>
                  <w:vAlign w:val="center"/>
                </w:tcPr>
                <w:p w14:paraId="78FF94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是否设置</w:t>
                  </w:r>
                </w:p>
              </w:tc>
            </w:tr>
            <w:tr w14:paraId="3856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7F478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地表水</w:t>
                  </w:r>
                </w:p>
              </w:tc>
              <w:tc>
                <w:tcPr>
                  <w:tcW w:w="2325" w:type="pct"/>
                  <w:vAlign w:val="center"/>
                </w:tcPr>
                <w:p w14:paraId="1717265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水利发电：引水式发电、涉及调峰发电的项目；</w:t>
                  </w:r>
                </w:p>
                <w:p w14:paraId="37B6F1F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人工湖、人工湿地：全部；</w:t>
                  </w:r>
                </w:p>
                <w:p w14:paraId="4D1C06B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水库：全部；</w:t>
                  </w:r>
                </w:p>
                <w:p w14:paraId="4B6A3DB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引水工程：全部（配套的管线工程等除外）；</w:t>
                  </w:r>
                </w:p>
                <w:p w14:paraId="59EF00B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防洪除涝工程：包含水库的项目</w:t>
                  </w:r>
                </w:p>
                <w:p w14:paraId="24B2451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河湖整治：涉及清淤且底泥存在重金属污染的项目</w:t>
                  </w:r>
                </w:p>
              </w:tc>
              <w:tc>
                <w:tcPr>
                  <w:tcW w:w="1411" w:type="pct"/>
                  <w:vAlign w:val="center"/>
                </w:tcPr>
                <w:p w14:paraId="308B7A3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本项目为天然气资源勘探井工程，不需开展地表水专项评价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1E6D80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237C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50D2F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地下水</w:t>
                  </w:r>
                </w:p>
              </w:tc>
              <w:tc>
                <w:tcPr>
                  <w:tcW w:w="2325" w:type="pct"/>
                  <w:vAlign w:val="center"/>
                </w:tcPr>
                <w:p w14:paraId="075EC92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陆地石油和天然气开采：全部；</w:t>
                  </w:r>
                </w:p>
                <w:p w14:paraId="031A8F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地下水（含矿泉水）开采：全部；</w:t>
                  </w:r>
                </w:p>
                <w:p w14:paraId="4E8334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水利、水电、交通等：含穿越可溶岩地层隧道的项目</w:t>
                  </w:r>
                </w:p>
              </w:tc>
              <w:tc>
                <w:tcPr>
                  <w:tcW w:w="1411" w:type="pct"/>
                  <w:vAlign w:val="center"/>
                </w:tcPr>
                <w:p w14:paraId="1505B96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本项目为天然气资源勘探井工程，不属于天然气开采，无需开展地下水专项评价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53D4DA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23BC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F8506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生态</w:t>
                  </w:r>
                </w:p>
              </w:tc>
              <w:tc>
                <w:tcPr>
                  <w:tcW w:w="2325" w:type="pct"/>
                  <w:vAlign w:val="center"/>
                </w:tcPr>
                <w:p w14:paraId="6E08470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涉及环境敏感区（不包括饮用水水源保护区，以居住、医疗卫生、文化教育、科研、行政办公为主要功能的区域，以及文物保护单位）的项目</w:t>
                  </w:r>
                </w:p>
              </w:tc>
              <w:tc>
                <w:tcPr>
                  <w:tcW w:w="1411" w:type="pct"/>
                  <w:vAlign w:val="center"/>
                </w:tcPr>
                <w:p w14:paraId="6A1C4F3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本项目为天然气资源勘探井工程，《建设项目环境影响评价分类管理名录》中针对该类项目无“敏感区”要求，同时本项目环境影响范围</w:t>
                  </w:r>
                  <w:r>
                    <w:rPr>
                      <w:rFonts w:hint="eastAsia" w:ascii="Times New Roman" w:hAnsi="Times New Roman" w:cs="Times New Roman" w:eastAsiaTheme="minorEastAsia"/>
                      <w:color w:val="auto"/>
                      <w:sz w:val="21"/>
                      <w:szCs w:val="21"/>
                      <w:vertAlign w:val="baseline"/>
                      <w:lang w:val="en-US" w:eastAsia="zh-CN"/>
                    </w:rPr>
                    <w:t>内</w:t>
                  </w:r>
                  <w:r>
                    <w:rPr>
                      <w:rFonts w:hint="default" w:ascii="Times New Roman" w:hAnsi="Times New Roman" w:cs="Times New Roman" w:eastAsiaTheme="minorEastAsia"/>
                      <w:color w:val="auto"/>
                      <w:sz w:val="21"/>
                      <w:szCs w:val="21"/>
                      <w:vertAlign w:val="baseline"/>
                      <w:lang w:val="en-US" w:eastAsia="zh-CN"/>
                    </w:rPr>
                    <w:t>无以居住、医疗卫生、文化教育、科研、行政办公为主要功能的区域，以及文物保护单位）</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1303C8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4915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BBF2B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大气</w:t>
                  </w:r>
                </w:p>
              </w:tc>
              <w:tc>
                <w:tcPr>
                  <w:tcW w:w="2325" w:type="pct"/>
                  <w:vAlign w:val="center"/>
                </w:tcPr>
                <w:p w14:paraId="5A0105B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油气、液体化工码头：全部；</w:t>
                  </w:r>
                </w:p>
                <w:p w14:paraId="06DC39E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干散货（含煤炭、矿石）、件杂、多用途、通用码头：涉及粉尘、挥发性有机物排放的项目</w:t>
                  </w:r>
                </w:p>
              </w:tc>
              <w:tc>
                <w:tcPr>
                  <w:tcW w:w="1411" w:type="pct"/>
                  <w:vAlign w:val="center"/>
                </w:tcPr>
                <w:p w14:paraId="20CB448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本项目为天然气资源勘探井工程，不需开展</w:t>
                  </w:r>
                  <w:r>
                    <w:rPr>
                      <w:rFonts w:hint="eastAsia" w:ascii="Times New Roman" w:hAnsi="Times New Roman" w:cs="Times New Roman" w:eastAsiaTheme="minorEastAsia"/>
                      <w:color w:val="auto"/>
                      <w:sz w:val="21"/>
                      <w:szCs w:val="21"/>
                      <w:vertAlign w:val="baseline"/>
                      <w:lang w:val="en-US" w:eastAsia="zh-CN"/>
                    </w:rPr>
                    <w:t>大气</w:t>
                  </w:r>
                  <w:r>
                    <w:rPr>
                      <w:rFonts w:hint="default" w:ascii="Times New Roman" w:hAnsi="Times New Roman" w:cs="Times New Roman" w:eastAsiaTheme="minorEastAsia"/>
                      <w:color w:val="auto"/>
                      <w:sz w:val="21"/>
                      <w:szCs w:val="21"/>
                      <w:vertAlign w:val="baseline"/>
                      <w:lang w:val="en-US" w:eastAsia="zh-CN"/>
                    </w:rPr>
                    <w:t>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6FF5BB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否</w:t>
                  </w:r>
                </w:p>
              </w:tc>
            </w:tr>
            <w:tr w14:paraId="73C8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5EBA8C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噪声</w:t>
                  </w:r>
                </w:p>
              </w:tc>
              <w:tc>
                <w:tcPr>
                  <w:tcW w:w="2325" w:type="pct"/>
                  <w:vAlign w:val="center"/>
                </w:tcPr>
                <w:p w14:paraId="62C842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公路、铁路、机场等交通运输业涉及环境敏感区（以居住、医疗卫生、文化教育、科研、行政办公为主要功能的区域）的项目；</w:t>
                  </w:r>
                </w:p>
                <w:p w14:paraId="267FA7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城市道路（不含维护，不含支路、人行天桥、人行地道）：全部</w:t>
                  </w:r>
                </w:p>
              </w:tc>
              <w:tc>
                <w:tcPr>
                  <w:tcW w:w="1411" w:type="pct"/>
                  <w:vAlign w:val="center"/>
                </w:tcPr>
                <w:p w14:paraId="3110FB5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本项目为天然气资源勘探井工程，不需开展噪声专项评价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0111C2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51A9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70ED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环境风险</w:t>
                  </w:r>
                </w:p>
              </w:tc>
              <w:tc>
                <w:tcPr>
                  <w:tcW w:w="2325" w:type="pct"/>
                  <w:vAlign w:val="center"/>
                </w:tcPr>
                <w:p w14:paraId="58E2DB6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石油和天然气开采：全部；</w:t>
                  </w:r>
                </w:p>
                <w:p w14:paraId="7A19207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油气、液体化工码头：全部；</w:t>
                  </w:r>
                </w:p>
                <w:p w14:paraId="253B08A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原油、成品油、天然气管线（不含城镇天然气管线、企业厂区内管线），危险化学品输送管线（不含企业厂区内管线）：全部</w:t>
                  </w:r>
                </w:p>
              </w:tc>
              <w:tc>
                <w:tcPr>
                  <w:tcW w:w="1411" w:type="pct"/>
                  <w:vAlign w:val="center"/>
                </w:tcPr>
                <w:p w14:paraId="42D52F7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本项目为天然气资源勘探井工程，不属于天然气开采，无需开展环境风险专项评价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7B16AD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bl>
          <w:p w14:paraId="23AD27E7">
            <w:pPr>
              <w:jc w:val="both"/>
              <w:rPr>
                <w:rFonts w:hint="default" w:ascii="Times New Roman" w:hAnsi="Times New Roman" w:eastAsia="宋体" w:cs="Times New Roman"/>
                <w:color w:val="auto"/>
                <w:sz w:val="21"/>
                <w:szCs w:val="21"/>
                <w:vertAlign w:val="baseline"/>
                <w:lang w:val="en-US" w:eastAsia="zh-CN"/>
              </w:rPr>
            </w:pPr>
          </w:p>
        </w:tc>
      </w:tr>
      <w:tr w14:paraId="5023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64CBF8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规划情况</w:t>
            </w:r>
          </w:p>
        </w:tc>
        <w:tc>
          <w:tcPr>
            <w:tcW w:w="8041" w:type="dxa"/>
            <w:gridSpan w:val="3"/>
            <w:vAlign w:val="center"/>
          </w:tcPr>
          <w:p w14:paraId="65FBF9EE">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《陕西省矿产资源总体规划（2021-2025年）》</w:t>
            </w:r>
          </w:p>
          <w:p w14:paraId="0A42C43F">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审批情况：陕西省自然资源厅、陕西省发展和改革委员会关于印发《陕西省矿产资源总体规划（2021-2025年）》的通知（陕自然资发[2022]40号）</w:t>
            </w:r>
          </w:p>
          <w:p w14:paraId="2DADB542">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《榆林市矿产资源总体规划（2021-2025年）》</w:t>
            </w:r>
          </w:p>
          <w:p w14:paraId="318247FA">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审批情况：陕西省资源资源厅、榆林市人民政府关于印发《榆林市矿产资源总体规划（2021-2025年）》的通知（2023年1月16日）</w:t>
            </w:r>
          </w:p>
          <w:p w14:paraId="01EE16E3">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《佳县矿产资源总体规划（2021-2025年）》</w:t>
            </w:r>
          </w:p>
          <w:p w14:paraId="2993BBCE">
            <w:pPr>
              <w:pStyle w:val="2"/>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color w:val="auto"/>
                <w:lang w:val="en-US" w:eastAsia="zh-CN"/>
              </w:rPr>
            </w:pPr>
            <w:r>
              <w:rPr>
                <w:rFonts w:hint="eastAsia" w:ascii="Times New Roman" w:hAnsi="Times New Roman" w:eastAsia="宋体" w:cs="Times New Roman"/>
                <w:color w:val="auto"/>
                <w:sz w:val="24"/>
                <w:szCs w:val="24"/>
                <w:vertAlign w:val="baseline"/>
                <w:lang w:val="en-US" w:eastAsia="zh-CN"/>
              </w:rPr>
              <w:t>审批情况：榆林市人民政府、佳县人民政府关于印发《佳县矿产资源总体规划（2021-2025年）》的通知（2023年6月20日）</w:t>
            </w:r>
          </w:p>
        </w:tc>
      </w:tr>
      <w:tr w14:paraId="1FBB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4FA46D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规划环境影响评价情况</w:t>
            </w:r>
          </w:p>
        </w:tc>
        <w:tc>
          <w:tcPr>
            <w:tcW w:w="8041" w:type="dxa"/>
            <w:gridSpan w:val="3"/>
            <w:vAlign w:val="center"/>
          </w:tcPr>
          <w:p w14:paraId="7F692E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陕西省矿产资源总体规划（2021-2025年）环境影响报告书</w:t>
            </w:r>
          </w:p>
          <w:p w14:paraId="57AEF4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审批情况：关于《陕西省矿产资源总体规划(2021-2025年)环境影响报告书》的审查意见（环审[2022]123号）</w:t>
            </w:r>
          </w:p>
        </w:tc>
      </w:tr>
      <w:tr w14:paraId="6C30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CE7682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规划及规划环境影响评价符合性分析</w:t>
            </w:r>
          </w:p>
        </w:tc>
        <w:tc>
          <w:tcPr>
            <w:tcW w:w="8041" w:type="dxa"/>
            <w:gridSpan w:val="3"/>
            <w:vAlign w:val="center"/>
          </w:tcPr>
          <w:p w14:paraId="3C1CB7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4"/>
                <w:szCs w:val="24"/>
                <w:vertAlign w:val="baseline"/>
                <w:lang w:val="en-US" w:eastAsia="zh-CN"/>
              </w:rPr>
              <w:t>项目与陕西省矿产资源总体规划及规划环评相符性分析见下表：</w:t>
            </w:r>
          </w:p>
          <w:p w14:paraId="3339E10F">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表1-2   项目与规划及规划环评符合性分析一览表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3491"/>
              <w:gridCol w:w="2005"/>
              <w:gridCol w:w="833"/>
            </w:tblGrid>
            <w:tr w14:paraId="480B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Align w:val="center"/>
                </w:tcPr>
                <w:p w14:paraId="2E2DE331">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文件名称</w:t>
                  </w:r>
                </w:p>
              </w:tc>
              <w:tc>
                <w:tcPr>
                  <w:tcW w:w="3491" w:type="dxa"/>
                  <w:vAlign w:val="center"/>
                </w:tcPr>
                <w:p w14:paraId="4A075462">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规划及规划环评相关要求</w:t>
                  </w:r>
                </w:p>
              </w:tc>
              <w:tc>
                <w:tcPr>
                  <w:tcW w:w="2005" w:type="dxa"/>
                  <w:vAlign w:val="center"/>
                </w:tcPr>
                <w:p w14:paraId="42962563">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833" w:type="dxa"/>
                  <w:vAlign w:val="center"/>
                </w:tcPr>
                <w:p w14:paraId="5B619899">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0230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restart"/>
                  <w:vAlign w:val="center"/>
                </w:tcPr>
                <w:p w14:paraId="1E2B4858">
                  <w:pPr>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rPr>
                    <w:t>陕西省矿产资源总体规划（2021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2025年）</w:t>
                  </w:r>
                </w:p>
              </w:tc>
              <w:tc>
                <w:tcPr>
                  <w:tcW w:w="3491" w:type="dxa"/>
                  <w:vAlign w:val="center"/>
                </w:tcPr>
                <w:p w14:paraId="3C7AA931">
                  <w:pPr>
                    <w:jc w:val="center"/>
                    <w:rPr>
                      <w:rFonts w:hint="eastAsia" w:ascii="Times New Roman" w:hAnsi="Times New Roman" w:eastAsia="宋体" w:cs="Times New Roman"/>
                      <w:b/>
                      <w:bCs/>
                      <w:color w:val="auto"/>
                      <w:sz w:val="21"/>
                      <w:szCs w:val="21"/>
                      <w:vertAlign w:val="baseline"/>
                      <w:lang w:val="en-US" w:eastAsia="zh-CN"/>
                    </w:rPr>
                  </w:pPr>
                  <w:r>
                    <w:rPr>
                      <w:rFonts w:hint="eastAsia" w:ascii="宋体" w:hAnsi="宋体" w:eastAsia="宋体" w:cs="宋体"/>
                      <w:color w:val="auto"/>
                      <w:sz w:val="21"/>
                      <w:szCs w:val="21"/>
                      <w:lang w:val="en-US" w:eastAsia="zh-CN"/>
                    </w:rPr>
                    <w:t>推动陕北能源转型升级发展。在鄂尔多斯盆地煤油气盐赋存区，加强石油、天然气、页岩气、煤层气等能源矿产的调查评价，加大石油、天然气勘探力度，稳步提高油气产能</w:t>
                  </w:r>
                </w:p>
              </w:tc>
              <w:tc>
                <w:tcPr>
                  <w:tcW w:w="2005" w:type="dxa"/>
                  <w:vMerge w:val="restart"/>
                  <w:vAlign w:val="center"/>
                </w:tcPr>
                <w:p w14:paraId="5763FAC1">
                  <w:pPr>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项目6个气探井均位于陕甘宁鄂尔多斯盆地煤油气盐赋存区，为天然气勘探井工程，项目的实施有助于加大勘探勘探力度,促进天然气持续增产</w:t>
                  </w:r>
                </w:p>
              </w:tc>
              <w:tc>
                <w:tcPr>
                  <w:tcW w:w="833" w:type="dxa"/>
                  <w:vAlign w:val="center"/>
                </w:tcPr>
                <w:p w14:paraId="5BAF3E11">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5336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CD6EAFA">
                  <w:pPr>
                    <w:jc w:val="center"/>
                    <w:rPr>
                      <w:rFonts w:hint="eastAsia" w:ascii="Times New Roman" w:hAnsi="Times New Roman" w:eastAsia="宋体" w:cs="Times New Roman"/>
                      <w:b/>
                      <w:bCs/>
                      <w:color w:val="auto"/>
                      <w:sz w:val="21"/>
                      <w:szCs w:val="21"/>
                      <w:vertAlign w:val="baseline"/>
                      <w:lang w:val="en-US" w:eastAsia="zh-CN"/>
                    </w:rPr>
                  </w:pPr>
                </w:p>
              </w:tc>
              <w:tc>
                <w:tcPr>
                  <w:tcW w:w="3491" w:type="dxa"/>
                  <w:vAlign w:val="center"/>
                </w:tcPr>
                <w:p w14:paraId="508D6D46">
                  <w:pPr>
                    <w:jc w:val="center"/>
                    <w:rPr>
                      <w:rFonts w:hint="eastAsia" w:ascii="Times New Roman" w:hAnsi="Times New Roman" w:eastAsia="宋体" w:cs="Times New Roman"/>
                      <w:b/>
                      <w:bCs/>
                      <w:color w:val="auto"/>
                      <w:sz w:val="21"/>
                      <w:szCs w:val="21"/>
                      <w:vertAlign w:val="baseline"/>
                      <w:lang w:val="en-US" w:eastAsia="zh-CN"/>
                    </w:rPr>
                  </w:pPr>
                  <w:r>
                    <w:rPr>
                      <w:rFonts w:ascii="宋体" w:hAnsi="宋体" w:eastAsia="宋体" w:cs="宋体"/>
                      <w:color w:val="auto"/>
                      <w:sz w:val="21"/>
                      <w:szCs w:val="21"/>
                    </w:rPr>
                    <w:t>按照“稳油增气、常非并举”的部署，推进石油增储稳产、天然气增储扩产、煤层气增储上产。加强鄂尔多斯盆地油气勘查，加大页岩气、煤层气等非常规油气勘查力度，形成新的资源接续区</w:t>
                  </w:r>
                </w:p>
              </w:tc>
              <w:tc>
                <w:tcPr>
                  <w:tcW w:w="2005" w:type="dxa"/>
                  <w:vMerge w:val="continue"/>
                  <w:vAlign w:val="center"/>
                </w:tcPr>
                <w:p w14:paraId="76273509">
                  <w:pPr>
                    <w:jc w:val="center"/>
                    <w:rPr>
                      <w:rFonts w:hint="eastAsia" w:ascii="Times New Roman" w:hAnsi="Times New Roman" w:eastAsia="宋体" w:cs="Times New Roman"/>
                      <w:b/>
                      <w:bCs/>
                      <w:color w:val="auto"/>
                      <w:sz w:val="21"/>
                      <w:szCs w:val="21"/>
                      <w:vertAlign w:val="baseline"/>
                      <w:lang w:val="en-US" w:eastAsia="zh-CN"/>
                    </w:rPr>
                  </w:pPr>
                </w:p>
              </w:tc>
              <w:tc>
                <w:tcPr>
                  <w:tcW w:w="833" w:type="dxa"/>
                  <w:vAlign w:val="center"/>
                </w:tcPr>
                <w:p w14:paraId="7C22CEF6">
                  <w:pPr>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2E73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6828EDD">
                  <w:pPr>
                    <w:jc w:val="center"/>
                    <w:rPr>
                      <w:rFonts w:hint="eastAsia" w:ascii="Times New Roman" w:hAnsi="Times New Roman" w:eastAsia="宋体" w:cs="Times New Roman"/>
                      <w:b/>
                      <w:bCs/>
                      <w:color w:val="auto"/>
                      <w:sz w:val="21"/>
                      <w:szCs w:val="21"/>
                      <w:vertAlign w:val="baseline"/>
                      <w:lang w:val="en-US" w:eastAsia="zh-CN"/>
                    </w:rPr>
                  </w:pPr>
                </w:p>
              </w:tc>
              <w:tc>
                <w:tcPr>
                  <w:tcW w:w="3491" w:type="dxa"/>
                  <w:vAlign w:val="center"/>
                </w:tcPr>
                <w:p w14:paraId="5007F6E4">
                  <w:pPr>
                    <w:jc w:val="center"/>
                    <w:rPr>
                      <w:rFonts w:hint="eastAsia" w:ascii="Times New Roman" w:hAnsi="Times New Roman" w:eastAsia="宋体" w:cs="Times New Roman"/>
                      <w:b/>
                      <w:bCs/>
                      <w:color w:val="auto"/>
                      <w:sz w:val="21"/>
                      <w:szCs w:val="21"/>
                      <w:vertAlign w:val="baseline"/>
                      <w:lang w:val="en-US" w:eastAsia="zh-CN"/>
                    </w:rPr>
                  </w:pPr>
                  <w:r>
                    <w:rPr>
                      <w:rFonts w:ascii="宋体" w:hAnsi="宋体" w:eastAsia="宋体" w:cs="宋体"/>
                      <w:color w:val="auto"/>
                      <w:sz w:val="21"/>
                      <w:szCs w:val="21"/>
                    </w:rPr>
                    <w:t>生态保护红线范围内原则上禁止不符合管控要求的矿产资源勘查开采</w:t>
                  </w:r>
                </w:p>
              </w:tc>
              <w:tc>
                <w:tcPr>
                  <w:tcW w:w="2005" w:type="dxa"/>
                  <w:vAlign w:val="center"/>
                </w:tcPr>
                <w:p w14:paraId="256A8841">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根据项目榆林市投资项目选址“一张图”控制线检测</w:t>
                  </w:r>
                  <w:r>
                    <w:rPr>
                      <w:rFonts w:hint="eastAsia" w:ascii="Times New Roman" w:hAnsi="Times New Roman" w:eastAsia="宋体" w:cs="Times New Roman"/>
                      <w:color w:val="auto"/>
                      <w:sz w:val="21"/>
                      <w:szCs w:val="21"/>
                      <w:lang w:val="en-US" w:eastAsia="zh-CN"/>
                    </w:rPr>
                    <w:t>报告，项目6个气探井均不涉及生态红线</w:t>
                  </w:r>
                </w:p>
              </w:tc>
              <w:tc>
                <w:tcPr>
                  <w:tcW w:w="833" w:type="dxa"/>
                  <w:vAlign w:val="center"/>
                </w:tcPr>
                <w:p w14:paraId="559D6C8B">
                  <w:pPr>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790C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86" w:type="dxa"/>
                  <w:vMerge w:val="restart"/>
                  <w:vAlign w:val="center"/>
                </w:tcPr>
                <w:p w14:paraId="5B241791">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rPr>
                    <w:t>陕西省矿产资源总体规划（2021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2025年）</w:t>
                  </w:r>
                  <w:r>
                    <w:rPr>
                      <w:rFonts w:hint="eastAsia" w:ascii="Times New Roman" w:hAnsi="Times New Roman" w:eastAsia="宋体" w:cs="Times New Roman"/>
                      <w:color w:val="auto"/>
                      <w:sz w:val="21"/>
                      <w:szCs w:val="21"/>
                      <w:lang w:val="en-US" w:eastAsia="zh-CN"/>
                    </w:rPr>
                    <w:t>环境影响报告书</w:t>
                  </w:r>
                </w:p>
              </w:tc>
              <w:tc>
                <w:tcPr>
                  <w:tcW w:w="3491" w:type="dxa"/>
                  <w:vAlign w:val="center"/>
                </w:tcPr>
                <w:p w14:paraId="1F00972F">
                  <w:pPr>
                    <w:jc w:val="center"/>
                    <w:rPr>
                      <w:rFonts w:hint="eastAsia" w:ascii="宋体" w:hAnsi="宋体" w:eastAsia="宋体" w:cs="宋体"/>
                      <w:color w:val="auto"/>
                      <w:sz w:val="21"/>
                      <w:szCs w:val="21"/>
                      <w:lang w:val="en-US" w:eastAsia="zh-CN"/>
                    </w:rPr>
                  </w:pPr>
                  <w:r>
                    <w:rPr>
                      <w:rFonts w:ascii="宋体" w:hAnsi="宋体" w:eastAsia="宋体" w:cs="宋体"/>
                      <w:color w:val="auto"/>
                      <w:sz w:val="21"/>
                      <w:szCs w:val="21"/>
                    </w:rPr>
                    <w:t>围绕国家战略性矿产、我省优势和紧缺矿产，引导项目、资金等要素向国家规划矿区和重点勘查区投入，重点勘查石油、天然气、页岩气、煤层气、煤炭、地热、氦气、铁矿、锰矿、铜矿、镍矿、金矿、钴矿、晶质石墨、萤石等矿产</w:t>
                  </w:r>
                </w:p>
              </w:tc>
              <w:tc>
                <w:tcPr>
                  <w:tcW w:w="2005" w:type="dxa"/>
                  <w:vAlign w:val="center"/>
                </w:tcPr>
                <w:p w14:paraId="0CD66A84">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本项目位于陕西省榆林市佳县朱官寨镇，属于气探井建设项目</w:t>
                  </w:r>
                </w:p>
              </w:tc>
              <w:tc>
                <w:tcPr>
                  <w:tcW w:w="833" w:type="dxa"/>
                  <w:vAlign w:val="center"/>
                </w:tcPr>
                <w:p w14:paraId="30D2C76D">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7103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66F3FCA4">
                  <w:pPr>
                    <w:jc w:val="center"/>
                    <w:rPr>
                      <w:rFonts w:hint="eastAsia" w:ascii="Times New Roman" w:hAnsi="Times New Roman" w:eastAsia="宋体" w:cs="Times New Roman"/>
                      <w:b/>
                      <w:bCs/>
                      <w:color w:val="auto"/>
                      <w:sz w:val="21"/>
                      <w:szCs w:val="21"/>
                      <w:vertAlign w:val="baseline"/>
                      <w:lang w:val="en-US" w:eastAsia="zh-CN"/>
                    </w:rPr>
                  </w:pPr>
                </w:p>
              </w:tc>
              <w:tc>
                <w:tcPr>
                  <w:tcW w:w="3491" w:type="dxa"/>
                  <w:vAlign w:val="center"/>
                </w:tcPr>
                <w:p w14:paraId="429F93E2">
                  <w:pPr>
                    <w:jc w:val="center"/>
                    <w:rPr>
                      <w:rFonts w:hint="eastAsia" w:ascii="宋体" w:hAnsi="宋体" w:eastAsia="宋体" w:cs="宋体"/>
                      <w:color w:val="auto"/>
                      <w:sz w:val="21"/>
                      <w:szCs w:val="21"/>
                      <w:lang w:val="en-US" w:eastAsia="zh-CN"/>
                    </w:rPr>
                  </w:pPr>
                  <w:r>
                    <w:rPr>
                      <w:rFonts w:ascii="宋体" w:hAnsi="宋体" w:eastAsia="宋体" w:cs="宋体"/>
                      <w:color w:val="auto"/>
                      <w:sz w:val="21"/>
                      <w:szCs w:val="21"/>
                    </w:rPr>
                    <w:t>从环境本底调查、道路修建和场地平整、驻地建设与管理、勘查施工、环境修复等方面，降低或消除地质勘查对生态环境影响，实现地质勘查和生态环境保护协同共进</w:t>
                  </w:r>
                </w:p>
              </w:tc>
              <w:tc>
                <w:tcPr>
                  <w:tcW w:w="2005" w:type="dxa"/>
                  <w:vAlign w:val="center"/>
                </w:tcPr>
                <w:p w14:paraId="2DF9A45E">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项目勘探施工过程在划定的施工区建设，利用现有道路，土石方平衡，结束后将采取相应措施对临时占地全部进行恢复</w:t>
                  </w:r>
                </w:p>
              </w:tc>
              <w:tc>
                <w:tcPr>
                  <w:tcW w:w="833" w:type="dxa"/>
                  <w:vAlign w:val="center"/>
                </w:tcPr>
                <w:p w14:paraId="00A4F1F8">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7878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4D416F11">
                  <w:pPr>
                    <w:jc w:val="center"/>
                    <w:rPr>
                      <w:rFonts w:hint="eastAsia" w:ascii="Times New Roman" w:hAnsi="Times New Roman" w:eastAsia="宋体" w:cs="Times New Roman"/>
                      <w:b/>
                      <w:bCs/>
                      <w:color w:val="auto"/>
                      <w:sz w:val="21"/>
                      <w:szCs w:val="21"/>
                      <w:vertAlign w:val="baseline"/>
                      <w:lang w:val="en-US" w:eastAsia="zh-CN"/>
                    </w:rPr>
                  </w:pPr>
                </w:p>
              </w:tc>
              <w:tc>
                <w:tcPr>
                  <w:tcW w:w="3491" w:type="dxa"/>
                  <w:vAlign w:val="center"/>
                </w:tcPr>
                <w:p w14:paraId="3119520A">
                  <w:pPr>
                    <w:jc w:val="center"/>
                    <w:rPr>
                      <w:rFonts w:hint="eastAsia" w:ascii="宋体" w:hAnsi="宋体" w:eastAsia="宋体" w:cs="宋体"/>
                      <w:color w:val="auto"/>
                      <w:sz w:val="21"/>
                      <w:szCs w:val="21"/>
                      <w:lang w:val="en-US" w:eastAsia="zh-CN"/>
                    </w:rPr>
                  </w:pPr>
                  <w:r>
                    <w:rPr>
                      <w:rFonts w:ascii="宋体" w:hAnsi="宋体" w:eastAsia="宋体" w:cs="宋体"/>
                      <w:color w:val="auto"/>
                      <w:sz w:val="21"/>
                      <w:szCs w:val="21"/>
                    </w:rPr>
                    <w:t>生态保护红线原则上按禁止开发区域的要求进行管理，严禁不符合主体功能定位的各类开发活动，严禁任意改变用途，确保区域生态保护红线的生态功能不降低、面积不减少、性质不改变，维护国家生态安全。认真贯彻落实《中办国办关于划定并严守生态保护红线的若干意见》，严守生态保护红线，依法遵守环境敏感区规定，加强规划空间管制，合法开展矿产资源勘查和开发利用与保护，确保包括生态保护红线在内的生态空间面积不减少、功能不减低、性质不改变</w:t>
                  </w:r>
                </w:p>
              </w:tc>
              <w:tc>
                <w:tcPr>
                  <w:tcW w:w="2005" w:type="dxa"/>
                  <w:vAlign w:val="center"/>
                </w:tcPr>
                <w:p w14:paraId="0F0B1E95">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根据榆林市投资项目选址“一张图”控制线检测报告，项目6个气探井未占用生态保护红线</w:t>
                  </w:r>
                </w:p>
              </w:tc>
              <w:tc>
                <w:tcPr>
                  <w:tcW w:w="833" w:type="dxa"/>
                  <w:vAlign w:val="center"/>
                </w:tcPr>
                <w:p w14:paraId="51CB18EE">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0E5B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7395541">
                  <w:pPr>
                    <w:jc w:val="center"/>
                    <w:rPr>
                      <w:rFonts w:hint="eastAsia" w:ascii="Times New Roman" w:hAnsi="Times New Roman" w:eastAsia="宋体" w:cs="Times New Roman"/>
                      <w:b/>
                      <w:bCs/>
                      <w:color w:val="auto"/>
                      <w:sz w:val="21"/>
                      <w:szCs w:val="21"/>
                      <w:vertAlign w:val="baseline"/>
                      <w:lang w:val="en-US" w:eastAsia="zh-CN"/>
                    </w:rPr>
                  </w:pPr>
                </w:p>
              </w:tc>
              <w:tc>
                <w:tcPr>
                  <w:tcW w:w="3491" w:type="dxa"/>
                  <w:vAlign w:val="center"/>
                </w:tcPr>
                <w:p w14:paraId="1FC6D208">
                  <w:pPr>
                    <w:jc w:val="center"/>
                    <w:rPr>
                      <w:rFonts w:hint="eastAsia" w:ascii="宋体" w:hAnsi="宋体" w:eastAsia="宋体" w:cs="宋体"/>
                      <w:color w:val="auto"/>
                      <w:sz w:val="21"/>
                      <w:szCs w:val="21"/>
                      <w:lang w:val="en-US" w:eastAsia="zh-CN"/>
                    </w:rPr>
                  </w:pPr>
                  <w:r>
                    <w:rPr>
                      <w:rFonts w:ascii="宋体" w:hAnsi="宋体" w:eastAsia="宋体" w:cs="宋体"/>
                      <w:color w:val="auto"/>
                      <w:sz w:val="21"/>
                      <w:szCs w:val="21"/>
                    </w:rPr>
                    <w:t>对位于一般生态空间和水、大气、土壤等优先保护区内现有矿业权，矿产资源勘查开发应严格落实各类生态空间和优先保护区的管控要求，严格控制矿产资源勘查开采活动范围和强度，保证该单元生态系统结构和主要功能不受破坏</w:t>
                  </w:r>
                </w:p>
              </w:tc>
              <w:tc>
                <w:tcPr>
                  <w:tcW w:w="2005" w:type="dxa"/>
                  <w:vAlign w:val="center"/>
                </w:tcPr>
                <w:p w14:paraId="42AD051D">
                  <w:pPr>
                    <w:jc w:val="center"/>
                    <w:rPr>
                      <w:rFonts w:hint="eastAsia" w:ascii="Times New Roman" w:hAnsi="Times New Roman" w:eastAsia="宋体" w:cs="Times New Roman"/>
                      <w:b/>
                      <w:bCs/>
                      <w:color w:val="auto"/>
                      <w:sz w:val="21"/>
                      <w:szCs w:val="21"/>
                      <w:vertAlign w:val="baseline"/>
                      <w:lang w:val="en-US" w:eastAsia="zh-CN"/>
                    </w:rPr>
                  </w:pPr>
                  <w:r>
                    <w:rPr>
                      <w:rFonts w:ascii="宋体" w:hAnsi="宋体" w:eastAsia="宋体" w:cs="宋体"/>
                      <w:color w:val="auto"/>
                      <w:sz w:val="21"/>
                      <w:szCs w:val="21"/>
                    </w:rPr>
                    <w:t>根据《陕西省“三线一单”生态环境管控单元对照分析报告》，</w:t>
                  </w:r>
                  <w:r>
                    <w:rPr>
                      <w:rFonts w:hint="eastAsia" w:ascii="宋体" w:hAnsi="宋体" w:eastAsia="宋体" w:cs="宋体"/>
                      <w:color w:val="auto"/>
                      <w:sz w:val="21"/>
                      <w:szCs w:val="21"/>
                      <w:lang w:val="en-US" w:eastAsia="zh-CN"/>
                    </w:rPr>
                    <w:t>本项目涉及一般管控单元、优先保护单元</w:t>
                  </w:r>
                  <w:r>
                    <w:rPr>
                      <w:rFonts w:ascii="宋体" w:hAnsi="宋体" w:eastAsia="宋体" w:cs="宋体"/>
                      <w:color w:val="auto"/>
                      <w:sz w:val="21"/>
                      <w:szCs w:val="21"/>
                    </w:rPr>
                    <w:t>，项目严格落实污染治理设施，不会破坏生态系统的结构和主要功能</w:t>
                  </w:r>
                </w:p>
              </w:tc>
              <w:tc>
                <w:tcPr>
                  <w:tcW w:w="833" w:type="dxa"/>
                  <w:vAlign w:val="center"/>
                </w:tcPr>
                <w:p w14:paraId="79A47309">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20E2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569FB8D">
                  <w:pPr>
                    <w:jc w:val="center"/>
                    <w:rPr>
                      <w:rFonts w:hint="eastAsia" w:ascii="Times New Roman" w:hAnsi="Times New Roman" w:eastAsia="宋体" w:cs="Times New Roman"/>
                      <w:b/>
                      <w:bCs/>
                      <w:color w:val="auto"/>
                      <w:sz w:val="21"/>
                      <w:szCs w:val="21"/>
                      <w:vertAlign w:val="baseline"/>
                      <w:lang w:val="en-US" w:eastAsia="zh-CN"/>
                    </w:rPr>
                  </w:pPr>
                </w:p>
              </w:tc>
              <w:tc>
                <w:tcPr>
                  <w:tcW w:w="3491" w:type="dxa"/>
                  <w:vAlign w:val="center"/>
                </w:tcPr>
                <w:p w14:paraId="135BD1BB">
                  <w:pPr>
                    <w:jc w:val="center"/>
                    <w:rPr>
                      <w:rFonts w:hint="eastAsia" w:ascii="Times New Roman" w:hAnsi="Times New Roman" w:eastAsia="宋体" w:cs="Times New Roman"/>
                      <w:b/>
                      <w:bCs/>
                      <w:color w:val="auto"/>
                      <w:sz w:val="21"/>
                      <w:szCs w:val="21"/>
                      <w:vertAlign w:val="baseline"/>
                      <w:lang w:val="en-US" w:eastAsia="zh-CN"/>
                    </w:rPr>
                  </w:pPr>
                  <w:r>
                    <w:rPr>
                      <w:rFonts w:ascii="宋体" w:hAnsi="宋体" w:eastAsia="宋体" w:cs="宋体"/>
                      <w:color w:val="auto"/>
                      <w:sz w:val="21"/>
                      <w:szCs w:val="21"/>
                    </w:rPr>
                    <w:t>探矿活动结束后，应根据景观相似原则，对探矿活动造成的土壤、植被和地表景观破坏进行恢复</w:t>
                  </w:r>
                </w:p>
              </w:tc>
              <w:tc>
                <w:tcPr>
                  <w:tcW w:w="2005" w:type="dxa"/>
                  <w:vAlign w:val="center"/>
                </w:tcPr>
                <w:p w14:paraId="5534B909">
                  <w:pPr>
                    <w:jc w:val="center"/>
                    <w:rPr>
                      <w:rFonts w:hint="default" w:ascii="Times New Roman" w:hAnsi="Times New Roman" w:eastAsia="宋体" w:cs="Times New Roman"/>
                      <w:b/>
                      <w:bCs/>
                      <w:color w:val="auto"/>
                      <w:sz w:val="21"/>
                      <w:szCs w:val="21"/>
                      <w:vertAlign w:val="baseline"/>
                      <w:lang w:val="en-US" w:eastAsia="zh-CN"/>
                    </w:rPr>
                  </w:pPr>
                  <w:r>
                    <w:rPr>
                      <w:rFonts w:hint="eastAsia" w:ascii="宋体" w:hAnsi="宋体" w:eastAsia="宋体" w:cs="宋体"/>
                      <w:color w:val="auto"/>
                      <w:sz w:val="21"/>
                      <w:szCs w:val="21"/>
                      <w:lang w:val="en-US" w:eastAsia="zh-CN"/>
                    </w:rPr>
                    <w:t>项目施工结束后将采取相应措施对临时占地全部进行恢复</w:t>
                  </w:r>
                </w:p>
              </w:tc>
              <w:tc>
                <w:tcPr>
                  <w:tcW w:w="833" w:type="dxa"/>
                  <w:vAlign w:val="center"/>
                </w:tcPr>
                <w:p w14:paraId="385A04BF">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2E8D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Align w:val="center"/>
                </w:tcPr>
                <w:p w14:paraId="2EC36C8A">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陕西省矿产资源总体规划</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2025年）</w:t>
                  </w:r>
                  <w:r>
                    <w:rPr>
                      <w:rFonts w:hint="eastAsia" w:ascii="Times New Roman" w:hAnsi="Times New Roman" w:eastAsia="宋体" w:cs="Times New Roman"/>
                      <w:color w:val="auto"/>
                      <w:sz w:val="21"/>
                      <w:szCs w:val="21"/>
                      <w:lang w:val="en-US" w:eastAsia="zh-CN"/>
                    </w:rPr>
                    <w:t>环境影响报告书审查意见</w:t>
                  </w:r>
                </w:p>
              </w:tc>
              <w:tc>
                <w:tcPr>
                  <w:tcW w:w="3491" w:type="dxa"/>
                  <w:vAlign w:val="center"/>
                </w:tcPr>
                <w:p w14:paraId="6C38D622">
                  <w:pPr>
                    <w:jc w:val="center"/>
                    <w:rPr>
                      <w:rFonts w:hint="eastAsia" w:ascii="Times New Roman" w:hAnsi="Times New Roman" w:eastAsia="宋体" w:cs="Times New Roman"/>
                      <w:b/>
                      <w:bCs/>
                      <w:color w:val="auto"/>
                      <w:sz w:val="21"/>
                      <w:szCs w:val="21"/>
                      <w:vertAlign w:val="baseline"/>
                      <w:lang w:val="en-US" w:eastAsia="zh-CN"/>
                    </w:rPr>
                  </w:pPr>
                  <w:r>
                    <w:rPr>
                      <w:rFonts w:ascii="宋体" w:hAnsi="宋体" w:eastAsia="宋体" w:cs="宋体"/>
                      <w:color w:val="auto"/>
                      <w:sz w:val="21"/>
                      <w:szCs w:val="21"/>
                    </w:rPr>
                    <w:t>严格环境准入，保护区域生态功能。按照陕西省生态环境分区管控方案、生态环境保护规划等新要求，与大气环境优先保护区、水环境优先保护区、农用地优先保护区等存在空间重叠的现有矿业权、勘查规划区块、开采规划区块等，应严格执行相应管控要求，控制勘查、开采活动范围和强度，严格执行绿色勘查、绿色开采及矿山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有关生态功能区的不良环境影响</w:t>
                  </w:r>
                </w:p>
              </w:tc>
              <w:tc>
                <w:tcPr>
                  <w:tcW w:w="2005" w:type="dxa"/>
                  <w:vAlign w:val="center"/>
                </w:tcPr>
                <w:p w14:paraId="1F95287D">
                  <w:pPr>
                    <w:jc w:val="center"/>
                    <w:rPr>
                      <w:rFonts w:hint="eastAsia" w:ascii="Times New Roman" w:hAnsi="Times New Roman" w:eastAsia="宋体" w:cs="Times New Roman"/>
                      <w:b/>
                      <w:bCs/>
                      <w:color w:val="auto"/>
                      <w:sz w:val="21"/>
                      <w:szCs w:val="21"/>
                      <w:vertAlign w:val="baseline"/>
                      <w:lang w:val="en-US" w:eastAsia="zh-CN"/>
                    </w:rPr>
                  </w:pPr>
                  <w:r>
                    <w:rPr>
                      <w:rFonts w:hint="eastAsia" w:ascii="宋体" w:hAnsi="宋体" w:eastAsia="宋体" w:cs="宋体"/>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6个</w:t>
                  </w:r>
                  <w:r>
                    <w:rPr>
                      <w:rFonts w:hint="eastAsia" w:ascii="宋体" w:hAnsi="宋体" w:eastAsia="宋体" w:cs="宋体"/>
                      <w:color w:val="auto"/>
                      <w:sz w:val="21"/>
                      <w:szCs w:val="21"/>
                      <w:highlight w:val="none"/>
                      <w:lang w:val="en-US" w:eastAsia="zh-CN"/>
                    </w:rPr>
                    <w:t>气探井不占用禁止开发区，不涉及生物多样性保护优先区域、国家重点生态功能区、国家重要生态功能区、水源涵养区、水土流失重点防治区等区域矿产资源开发活动；</w:t>
                  </w:r>
                  <w:r>
                    <w:rPr>
                      <w:rFonts w:hint="eastAsia" w:ascii="宋体" w:hAnsi="宋体" w:eastAsia="宋体" w:cs="宋体"/>
                      <w:color w:val="auto"/>
                      <w:sz w:val="21"/>
                      <w:szCs w:val="21"/>
                      <w:lang w:val="en-US" w:eastAsia="zh-CN"/>
                    </w:rPr>
                    <w:t>项目仅为天然气勘探，勘探结束后将采取相应措施进行恢复，可防止加剧对有关生态功能区的不良环境影响</w:t>
                  </w:r>
                </w:p>
              </w:tc>
              <w:tc>
                <w:tcPr>
                  <w:tcW w:w="833" w:type="dxa"/>
                  <w:vAlign w:val="center"/>
                </w:tcPr>
                <w:p w14:paraId="64214FEB">
                  <w:pPr>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bl>
          <w:p w14:paraId="1EB50A77">
            <w:pPr>
              <w:jc w:val="center"/>
              <w:rPr>
                <w:rFonts w:hint="default" w:ascii="Times New Roman" w:hAnsi="Times New Roman" w:eastAsia="宋体" w:cs="Times New Roman"/>
                <w:color w:val="auto"/>
                <w:sz w:val="24"/>
                <w:szCs w:val="24"/>
                <w:vertAlign w:val="baseline"/>
                <w:lang w:val="en-US" w:eastAsia="zh-CN"/>
              </w:rPr>
            </w:pPr>
          </w:p>
        </w:tc>
      </w:tr>
      <w:tr w14:paraId="267F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7" w:type="dxa"/>
            <w:vAlign w:val="top"/>
          </w:tcPr>
          <w:p w14:paraId="004A8030">
            <w:pPr>
              <w:jc w:val="center"/>
              <w:rPr>
                <w:rFonts w:hint="default" w:ascii="Times New Roman" w:hAnsi="Times New Roman" w:eastAsia="宋体" w:cs="Times New Roman"/>
                <w:color w:val="auto"/>
                <w:sz w:val="21"/>
                <w:szCs w:val="21"/>
                <w:vertAlign w:val="baseline"/>
                <w:lang w:val="en-US" w:eastAsia="zh-CN"/>
              </w:rPr>
            </w:pPr>
          </w:p>
          <w:p w14:paraId="08C1AA3C">
            <w:pPr>
              <w:jc w:val="center"/>
              <w:rPr>
                <w:rFonts w:hint="default" w:ascii="Times New Roman" w:hAnsi="Times New Roman" w:eastAsia="宋体" w:cs="Times New Roman"/>
                <w:color w:val="auto"/>
                <w:sz w:val="21"/>
                <w:szCs w:val="21"/>
                <w:vertAlign w:val="baseline"/>
                <w:lang w:val="en-US" w:eastAsia="zh-CN"/>
              </w:rPr>
            </w:pPr>
          </w:p>
          <w:p w14:paraId="6D894A38">
            <w:pPr>
              <w:jc w:val="center"/>
              <w:rPr>
                <w:rFonts w:hint="default" w:ascii="Times New Roman" w:hAnsi="Times New Roman" w:eastAsia="宋体" w:cs="Times New Roman"/>
                <w:color w:val="auto"/>
                <w:sz w:val="21"/>
                <w:szCs w:val="21"/>
                <w:vertAlign w:val="baseline"/>
                <w:lang w:val="en-US" w:eastAsia="zh-CN"/>
              </w:rPr>
            </w:pPr>
          </w:p>
          <w:p w14:paraId="0C1EBAC3">
            <w:pPr>
              <w:jc w:val="center"/>
              <w:rPr>
                <w:rFonts w:hint="default" w:ascii="Times New Roman" w:hAnsi="Times New Roman" w:eastAsia="宋体" w:cs="Times New Roman"/>
                <w:color w:val="auto"/>
                <w:sz w:val="21"/>
                <w:szCs w:val="21"/>
                <w:vertAlign w:val="baseline"/>
                <w:lang w:val="en-US" w:eastAsia="zh-CN"/>
              </w:rPr>
            </w:pPr>
          </w:p>
          <w:p w14:paraId="26FBE00B">
            <w:pPr>
              <w:jc w:val="center"/>
              <w:rPr>
                <w:rFonts w:hint="default" w:ascii="Times New Roman" w:hAnsi="Times New Roman" w:eastAsia="宋体" w:cs="Times New Roman"/>
                <w:color w:val="auto"/>
                <w:sz w:val="21"/>
                <w:szCs w:val="21"/>
                <w:vertAlign w:val="baseline"/>
                <w:lang w:val="en-US" w:eastAsia="zh-CN"/>
              </w:rPr>
            </w:pPr>
          </w:p>
          <w:p w14:paraId="33A3CBD1">
            <w:pPr>
              <w:jc w:val="center"/>
              <w:rPr>
                <w:rFonts w:hint="default" w:ascii="Times New Roman" w:hAnsi="Times New Roman" w:eastAsia="宋体" w:cs="Times New Roman"/>
                <w:color w:val="auto"/>
                <w:sz w:val="21"/>
                <w:szCs w:val="21"/>
                <w:vertAlign w:val="baseline"/>
                <w:lang w:val="en-US" w:eastAsia="zh-CN"/>
              </w:rPr>
            </w:pPr>
          </w:p>
          <w:p w14:paraId="50D5AD24">
            <w:pPr>
              <w:jc w:val="center"/>
              <w:rPr>
                <w:rFonts w:hint="default" w:ascii="Times New Roman" w:hAnsi="Times New Roman" w:eastAsia="宋体" w:cs="Times New Roman"/>
                <w:color w:val="auto"/>
                <w:sz w:val="21"/>
                <w:szCs w:val="21"/>
                <w:vertAlign w:val="baseline"/>
                <w:lang w:val="en-US" w:eastAsia="zh-CN"/>
              </w:rPr>
            </w:pPr>
          </w:p>
          <w:p w14:paraId="01F414E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其他符合性分析</w:t>
            </w:r>
          </w:p>
        </w:tc>
        <w:tc>
          <w:tcPr>
            <w:tcW w:w="8041" w:type="dxa"/>
            <w:gridSpan w:val="3"/>
            <w:vAlign w:val="top"/>
          </w:tcPr>
          <w:p w14:paraId="561C00B1">
            <w:pPr>
              <w:ind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1、产业政策符合性分析</w:t>
            </w:r>
          </w:p>
          <w:p w14:paraId="6FC3C0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本项目属于天然气勘探项目，根据《产业结构调整指导目录》（2024年本），属于鼓励类中的“七、石油天然气-1、石油天然气开采：常规石油、天然气勘探与开采”。因此，项目建设符合国家和地方产业政策。</w:t>
            </w:r>
            <w:r>
              <w:rPr>
                <w:rFonts w:hint="default" w:ascii="Times New Roman" w:hAnsi="Times New Roman" w:cs="Times New Roman"/>
                <w:color w:val="auto"/>
                <w:sz w:val="24"/>
                <w:szCs w:val="24"/>
              </w:rPr>
              <w:t>对照《市场准入负面清单（2022年版）》，本项目不属于禁止准入类，满足许可准入类“（二）采矿业”的准入要求。</w:t>
            </w:r>
          </w:p>
          <w:p w14:paraId="1BB795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榆林市石油天然气开发协调领导小组办公室出具了本项目各井场建设的计划通知，见下表：</w:t>
            </w:r>
          </w:p>
          <w:p w14:paraId="6DED87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表1-3 本项目天然气井场建设计划来源一览表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4265"/>
              <w:gridCol w:w="2606"/>
            </w:tblGrid>
            <w:tr w14:paraId="2602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69EB0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729" w:type="pct"/>
                  <w:vAlign w:val="center"/>
                </w:tcPr>
                <w:p w14:paraId="0DB8E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文件名称</w:t>
                  </w:r>
                </w:p>
              </w:tc>
              <w:tc>
                <w:tcPr>
                  <w:tcW w:w="1667" w:type="pct"/>
                  <w:vAlign w:val="center"/>
                </w:tcPr>
                <w:p w14:paraId="4E0D7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本项目井场</w:t>
                  </w:r>
                </w:p>
              </w:tc>
            </w:tr>
            <w:tr w14:paraId="1D66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72B8D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729" w:type="pct"/>
                  <w:vAlign w:val="center"/>
                </w:tcPr>
                <w:p w14:paraId="67A8F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《榆林市石油天然气开发协调领导小组办公室关于同意佳县境内米107-08等7个天然气井场建设计划的通知》（榆油协办发〔2025〕6号）</w:t>
                  </w:r>
                </w:p>
              </w:tc>
              <w:tc>
                <w:tcPr>
                  <w:tcW w:w="1667" w:type="pct"/>
                  <w:vAlign w:val="center"/>
                </w:tcPr>
                <w:p w14:paraId="6A1C2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米107-6MX、米107-10MX</w:t>
                  </w:r>
                </w:p>
              </w:tc>
            </w:tr>
            <w:tr w14:paraId="3447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07AF31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729" w:type="pct"/>
                  <w:vAlign w:val="center"/>
                </w:tcPr>
                <w:p w14:paraId="59C19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《榆林市石油天然气开发协调领导小组办公室关于同意天然气项目建设计划的通知》（榆油协办发〔2025〕17号）</w:t>
                  </w:r>
                </w:p>
              </w:tc>
              <w:tc>
                <w:tcPr>
                  <w:tcW w:w="1667" w:type="pct"/>
                  <w:vAlign w:val="center"/>
                </w:tcPr>
                <w:p w14:paraId="1FAD7F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米107-12M</w:t>
                  </w:r>
                </w:p>
              </w:tc>
            </w:tr>
            <w:tr w14:paraId="3865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7D23DB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729" w:type="pct"/>
                  <w:vAlign w:val="center"/>
                </w:tcPr>
                <w:p w14:paraId="5FBDC1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《榆林市石油天然气开发协调领导小组办公室关于同意佳县境内米107-21等31个天然气井场建设计划的通知》（榆油协办发〔2025〕7号）</w:t>
                  </w:r>
                </w:p>
              </w:tc>
              <w:tc>
                <w:tcPr>
                  <w:tcW w:w="1667" w:type="pct"/>
                  <w:vAlign w:val="center"/>
                </w:tcPr>
                <w:p w14:paraId="77C51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米107-15M、米107-34M</w:t>
                  </w:r>
                </w:p>
              </w:tc>
            </w:tr>
          </w:tbl>
          <w:p w14:paraId="63A528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另外，根据《2025年第二次油气工作专题会会议纪要》（佳县人民政府办公室第18次，2925年4月24日）、《2025年第二次油气工作专题会会议纪要》（佳县人民政府办公室第17次，2025年3月23日），原则同意长庆油田分公司天然气评价项目部55个井场建设，本项目涉及朱官寨镇6个井场，分别为107-6MX、107-10MX、米107-11M、米107-12M、米107-15M、米107-34M。</w:t>
            </w:r>
          </w:p>
          <w:p w14:paraId="00EC4E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综上，本项目符合现行国家及地方产业政策要求。</w:t>
            </w:r>
          </w:p>
          <w:p w14:paraId="5CC8142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2、项目与榆林市“多规合一”符合性分析</w:t>
            </w:r>
          </w:p>
          <w:p w14:paraId="4E0000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根据榆林市“多规合一”辅助决策服务窗口针对本项目出具的《榆林市投资项目选址“一张图”控制线检测报告》（编号：202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2588</w:t>
            </w:r>
            <w:r>
              <w:rPr>
                <w:rFonts w:hint="default" w:ascii="Times New Roman" w:hAnsi="Times New Roman" w:eastAsia="宋体" w:cs="Times New Roman"/>
                <w:color w:val="auto"/>
                <w:sz w:val="24"/>
                <w:szCs w:val="24"/>
                <w:vertAlign w:val="baseline"/>
                <w:lang w:val="en-US" w:eastAsia="zh-CN"/>
              </w:rPr>
              <w:t>）号、202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2589</w:t>
            </w:r>
            <w:r>
              <w:rPr>
                <w:rFonts w:hint="default" w:ascii="Times New Roman" w:hAnsi="Times New Roman" w:eastAsia="宋体" w:cs="Times New Roman"/>
                <w:color w:val="auto"/>
                <w:sz w:val="24"/>
                <w:szCs w:val="24"/>
                <w:vertAlign w:val="baseline"/>
                <w:lang w:val="en-US" w:eastAsia="zh-CN"/>
              </w:rPr>
              <w:t>）号</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vertAlign w:val="baseline"/>
                <w:lang w:val="en-US" w:eastAsia="zh-CN"/>
              </w:rPr>
              <w:t>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2590</w:t>
            </w:r>
            <w:r>
              <w:rPr>
                <w:rFonts w:hint="default" w:ascii="Times New Roman" w:hAnsi="Times New Roman" w:eastAsia="宋体" w:cs="Times New Roman"/>
                <w:color w:val="auto"/>
                <w:sz w:val="24"/>
                <w:szCs w:val="24"/>
                <w:vertAlign w:val="baseline"/>
                <w:lang w:val="en-US" w:eastAsia="zh-CN"/>
              </w:rPr>
              <w:t>）号、202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2591</w:t>
            </w:r>
            <w:r>
              <w:rPr>
                <w:rFonts w:hint="default" w:ascii="Times New Roman" w:hAnsi="Times New Roman" w:eastAsia="宋体" w:cs="Times New Roman"/>
                <w:color w:val="auto"/>
                <w:sz w:val="24"/>
                <w:szCs w:val="24"/>
                <w:vertAlign w:val="baseline"/>
                <w:lang w:val="en-US" w:eastAsia="zh-CN"/>
              </w:rPr>
              <w:t>）号、202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2592</w:t>
            </w:r>
            <w:r>
              <w:rPr>
                <w:rFonts w:hint="default" w:ascii="Times New Roman" w:hAnsi="Times New Roman" w:eastAsia="宋体" w:cs="Times New Roman"/>
                <w:color w:val="auto"/>
                <w:sz w:val="24"/>
                <w:szCs w:val="24"/>
                <w:vertAlign w:val="baseline"/>
                <w:lang w:val="en-US" w:eastAsia="zh-CN"/>
              </w:rPr>
              <w:t>）号</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vertAlign w:val="baseline"/>
                <w:lang w:val="en-US" w:eastAsia="zh-CN"/>
              </w:rPr>
              <w:t>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2594</w:t>
            </w:r>
            <w:r>
              <w:rPr>
                <w:rFonts w:hint="default" w:ascii="Times New Roman" w:hAnsi="Times New Roman" w:eastAsia="宋体" w:cs="Times New Roman"/>
                <w:color w:val="auto"/>
                <w:sz w:val="24"/>
                <w:szCs w:val="24"/>
                <w:vertAlign w:val="baseline"/>
                <w:lang w:val="en-US" w:eastAsia="zh-CN"/>
              </w:rPr>
              <w:t>）号，详见附件）可知，本项目占地范围不涉及生态保护红线、永久基本农田及文物保护线，项目相关检测符合性分析见表1-</w:t>
            </w:r>
            <w:r>
              <w:rPr>
                <w:rFonts w:hint="eastAsia" w:ascii="Times New Roman" w:hAnsi="Times New Roman" w:eastAsia="宋体"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w:t>
            </w:r>
          </w:p>
          <w:p w14:paraId="71AD030C">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p>
          <w:p w14:paraId="3D172C6E">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eastAsia="宋体" w:cs="Times New Roman"/>
                <w:b/>
                <w:bCs/>
                <w:color w:val="auto"/>
                <w:kern w:val="2"/>
                <w:sz w:val="21"/>
                <w:szCs w:val="21"/>
                <w:highlight w:val="none"/>
                <w:lang w:val="en-US" w:eastAsia="zh-CN" w:bidi="ar-SA"/>
              </w:rPr>
              <w:t xml:space="preserve">  本项目与榆林市“一张图”控制线检测报告符合性分析表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94"/>
              <w:gridCol w:w="2840"/>
              <w:gridCol w:w="1751"/>
              <w:gridCol w:w="1455"/>
              <w:gridCol w:w="669"/>
            </w:tblGrid>
            <w:tr w14:paraId="5FAD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noWrap w:val="0"/>
                  <w:vAlign w:val="center"/>
                </w:tcPr>
                <w:p w14:paraId="42CA24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井场</w:t>
                  </w:r>
                </w:p>
              </w:tc>
              <w:tc>
                <w:tcPr>
                  <w:tcW w:w="1818" w:type="pct"/>
                  <w:noWrap w:val="0"/>
                  <w:vAlign w:val="center"/>
                </w:tcPr>
                <w:p w14:paraId="397901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控制线名称</w:t>
                  </w:r>
                </w:p>
              </w:tc>
              <w:tc>
                <w:tcPr>
                  <w:tcW w:w="1121" w:type="pct"/>
                  <w:noWrap w:val="0"/>
                  <w:vAlign w:val="center"/>
                </w:tcPr>
                <w:p w14:paraId="6BA227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本项目情况</w:t>
                  </w:r>
                </w:p>
              </w:tc>
              <w:tc>
                <w:tcPr>
                  <w:tcW w:w="931" w:type="pct"/>
                  <w:noWrap w:val="0"/>
                  <w:vAlign w:val="center"/>
                </w:tcPr>
                <w:p w14:paraId="7C9098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采取措施</w:t>
                  </w:r>
                </w:p>
              </w:tc>
              <w:tc>
                <w:tcPr>
                  <w:tcW w:w="428" w:type="pct"/>
                  <w:noWrap w:val="0"/>
                  <w:vAlign w:val="center"/>
                </w:tcPr>
                <w:p w14:paraId="19A450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5C99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noWrap w:val="0"/>
                  <w:vAlign w:val="center"/>
                </w:tcPr>
                <w:p w14:paraId="3F5FA2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米107-6MX井</w:t>
                  </w:r>
                </w:p>
              </w:tc>
              <w:tc>
                <w:tcPr>
                  <w:tcW w:w="1818" w:type="pct"/>
                  <w:noWrap w:val="0"/>
                  <w:vAlign w:val="center"/>
                </w:tcPr>
                <w:p w14:paraId="6F40B3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noWrap w:val="0"/>
                  <w:vAlign w:val="center"/>
                </w:tcPr>
                <w:p w14:paraId="269077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不涉及</w:t>
                  </w:r>
                </w:p>
              </w:tc>
              <w:tc>
                <w:tcPr>
                  <w:tcW w:w="931" w:type="pct"/>
                  <w:noWrap w:val="0"/>
                  <w:vAlign w:val="center"/>
                </w:tcPr>
                <w:p w14:paraId="67E7E8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w:t>
                  </w:r>
                </w:p>
              </w:tc>
              <w:tc>
                <w:tcPr>
                  <w:tcW w:w="428" w:type="pct"/>
                  <w:noWrap w:val="0"/>
                  <w:vAlign w:val="center"/>
                </w:tcPr>
                <w:p w14:paraId="4122C0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7371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70A850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35231A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noWrap w:val="0"/>
                  <w:vAlign w:val="center"/>
                </w:tcPr>
                <w:p w14:paraId="2EBC27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38AF06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6D2868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5D62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398396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35B46D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noWrap w:val="0"/>
                  <w:vAlign w:val="center"/>
                </w:tcPr>
                <w:p w14:paraId="3D6973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5C4800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6A43E2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1D86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5417A6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7D63E0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noWrap w:val="0"/>
                  <w:vAlign w:val="center"/>
                </w:tcPr>
                <w:p w14:paraId="05396C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230AD8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76E7DA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552D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6" w:hRule="atLeast"/>
                <w:jc w:val="center"/>
              </w:trPr>
              <w:tc>
                <w:tcPr>
                  <w:tcW w:w="700" w:type="pct"/>
                  <w:vMerge w:val="continue"/>
                  <w:noWrap w:val="0"/>
                  <w:vAlign w:val="center"/>
                </w:tcPr>
                <w:p w14:paraId="734DD9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41CB32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noWrap w:val="0"/>
                  <w:vAlign w:val="center"/>
                </w:tcPr>
                <w:p w14:paraId="7996DB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占用林地</w:t>
                  </w:r>
                  <w:r>
                    <w:rPr>
                      <w:rFonts w:hint="eastAsia" w:ascii="Times New Roman" w:hAnsi="Times New Roman" w:eastAsia="宋体" w:cs="Times New Roman"/>
                      <w:bCs/>
                      <w:color w:val="auto"/>
                      <w:sz w:val="21"/>
                      <w:szCs w:val="21"/>
                      <w:vertAlign w:val="baseline"/>
                      <w:lang w:val="en-US" w:eastAsia="zh-CN"/>
                    </w:rPr>
                    <w:t>0.7946</w:t>
                  </w:r>
                  <w:r>
                    <w:rPr>
                      <w:rFonts w:hint="default" w:ascii="Times New Roman" w:hAnsi="Times New Roman" w:eastAsia="宋体" w:cs="Times New Roman"/>
                      <w:bCs/>
                      <w:color w:val="auto"/>
                      <w:sz w:val="21"/>
                      <w:szCs w:val="21"/>
                      <w:vertAlign w:val="baseline"/>
                      <w:lang w:val="en-US" w:eastAsia="zh-CN"/>
                    </w:rPr>
                    <w:t>公顷</w:t>
                  </w:r>
                </w:p>
              </w:tc>
              <w:tc>
                <w:tcPr>
                  <w:tcW w:w="931" w:type="pct"/>
                  <w:noWrap w:val="0"/>
                  <w:vAlign w:val="center"/>
                </w:tcPr>
                <w:p w14:paraId="39019D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noWrap w:val="0"/>
                  <w:vAlign w:val="center"/>
                </w:tcPr>
                <w:p w14:paraId="29B80A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3E4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0F886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0CA09C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noWrap w:val="0"/>
                  <w:vAlign w:val="center"/>
                </w:tcPr>
                <w:p w14:paraId="0D87EC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16FB59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0A6042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363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FE9C2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2D3C1A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noWrap w:val="0"/>
                  <w:vAlign w:val="center"/>
                </w:tcPr>
                <w:p w14:paraId="123696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054604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2CC84B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492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6E2781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27C2EE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noWrap w:val="0"/>
                  <w:vAlign w:val="center"/>
                </w:tcPr>
                <w:p w14:paraId="5DD700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751082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74323A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453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0B8F31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092390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noWrap w:val="0"/>
                  <w:vAlign w:val="center"/>
                </w:tcPr>
                <w:p w14:paraId="754B5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占用种植园用地0.9215公顷</w:t>
                  </w:r>
                </w:p>
              </w:tc>
              <w:tc>
                <w:tcPr>
                  <w:tcW w:w="931" w:type="pct"/>
                  <w:noWrap w:val="0"/>
                  <w:vAlign w:val="center"/>
                </w:tcPr>
                <w:p w14:paraId="727D42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noWrap w:val="0"/>
                  <w:vAlign w:val="center"/>
                </w:tcPr>
                <w:p w14:paraId="1E5577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5C4C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noWrap w:val="0"/>
                  <w:vAlign w:val="center"/>
                </w:tcPr>
                <w:p w14:paraId="684252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米107-10MX井（井场）</w:t>
                  </w:r>
                </w:p>
              </w:tc>
              <w:tc>
                <w:tcPr>
                  <w:tcW w:w="1818" w:type="pct"/>
                  <w:noWrap w:val="0"/>
                  <w:vAlign w:val="center"/>
                </w:tcPr>
                <w:p w14:paraId="002EB7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shd w:val="clear" w:color="auto" w:fill="auto"/>
                  <w:noWrap w:val="0"/>
                  <w:vAlign w:val="center"/>
                </w:tcPr>
                <w:p w14:paraId="68DBDD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noWrap w:val="0"/>
                  <w:vAlign w:val="center"/>
                </w:tcPr>
                <w:p w14:paraId="0F034E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noWrap w:val="0"/>
                  <w:vAlign w:val="center"/>
                </w:tcPr>
                <w:p w14:paraId="355FB6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04ED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noWrap w:val="0"/>
                  <w:vAlign w:val="center"/>
                </w:tcPr>
                <w:p w14:paraId="208115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noWrap w:val="0"/>
                  <w:vAlign w:val="center"/>
                </w:tcPr>
                <w:p w14:paraId="6B7371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noWrap w:val="0"/>
                  <w:vAlign w:val="center"/>
                </w:tcPr>
                <w:p w14:paraId="2F25B3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noWrap w:val="0"/>
                  <w:vAlign w:val="center"/>
                </w:tcPr>
                <w:p w14:paraId="449027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noWrap w:val="0"/>
                  <w:vAlign w:val="center"/>
                </w:tcPr>
                <w:p w14:paraId="43C746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06D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B16E1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388B11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shd w:val="clear" w:color="auto" w:fill="auto"/>
                  <w:vAlign w:val="center"/>
                </w:tcPr>
                <w:p w14:paraId="0B6D9A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56CC21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7599E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3FA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88430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531AA5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7E84E1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5AADDB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06125C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5B5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21B5CF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002AEA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660D1B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占用林地0.042公顷</w:t>
                  </w:r>
                </w:p>
              </w:tc>
              <w:tc>
                <w:tcPr>
                  <w:tcW w:w="931" w:type="pct"/>
                  <w:shd w:val="clear" w:color="auto" w:fill="auto"/>
                  <w:vAlign w:val="center"/>
                </w:tcPr>
                <w:p w14:paraId="465711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7606A7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811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77D94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769C5A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0490F1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4568D5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2E9C5B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B97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355D4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709650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5627D7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041C05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7810CF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D00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2239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3D9045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5349CA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303F7C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83BC1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99B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16BB5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EA300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77C42F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占用林地0.7659公顷</w:t>
                  </w:r>
                </w:p>
              </w:tc>
              <w:tc>
                <w:tcPr>
                  <w:tcW w:w="931" w:type="pct"/>
                  <w:shd w:val="clear" w:color="auto" w:fill="auto"/>
                  <w:vAlign w:val="center"/>
                </w:tcPr>
                <w:p w14:paraId="1F7046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2AEA5B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CE4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vAlign w:val="center"/>
                </w:tcPr>
                <w:p w14:paraId="4A25E8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米107-10MX井（生活区）</w:t>
                  </w:r>
                </w:p>
              </w:tc>
              <w:tc>
                <w:tcPr>
                  <w:tcW w:w="1818" w:type="pct"/>
                  <w:shd w:val="clear"/>
                  <w:vAlign w:val="center"/>
                </w:tcPr>
                <w:p w14:paraId="062F17E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shd w:val="clear" w:color="auto" w:fill="auto"/>
                  <w:vAlign w:val="center"/>
                </w:tcPr>
                <w:p w14:paraId="016288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vAlign w:val="center"/>
                </w:tcPr>
                <w:p w14:paraId="2BC432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vAlign w:val="center"/>
                </w:tcPr>
                <w:p w14:paraId="5451B9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0895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484110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61AE99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vAlign w:val="center"/>
                </w:tcPr>
                <w:p w14:paraId="45E660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2B71D7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687937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4DE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1CB0A6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A2D09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shd w:val="clear" w:color="auto" w:fill="auto"/>
                  <w:vAlign w:val="center"/>
                </w:tcPr>
                <w:p w14:paraId="01EBCE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E4C0E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27A973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0D05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051B8F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A5021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40B20B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45164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00F18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111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635582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49DF1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723604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占用非林地0.12公顷</w:t>
                  </w:r>
                </w:p>
              </w:tc>
              <w:tc>
                <w:tcPr>
                  <w:tcW w:w="931" w:type="pct"/>
                  <w:shd w:val="clear" w:color="auto" w:fill="auto"/>
                  <w:vAlign w:val="center"/>
                </w:tcPr>
                <w:p w14:paraId="0D2153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bidi="ar-SA"/>
                    </w:rPr>
                    <w:t>/</w:t>
                  </w:r>
                </w:p>
              </w:tc>
              <w:tc>
                <w:tcPr>
                  <w:tcW w:w="428" w:type="pct"/>
                  <w:shd w:val="clear" w:color="auto" w:fill="auto"/>
                  <w:vAlign w:val="center"/>
                </w:tcPr>
                <w:p w14:paraId="6124D7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5990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0A5C48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C5346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63F76C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1FF109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7792B7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CF6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2FABF6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6A972E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4D437E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0DF8E2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600569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0BF7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37A4B5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5C9F4A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3EED73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A8EDD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3F369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4BF9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102CE3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008FF3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25E21B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占用其他草地0.12公顷</w:t>
                  </w:r>
                </w:p>
              </w:tc>
              <w:tc>
                <w:tcPr>
                  <w:tcW w:w="931" w:type="pct"/>
                  <w:shd w:val="clear" w:color="auto" w:fill="auto"/>
                  <w:vAlign w:val="center"/>
                </w:tcPr>
                <w:p w14:paraId="358CD9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339639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799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vAlign w:val="center"/>
                </w:tcPr>
                <w:p w14:paraId="400BB0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米107-11M井</w:t>
                  </w:r>
                </w:p>
              </w:tc>
              <w:tc>
                <w:tcPr>
                  <w:tcW w:w="1818" w:type="pct"/>
                  <w:shd w:val="clear" w:color="auto" w:fill="auto"/>
                  <w:vAlign w:val="center"/>
                </w:tcPr>
                <w:p w14:paraId="4201F0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shd w:val="clear" w:color="auto" w:fill="auto"/>
                  <w:vAlign w:val="center"/>
                </w:tcPr>
                <w:p w14:paraId="7E20BC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vAlign w:val="center"/>
                </w:tcPr>
                <w:p w14:paraId="4FB9B7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vAlign w:val="center"/>
                </w:tcPr>
                <w:p w14:paraId="72CDA9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296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4AC77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7628B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vAlign w:val="center"/>
                </w:tcPr>
                <w:p w14:paraId="3D25F1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305E58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5963D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8FD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A53C8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F8F7B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shd w:val="clear" w:color="auto" w:fill="auto"/>
                  <w:vAlign w:val="center"/>
                </w:tcPr>
                <w:p w14:paraId="409FCE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454DC5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1EFD4F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042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78CE6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02ED25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54D2F1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7D4FC5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3D77D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B7C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C243A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657FD1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61C1FD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占用林地1.62公顷</w:t>
                  </w:r>
                </w:p>
              </w:tc>
              <w:tc>
                <w:tcPr>
                  <w:tcW w:w="931" w:type="pct"/>
                  <w:shd w:val="clear" w:color="auto" w:fill="auto"/>
                  <w:vAlign w:val="center"/>
                </w:tcPr>
                <w:p w14:paraId="56F8F9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21B67A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F5B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27159E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44C60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0084A4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472F4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57197B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53AA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1CA95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06A9EB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176F84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71A9B9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171DF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42C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378EFA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5E1AA4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25203E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5788FA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6FC24A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934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427E0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529BD4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04EABE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占用林地1.62公顷</w:t>
                  </w:r>
                </w:p>
              </w:tc>
              <w:tc>
                <w:tcPr>
                  <w:tcW w:w="931" w:type="pct"/>
                  <w:shd w:val="clear" w:color="auto" w:fill="auto"/>
                  <w:vAlign w:val="center"/>
                </w:tcPr>
                <w:p w14:paraId="634CEB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00A163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8AC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vAlign w:val="center"/>
                </w:tcPr>
                <w:p w14:paraId="0E91BB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米107-12M井</w:t>
                  </w:r>
                </w:p>
              </w:tc>
              <w:tc>
                <w:tcPr>
                  <w:tcW w:w="1818" w:type="pct"/>
                  <w:shd w:val="clear" w:color="auto" w:fill="auto"/>
                  <w:vAlign w:val="center"/>
                </w:tcPr>
                <w:p w14:paraId="46AC55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shd w:val="clear" w:color="auto" w:fill="auto"/>
                  <w:vAlign w:val="center"/>
                </w:tcPr>
                <w:p w14:paraId="15B20B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vAlign w:val="center"/>
                </w:tcPr>
                <w:p w14:paraId="0E859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vAlign w:val="center"/>
                </w:tcPr>
                <w:p w14:paraId="5E15C4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51A9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C1F0F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7F2A16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vAlign w:val="center"/>
                </w:tcPr>
                <w:p w14:paraId="49D4C3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D5FA2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11D65D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BC1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38FB6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32E065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shd w:val="clear" w:color="auto" w:fill="auto"/>
                  <w:vAlign w:val="center"/>
                </w:tcPr>
                <w:p w14:paraId="3E6D23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55B529F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1AA1E6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E2A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46E74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A08DE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690616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78342D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6F2D66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410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45449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670787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44AD71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占用林地0.64公顷</w:t>
                  </w:r>
                </w:p>
              </w:tc>
              <w:tc>
                <w:tcPr>
                  <w:tcW w:w="931" w:type="pct"/>
                  <w:shd w:val="clear" w:color="auto" w:fill="auto"/>
                  <w:vAlign w:val="center"/>
                </w:tcPr>
                <w:p w14:paraId="3A0157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1915A79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4A2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6AFD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27D3E8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2D0155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E8188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10ECED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2FD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E6D51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5C411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50EA34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D94F7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9C69B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A2C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4CD46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779A39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31CA31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5C8B8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646CC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8E3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25BE2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378A17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3BC6C1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占用种植园地0.8359公顷、林地0.0443公顷、草地0.0152公顷</w:t>
                  </w:r>
                </w:p>
              </w:tc>
              <w:tc>
                <w:tcPr>
                  <w:tcW w:w="931" w:type="pct"/>
                  <w:shd w:val="clear" w:color="auto" w:fill="auto"/>
                  <w:vAlign w:val="center"/>
                </w:tcPr>
                <w:p w14:paraId="5B6DF1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247B40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04D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vAlign w:val="center"/>
                </w:tcPr>
                <w:p w14:paraId="6BA746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米107-15M井</w:t>
                  </w:r>
                </w:p>
              </w:tc>
              <w:tc>
                <w:tcPr>
                  <w:tcW w:w="1818" w:type="pct"/>
                  <w:shd w:val="clear" w:color="auto" w:fill="auto"/>
                  <w:vAlign w:val="center"/>
                </w:tcPr>
                <w:p w14:paraId="74C82D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shd w:val="clear" w:color="auto" w:fill="auto"/>
                  <w:vAlign w:val="center"/>
                </w:tcPr>
                <w:p w14:paraId="294975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vAlign w:val="center"/>
                </w:tcPr>
                <w:p w14:paraId="1960E8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vAlign w:val="center"/>
                </w:tcPr>
                <w:p w14:paraId="5EABBE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65D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48A2C2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33DE91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vAlign w:val="center"/>
                </w:tcPr>
                <w:p w14:paraId="3A2F39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A709E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44C79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54B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4BF05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0C49AA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shd w:val="clear" w:color="auto" w:fill="auto"/>
                  <w:vAlign w:val="center"/>
                </w:tcPr>
                <w:p w14:paraId="58B19C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328A71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7CF0F0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949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1FCEA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6DBC69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68AED6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52803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74A45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490B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7CF5C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C32F1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6643F7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占用林地0.9371公顷</w:t>
                  </w:r>
                </w:p>
              </w:tc>
              <w:tc>
                <w:tcPr>
                  <w:tcW w:w="931" w:type="pct"/>
                  <w:shd w:val="clear" w:color="auto" w:fill="auto"/>
                  <w:vAlign w:val="center"/>
                </w:tcPr>
                <w:p w14:paraId="2E7821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47E0B5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F3A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B7F47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5E9E12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7B2556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21F34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DD4E1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61C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A0EBE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7C7931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0C3A27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119ED1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73E93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5D3B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33CAC9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7B3FBF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3FA8D6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5FBBBD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5202C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FDE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3A7907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2183FD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023549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占用种植园地0.986公顷、草地0.134公顷</w:t>
                  </w:r>
                </w:p>
              </w:tc>
              <w:tc>
                <w:tcPr>
                  <w:tcW w:w="931" w:type="pct"/>
                  <w:shd w:val="clear" w:color="auto" w:fill="auto"/>
                  <w:vAlign w:val="center"/>
                </w:tcPr>
                <w:p w14:paraId="6FCB97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39765A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470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vAlign w:val="center"/>
                </w:tcPr>
                <w:p w14:paraId="65083B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米107-34M井（井场）</w:t>
                  </w:r>
                </w:p>
              </w:tc>
              <w:tc>
                <w:tcPr>
                  <w:tcW w:w="1818" w:type="pct"/>
                  <w:shd w:val="clear" w:color="auto" w:fill="auto"/>
                  <w:vAlign w:val="center"/>
                </w:tcPr>
                <w:p w14:paraId="5DD9B4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shd w:val="clear" w:color="auto" w:fill="auto"/>
                  <w:vAlign w:val="center"/>
                </w:tcPr>
                <w:p w14:paraId="312EE9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vAlign w:val="center"/>
                </w:tcPr>
                <w:p w14:paraId="52A52A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vAlign w:val="center"/>
                </w:tcPr>
                <w:p w14:paraId="671F77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DC5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6F1EF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294FE5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vAlign w:val="center"/>
                </w:tcPr>
                <w:p w14:paraId="718CA1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05BC5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1AF5B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B6A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28CB4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64541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shd w:val="clear" w:color="auto" w:fill="auto"/>
                  <w:vAlign w:val="center"/>
                </w:tcPr>
                <w:p w14:paraId="44779C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42C57E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5C08BE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DFA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522A0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6A59BF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13B2FF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77CF0A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241F77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99A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6516E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740CA7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71226D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占用林地</w:t>
                  </w:r>
                  <w:r>
                    <w:rPr>
                      <w:rFonts w:hint="eastAsia" w:ascii="Times New Roman" w:hAnsi="Times New Roman" w:eastAsia="宋体" w:cs="Times New Roman"/>
                      <w:b w:val="0"/>
                      <w:bCs w:val="0"/>
                      <w:color w:val="auto"/>
                      <w:sz w:val="21"/>
                      <w:szCs w:val="21"/>
                      <w:highlight w:val="none"/>
                      <w:vertAlign w:val="baseline"/>
                      <w:lang w:val="en-US" w:eastAsia="zh-CN"/>
                    </w:rPr>
                    <w:t>0.0046</w:t>
                  </w:r>
                  <w:r>
                    <w:rPr>
                      <w:rFonts w:hint="eastAsia" w:ascii="Times New Roman" w:hAnsi="Times New Roman" w:eastAsia="宋体" w:cs="Times New Roman"/>
                      <w:bCs/>
                      <w:color w:val="auto"/>
                      <w:sz w:val="21"/>
                      <w:szCs w:val="21"/>
                      <w:vertAlign w:val="baseline"/>
                      <w:lang w:val="en-US" w:eastAsia="zh-CN"/>
                    </w:rPr>
                    <w:t>公顷</w:t>
                  </w:r>
                </w:p>
              </w:tc>
              <w:tc>
                <w:tcPr>
                  <w:tcW w:w="931" w:type="pct"/>
                  <w:shd w:val="clear" w:color="auto" w:fill="auto"/>
                  <w:vAlign w:val="center"/>
                </w:tcPr>
                <w:p w14:paraId="244BF7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7555DC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0A1F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1EBB6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30D466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370513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7573CC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044630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57CD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4FFE2D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03B91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05A3C9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0ABD4D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246FC1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2B2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152436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5626DE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3D172A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05CA7B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1FF46E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862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05976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E0CE4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698F16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bidi="ar-SA"/>
                    </w:rPr>
                    <w:t>占用耕地0.9766公顷、林地0.0145公顷、草地0.0489公顷</w:t>
                  </w:r>
                </w:p>
              </w:tc>
              <w:tc>
                <w:tcPr>
                  <w:tcW w:w="931" w:type="pct"/>
                  <w:shd w:val="clear" w:color="auto" w:fill="auto"/>
                  <w:vAlign w:val="center"/>
                </w:tcPr>
                <w:p w14:paraId="30FDAF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48B286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3B6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vAlign w:val="center"/>
                </w:tcPr>
                <w:p w14:paraId="3E701A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米107-34M井（生活区）</w:t>
                  </w:r>
                </w:p>
              </w:tc>
              <w:tc>
                <w:tcPr>
                  <w:tcW w:w="1818" w:type="pct"/>
                  <w:shd w:val="clear" w:color="auto" w:fill="auto"/>
                  <w:vAlign w:val="center"/>
                </w:tcPr>
                <w:p w14:paraId="686408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项目特殊管控范围分析</w:t>
                  </w:r>
                </w:p>
              </w:tc>
              <w:tc>
                <w:tcPr>
                  <w:tcW w:w="1121" w:type="pct"/>
                  <w:shd w:val="clear" w:color="auto" w:fill="auto"/>
                  <w:vAlign w:val="center"/>
                </w:tcPr>
                <w:p w14:paraId="07B1DD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vAlign w:val="center"/>
                </w:tcPr>
                <w:p w14:paraId="00A367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vAlign w:val="center"/>
                </w:tcPr>
                <w:p w14:paraId="4F2A26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26FE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1EB73E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20A2DA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vAlign w:val="center"/>
                </w:tcPr>
                <w:p w14:paraId="64DF84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65BED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0B5CB0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0A6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4F8CE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7EE70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机场净空区域分析</w:t>
                  </w:r>
                </w:p>
              </w:tc>
              <w:tc>
                <w:tcPr>
                  <w:tcW w:w="1121" w:type="pct"/>
                  <w:shd w:val="clear" w:color="auto" w:fill="auto"/>
                  <w:vAlign w:val="center"/>
                </w:tcPr>
                <w:p w14:paraId="5D0B43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03311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506F7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552D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61B36D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116808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43BBF8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078D98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76FEDF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7EA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2E1840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02BC9F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282062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占用非林地</w:t>
                  </w:r>
                  <w:r>
                    <w:rPr>
                      <w:rFonts w:hint="eastAsia" w:ascii="Times New Roman" w:hAnsi="Times New Roman" w:eastAsia="宋体" w:cs="Times New Roman"/>
                      <w:b w:val="0"/>
                      <w:bCs w:val="0"/>
                      <w:color w:val="auto"/>
                      <w:sz w:val="21"/>
                      <w:szCs w:val="21"/>
                      <w:highlight w:val="none"/>
                      <w:vertAlign w:val="baseline"/>
                      <w:lang w:val="en-US" w:eastAsia="zh-CN"/>
                    </w:rPr>
                    <w:t>0.12</w:t>
                  </w:r>
                  <w:r>
                    <w:rPr>
                      <w:rFonts w:hint="eastAsia" w:ascii="Times New Roman" w:hAnsi="Times New Roman" w:eastAsia="宋体" w:cs="Times New Roman"/>
                      <w:bCs/>
                      <w:color w:val="auto"/>
                      <w:sz w:val="21"/>
                      <w:szCs w:val="21"/>
                      <w:vertAlign w:val="baseline"/>
                      <w:lang w:val="en-US" w:eastAsia="zh-CN"/>
                    </w:rPr>
                    <w:t>公顷</w:t>
                  </w:r>
                </w:p>
              </w:tc>
              <w:tc>
                <w:tcPr>
                  <w:tcW w:w="931" w:type="pct"/>
                  <w:shd w:val="clear" w:color="auto" w:fill="auto"/>
                  <w:vAlign w:val="center"/>
                </w:tcPr>
                <w:p w14:paraId="598892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01A635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95B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4CCDBD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E8FC5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37E094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val="0"/>
                      <w:bCs/>
                      <w:color w:val="auto"/>
                      <w:sz w:val="21"/>
                      <w:szCs w:val="21"/>
                      <w:vertAlign w:val="baseline"/>
                      <w:lang w:val="en-US" w:eastAsia="zh-CN"/>
                    </w:rPr>
                    <w:t>不涉及</w:t>
                  </w:r>
                </w:p>
              </w:tc>
              <w:tc>
                <w:tcPr>
                  <w:tcW w:w="931" w:type="pct"/>
                  <w:shd w:val="clear" w:color="auto" w:fill="auto"/>
                  <w:vAlign w:val="center"/>
                </w:tcPr>
                <w:p w14:paraId="2AC48C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
                      <w:bCs w:val="0"/>
                      <w:color w:val="auto"/>
                      <w:sz w:val="21"/>
                      <w:szCs w:val="21"/>
                      <w:vertAlign w:val="baseline"/>
                      <w:lang w:val="en-US" w:eastAsia="zh-CN" w:bidi="ar-SA"/>
                    </w:rPr>
                  </w:pPr>
                  <w:r>
                    <w:rPr>
                      <w:rFonts w:hint="eastAsia" w:ascii="Times New Roman" w:hAnsi="Times New Roman" w:cs="Times New Roman"/>
                      <w:b/>
                      <w:bCs w:val="0"/>
                      <w:color w:val="auto"/>
                      <w:sz w:val="21"/>
                      <w:szCs w:val="21"/>
                      <w:vertAlign w:val="baseline"/>
                      <w:lang w:val="en-US" w:eastAsia="zh-CN"/>
                    </w:rPr>
                    <w:t>/</w:t>
                  </w:r>
                </w:p>
              </w:tc>
              <w:tc>
                <w:tcPr>
                  <w:tcW w:w="428" w:type="pct"/>
                  <w:shd w:val="clear" w:color="auto" w:fill="auto"/>
                  <w:vAlign w:val="center"/>
                </w:tcPr>
                <w:p w14:paraId="777F8F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4BE8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222359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421E72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1D1034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7127E1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51571A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00D7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049098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3A18FC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5CB5E7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A100E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73DDCF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0DB8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tcBorders/>
                  <w:shd w:val="clear" w:color="auto" w:fill="auto"/>
                  <w:vAlign w:val="center"/>
                </w:tcPr>
                <w:p w14:paraId="1EC1B7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8" w:type="pct"/>
                  <w:shd w:val="clear" w:color="auto" w:fill="auto"/>
                  <w:vAlign w:val="center"/>
                </w:tcPr>
                <w:p w14:paraId="695EF9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341ADC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占用旱地0.12公顷</w:t>
                  </w:r>
                </w:p>
              </w:tc>
              <w:tc>
                <w:tcPr>
                  <w:tcW w:w="931" w:type="pct"/>
                  <w:shd w:val="clear" w:color="auto" w:fill="auto"/>
                  <w:vAlign w:val="center"/>
                </w:tcPr>
                <w:p w14:paraId="75A5D5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661B5A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bl>
          <w:p w14:paraId="33880BCA">
            <w:pPr>
              <w:pStyle w:val="28"/>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由上表可知，项目建设主要占用林地、园地</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草地</w:t>
            </w:r>
            <w:r>
              <w:rPr>
                <w:rFonts w:hint="eastAsia" w:ascii="Times New Roman" w:hAnsi="Times New Roman" w:cs="Times New Roman"/>
                <w:color w:val="auto"/>
                <w:sz w:val="24"/>
                <w:szCs w:val="24"/>
                <w:lang w:val="en-US" w:eastAsia="zh-CN"/>
              </w:rPr>
              <w:t>及交通运输用地</w:t>
            </w:r>
            <w:r>
              <w:rPr>
                <w:rFonts w:hint="default" w:ascii="Times New Roman" w:hAnsi="Times New Roman" w:cs="Times New Roman"/>
                <w:color w:val="auto"/>
                <w:sz w:val="24"/>
                <w:szCs w:val="24"/>
                <w:lang w:val="en-US" w:eastAsia="zh-CN"/>
              </w:rPr>
              <w:t>，已与自然资源规划部门及林业局对接，勘探后如有开采价值依法办理自然资源规划部门相关手续。</w:t>
            </w:r>
          </w:p>
          <w:p w14:paraId="5A121A1C">
            <w:pPr>
              <w:pStyle w:val="28"/>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综上所述，项目建设基本符合榆林市投资项目选址“一张图”控制线报告要求。</w:t>
            </w:r>
          </w:p>
          <w:p w14:paraId="55235FA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3、项目与“三线一单”符合性分析</w:t>
            </w:r>
          </w:p>
          <w:p w14:paraId="1E0A13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陕西省“三线一单”生态环境分区管控应用技术指南：环境影响评价（试行）》（陕环办发〔2022〕76号文），建设项目环评文件涉及“三线一单”生态环境分区管控符合性分析采取“一图一表一说明”的表达方式，对照分析结果，论证建设的符合性。</w:t>
            </w:r>
          </w:p>
          <w:p w14:paraId="563945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①一图</w:t>
            </w:r>
          </w:p>
          <w:p w14:paraId="4D4A4F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根据，结合“陕西省‘三线一单’数据应用管理平台”分析，本项目</w:t>
            </w:r>
            <w:r>
              <w:rPr>
                <w:rFonts w:hint="eastAsia" w:ascii="Times New Roman" w:hAnsi="Times New Roman" w:eastAsia="宋体" w:cs="Times New Roman"/>
                <w:color w:val="auto"/>
                <w:sz w:val="24"/>
                <w:szCs w:val="24"/>
                <w:highlight w:val="none"/>
                <w:lang w:val="en-US" w:eastAsia="zh-CN"/>
              </w:rPr>
              <w:t>米107-6MX、米107-10MX、米107-11M、米107-34M均</w:t>
            </w:r>
            <w:r>
              <w:rPr>
                <w:rFonts w:hint="default" w:ascii="Times New Roman" w:hAnsi="Times New Roman" w:eastAsia="宋体" w:cs="Times New Roman"/>
                <w:color w:val="auto"/>
                <w:sz w:val="24"/>
                <w:szCs w:val="24"/>
                <w:highlight w:val="none"/>
                <w:lang w:val="en-US" w:eastAsia="zh-CN"/>
              </w:rPr>
              <w:t>位于</w:t>
            </w:r>
            <w:r>
              <w:rPr>
                <w:rFonts w:hint="eastAsia" w:ascii="Times New Roman" w:hAnsi="Times New Roman" w:eastAsia="宋体" w:cs="Times New Roman"/>
                <w:color w:val="auto"/>
                <w:sz w:val="24"/>
                <w:szCs w:val="24"/>
                <w:highlight w:val="none"/>
                <w:lang w:val="en-US" w:eastAsia="zh-CN"/>
              </w:rPr>
              <w:t>一般</w:t>
            </w:r>
            <w:r>
              <w:rPr>
                <w:rFonts w:hint="default" w:ascii="Times New Roman" w:hAnsi="Times New Roman" w:eastAsia="宋体" w:cs="Times New Roman"/>
                <w:color w:val="auto"/>
                <w:sz w:val="24"/>
                <w:szCs w:val="24"/>
                <w:highlight w:val="none"/>
                <w:lang w:val="en-US" w:eastAsia="zh-CN"/>
              </w:rPr>
              <w:t>管控单元</w:t>
            </w:r>
            <w:r>
              <w:rPr>
                <w:rFonts w:hint="eastAsia" w:ascii="Times New Roman" w:hAnsi="Times New Roman" w:eastAsia="宋体" w:cs="Times New Roman"/>
                <w:color w:val="auto"/>
                <w:sz w:val="24"/>
                <w:szCs w:val="24"/>
                <w:highlight w:val="none"/>
                <w:lang w:val="en-US" w:eastAsia="zh-CN"/>
              </w:rPr>
              <w:t>，米107-12M、米107-15M位于优先保护单元及一般管控单元</w:t>
            </w:r>
            <w:r>
              <w:rPr>
                <w:rFonts w:hint="default" w:ascii="Times New Roman" w:hAnsi="Times New Roman" w:eastAsia="宋体" w:cs="Times New Roman"/>
                <w:color w:val="auto"/>
                <w:sz w:val="24"/>
                <w:szCs w:val="24"/>
                <w:highlight w:val="none"/>
                <w:lang w:val="en-US" w:eastAsia="zh-CN"/>
              </w:rPr>
              <w:t>，项目选址与</w:t>
            </w:r>
            <w:r>
              <w:rPr>
                <w:rFonts w:hint="eastAsia" w:ascii="Times New Roman" w:hAnsi="Times New Roman" w:eastAsia="宋体" w:cs="Times New Roman"/>
                <w:color w:val="auto"/>
                <w:sz w:val="24"/>
                <w:szCs w:val="24"/>
                <w:highlight w:val="none"/>
                <w:lang w:val="en-US" w:eastAsia="zh-CN"/>
              </w:rPr>
              <w:t>陕西省</w:t>
            </w:r>
            <w:r>
              <w:rPr>
                <w:rFonts w:hint="default" w:ascii="Times New Roman" w:hAnsi="Times New Roman" w:eastAsia="宋体" w:cs="Times New Roman"/>
                <w:color w:val="auto"/>
                <w:sz w:val="24"/>
                <w:szCs w:val="24"/>
                <w:highlight w:val="none"/>
                <w:lang w:val="en-US" w:eastAsia="zh-CN"/>
              </w:rPr>
              <w:t>“三线一单”生态环境分区管控的位置关系如下：</w:t>
            </w:r>
          </w:p>
          <w:p w14:paraId="056979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②一表</w:t>
            </w:r>
          </w:p>
          <w:p w14:paraId="2C529CF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表1-</w:t>
            </w:r>
            <w:r>
              <w:rPr>
                <w:rFonts w:hint="eastAsia" w:ascii="Times New Roman" w:hAnsi="Times New Roman" w:eastAsia="宋体" w:cs="Times New Roman"/>
                <w:b/>
                <w:bCs w:val="0"/>
                <w:color w:val="auto"/>
                <w:sz w:val="21"/>
                <w:szCs w:val="21"/>
                <w:lang w:val="en-US" w:eastAsia="zh-CN"/>
              </w:rPr>
              <w:t>5</w:t>
            </w:r>
            <w:r>
              <w:rPr>
                <w:rFonts w:hint="default" w:ascii="Times New Roman" w:hAnsi="Times New Roman" w:eastAsia="宋体" w:cs="Times New Roman"/>
                <w:b/>
                <w:bCs w:val="0"/>
                <w:color w:val="auto"/>
                <w:sz w:val="21"/>
                <w:szCs w:val="21"/>
                <w:lang w:val="en-US" w:eastAsia="zh-CN"/>
              </w:rPr>
              <w:t xml:space="preserve"> 项目与榆林“三线一单”管控单元比对成果</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2280"/>
              <w:gridCol w:w="2141"/>
              <w:gridCol w:w="2241"/>
            </w:tblGrid>
            <w:tr w14:paraId="1EF4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noWrap w:val="0"/>
                  <w:vAlign w:val="center"/>
                </w:tcPr>
                <w:p w14:paraId="719901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井号</w:t>
                  </w:r>
                </w:p>
              </w:tc>
              <w:tc>
                <w:tcPr>
                  <w:tcW w:w="1459" w:type="pct"/>
                  <w:noWrap w:val="0"/>
                  <w:vAlign w:val="center"/>
                </w:tcPr>
                <w:p w14:paraId="18AC459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管控单元分类</w:t>
                  </w:r>
                </w:p>
              </w:tc>
              <w:tc>
                <w:tcPr>
                  <w:tcW w:w="1370" w:type="pct"/>
                  <w:noWrap w:val="0"/>
                  <w:vAlign w:val="center"/>
                </w:tcPr>
                <w:p w14:paraId="2FAF5A7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是否涉及</w:t>
                  </w:r>
                </w:p>
              </w:tc>
              <w:tc>
                <w:tcPr>
                  <w:tcW w:w="1434" w:type="pct"/>
                  <w:noWrap w:val="0"/>
                  <w:vAlign w:val="center"/>
                </w:tcPr>
                <w:p w14:paraId="5FD4C2B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面积</w:t>
                  </w:r>
                  <w:r>
                    <w:rPr>
                      <w:rFonts w:hint="eastAsia" w:ascii="Times New Roman" w:hAnsi="Times New Roman" w:eastAsia="宋体" w:cs="Times New Roman"/>
                      <w:b/>
                      <w:bCs w:val="0"/>
                      <w:color w:val="auto"/>
                      <w:sz w:val="21"/>
                      <w:szCs w:val="21"/>
                      <w:vertAlign w:val="baseline"/>
                      <w:lang w:val="en-US" w:eastAsia="zh-CN"/>
                    </w:rPr>
                    <w:t>（m</w:t>
                  </w:r>
                  <w:r>
                    <w:rPr>
                      <w:rFonts w:hint="eastAsia" w:ascii="Times New Roman" w:hAnsi="Times New Roman" w:eastAsia="宋体" w:cs="Times New Roman"/>
                      <w:b/>
                      <w:bCs w:val="0"/>
                      <w:color w:val="auto"/>
                      <w:sz w:val="21"/>
                      <w:szCs w:val="21"/>
                      <w:vertAlign w:val="superscript"/>
                      <w:lang w:val="en-US" w:eastAsia="zh-CN"/>
                    </w:rPr>
                    <w:t>2</w:t>
                  </w:r>
                  <w:r>
                    <w:rPr>
                      <w:rFonts w:hint="eastAsia" w:ascii="Times New Roman" w:hAnsi="Times New Roman" w:eastAsia="宋体" w:cs="Times New Roman"/>
                      <w:b/>
                      <w:bCs w:val="0"/>
                      <w:color w:val="auto"/>
                      <w:sz w:val="21"/>
                      <w:szCs w:val="21"/>
                      <w:vertAlign w:val="baseline"/>
                      <w:lang w:val="en-US" w:eastAsia="zh-CN"/>
                    </w:rPr>
                    <w:t>）</w:t>
                  </w:r>
                </w:p>
              </w:tc>
            </w:tr>
            <w:tr w14:paraId="3BC6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noWrap w:val="0"/>
                  <w:vAlign w:val="center"/>
                </w:tcPr>
                <w:p w14:paraId="1FCA5B8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米107-6MX</w:t>
                  </w:r>
                </w:p>
              </w:tc>
              <w:tc>
                <w:tcPr>
                  <w:tcW w:w="1459" w:type="pct"/>
                  <w:noWrap w:val="0"/>
                  <w:vAlign w:val="center"/>
                </w:tcPr>
                <w:p w14:paraId="4AD874B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优先保护单元</w:t>
                  </w:r>
                </w:p>
              </w:tc>
              <w:tc>
                <w:tcPr>
                  <w:tcW w:w="1370" w:type="pct"/>
                  <w:shd w:val="clear" w:color="auto" w:fill="auto"/>
                  <w:noWrap w:val="0"/>
                  <w:vAlign w:val="center"/>
                </w:tcPr>
                <w:p w14:paraId="2FABAF4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15849AE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3E26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12A87BF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noWrap w:val="0"/>
                  <w:vAlign w:val="center"/>
                </w:tcPr>
                <w:p w14:paraId="0741757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重点管控单元</w:t>
                  </w:r>
                </w:p>
              </w:tc>
              <w:tc>
                <w:tcPr>
                  <w:tcW w:w="1370" w:type="pct"/>
                  <w:shd w:val="clear" w:color="auto" w:fill="auto"/>
                  <w:noWrap w:val="0"/>
                  <w:vAlign w:val="center"/>
                </w:tcPr>
                <w:p w14:paraId="76CCCD3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6F1ABB2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4CD1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05A533D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noWrap w:val="0"/>
                  <w:vAlign w:val="center"/>
                </w:tcPr>
                <w:p w14:paraId="079DACA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一般管控单元</w:t>
                  </w:r>
                </w:p>
              </w:tc>
              <w:tc>
                <w:tcPr>
                  <w:tcW w:w="1370" w:type="pct"/>
                  <w:shd w:val="clear" w:color="auto" w:fill="auto"/>
                  <w:noWrap w:val="0"/>
                  <w:vAlign w:val="center"/>
                </w:tcPr>
                <w:p w14:paraId="593904D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是</w:t>
                  </w:r>
                </w:p>
              </w:tc>
              <w:tc>
                <w:tcPr>
                  <w:tcW w:w="1434" w:type="pct"/>
                  <w:noWrap w:val="0"/>
                  <w:vAlign w:val="center"/>
                </w:tcPr>
                <w:p w14:paraId="7D4F003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9214.32</w:t>
                  </w:r>
                </w:p>
              </w:tc>
            </w:tr>
            <w:tr w14:paraId="5AB5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noWrap w:val="0"/>
                  <w:vAlign w:val="center"/>
                </w:tcPr>
                <w:p w14:paraId="3B7E836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rPr>
                  </w:pPr>
                  <w:r>
                    <w:rPr>
                      <w:rFonts w:hint="eastAsia" w:ascii="Times New Roman" w:hAnsi="Times New Roman" w:eastAsia="宋体" w:cs="Times New Roman"/>
                      <w:bCs/>
                      <w:color w:val="auto"/>
                      <w:sz w:val="21"/>
                      <w:szCs w:val="21"/>
                      <w:vertAlign w:val="baseline"/>
                      <w:lang w:val="en-US" w:eastAsia="zh-CN"/>
                    </w:rPr>
                    <w:t>米107-10MX</w:t>
                  </w:r>
                </w:p>
              </w:tc>
              <w:tc>
                <w:tcPr>
                  <w:tcW w:w="1459" w:type="pct"/>
                  <w:shd w:val="clear" w:color="auto" w:fill="auto"/>
                  <w:noWrap w:val="0"/>
                  <w:vAlign w:val="center"/>
                </w:tcPr>
                <w:p w14:paraId="0385114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优先保护单元</w:t>
                  </w:r>
                </w:p>
              </w:tc>
              <w:tc>
                <w:tcPr>
                  <w:tcW w:w="1370" w:type="pct"/>
                  <w:shd w:val="clear" w:color="auto" w:fill="auto"/>
                  <w:noWrap w:val="0"/>
                  <w:vAlign w:val="center"/>
                </w:tcPr>
                <w:p w14:paraId="5C744D9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5CB333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5FF3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5D092DC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4343CB4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重点管控单元</w:t>
                  </w:r>
                </w:p>
              </w:tc>
              <w:tc>
                <w:tcPr>
                  <w:tcW w:w="1370" w:type="pct"/>
                  <w:shd w:val="clear" w:color="auto" w:fill="auto"/>
                  <w:noWrap w:val="0"/>
                  <w:vAlign w:val="center"/>
                </w:tcPr>
                <w:p w14:paraId="7603857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6983632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3971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46C4FA9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68B25AE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一般管控单元</w:t>
                  </w:r>
                </w:p>
              </w:tc>
              <w:tc>
                <w:tcPr>
                  <w:tcW w:w="1370" w:type="pct"/>
                  <w:shd w:val="clear" w:color="auto" w:fill="auto"/>
                  <w:noWrap w:val="0"/>
                  <w:vAlign w:val="center"/>
                </w:tcPr>
                <w:p w14:paraId="1FED0E1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是</w:t>
                  </w:r>
                </w:p>
              </w:tc>
              <w:tc>
                <w:tcPr>
                  <w:tcW w:w="1434" w:type="pct"/>
                  <w:noWrap w:val="0"/>
                  <w:vAlign w:val="center"/>
                </w:tcPr>
                <w:p w14:paraId="1700E4C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8858.14</w:t>
                  </w:r>
                </w:p>
              </w:tc>
            </w:tr>
            <w:tr w14:paraId="5F0F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noWrap w:val="0"/>
                  <w:vAlign w:val="center"/>
                </w:tcPr>
                <w:p w14:paraId="3B9FC71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rPr>
                  </w:pPr>
                  <w:r>
                    <w:rPr>
                      <w:rFonts w:hint="eastAsia" w:ascii="Times New Roman" w:hAnsi="Times New Roman" w:eastAsia="宋体" w:cs="Times New Roman"/>
                      <w:bCs/>
                      <w:color w:val="auto"/>
                      <w:sz w:val="21"/>
                      <w:szCs w:val="21"/>
                      <w:vertAlign w:val="baseline"/>
                      <w:lang w:val="en-US" w:eastAsia="zh-CN"/>
                    </w:rPr>
                    <w:t>米107-11M</w:t>
                  </w:r>
                </w:p>
              </w:tc>
              <w:tc>
                <w:tcPr>
                  <w:tcW w:w="1459" w:type="pct"/>
                  <w:shd w:val="clear" w:color="auto" w:fill="auto"/>
                  <w:noWrap w:val="0"/>
                  <w:vAlign w:val="center"/>
                </w:tcPr>
                <w:p w14:paraId="1234260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优先保护单元</w:t>
                  </w:r>
                </w:p>
              </w:tc>
              <w:tc>
                <w:tcPr>
                  <w:tcW w:w="1370" w:type="pct"/>
                  <w:shd w:val="clear" w:color="auto" w:fill="auto"/>
                  <w:noWrap w:val="0"/>
                  <w:vAlign w:val="center"/>
                </w:tcPr>
                <w:p w14:paraId="230473F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43B9AEF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1D0A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36" w:type="pct"/>
                  <w:vMerge w:val="continue"/>
                  <w:noWrap w:val="0"/>
                  <w:vAlign w:val="center"/>
                </w:tcPr>
                <w:p w14:paraId="25D7074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084602F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重点管控单元</w:t>
                  </w:r>
                </w:p>
              </w:tc>
              <w:tc>
                <w:tcPr>
                  <w:tcW w:w="1370" w:type="pct"/>
                  <w:shd w:val="clear" w:color="auto" w:fill="auto"/>
                  <w:noWrap w:val="0"/>
                  <w:vAlign w:val="center"/>
                </w:tcPr>
                <w:p w14:paraId="7CEBA0E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7EFF168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733B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6066367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49AB752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一般管控单元</w:t>
                  </w:r>
                </w:p>
              </w:tc>
              <w:tc>
                <w:tcPr>
                  <w:tcW w:w="1370" w:type="pct"/>
                  <w:shd w:val="clear" w:color="auto" w:fill="auto"/>
                  <w:noWrap w:val="0"/>
                  <w:vAlign w:val="center"/>
                </w:tcPr>
                <w:p w14:paraId="0DE6034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是</w:t>
                  </w:r>
                </w:p>
              </w:tc>
              <w:tc>
                <w:tcPr>
                  <w:tcW w:w="1434" w:type="pct"/>
                  <w:noWrap w:val="0"/>
                  <w:vAlign w:val="center"/>
                </w:tcPr>
                <w:p w14:paraId="0429C87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16198.39</w:t>
                  </w:r>
                </w:p>
              </w:tc>
            </w:tr>
            <w:tr w14:paraId="4AE2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noWrap w:val="0"/>
                  <w:vAlign w:val="center"/>
                </w:tcPr>
                <w:p w14:paraId="53A53E1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bCs/>
                      <w:color w:val="auto"/>
                      <w:sz w:val="21"/>
                      <w:szCs w:val="21"/>
                      <w:vertAlign w:val="baseline"/>
                      <w:lang w:val="en-US" w:eastAsia="zh-CN"/>
                    </w:rPr>
                    <w:t>米107-12M</w:t>
                  </w:r>
                </w:p>
              </w:tc>
              <w:tc>
                <w:tcPr>
                  <w:tcW w:w="1459" w:type="pct"/>
                  <w:shd w:val="clear" w:color="auto" w:fill="auto"/>
                  <w:noWrap w:val="0"/>
                  <w:vAlign w:val="center"/>
                </w:tcPr>
                <w:p w14:paraId="6091517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优先保护单元</w:t>
                  </w:r>
                </w:p>
              </w:tc>
              <w:tc>
                <w:tcPr>
                  <w:tcW w:w="1370" w:type="pct"/>
                  <w:noWrap w:val="0"/>
                  <w:vAlign w:val="center"/>
                </w:tcPr>
                <w:p w14:paraId="24EE5A8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是</w:t>
                  </w:r>
                </w:p>
              </w:tc>
              <w:tc>
                <w:tcPr>
                  <w:tcW w:w="1434" w:type="pct"/>
                  <w:noWrap w:val="0"/>
                  <w:vAlign w:val="center"/>
                </w:tcPr>
                <w:p w14:paraId="1BB220A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8953.31</w:t>
                  </w:r>
                </w:p>
              </w:tc>
            </w:tr>
            <w:tr w14:paraId="6176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6" w:type="pct"/>
                  <w:vMerge w:val="continue"/>
                  <w:noWrap w:val="0"/>
                  <w:vAlign w:val="center"/>
                </w:tcPr>
                <w:p w14:paraId="736945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5895B53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重点管控单元</w:t>
                  </w:r>
                </w:p>
              </w:tc>
              <w:tc>
                <w:tcPr>
                  <w:tcW w:w="1370" w:type="pct"/>
                  <w:noWrap w:val="0"/>
                  <w:vAlign w:val="center"/>
                </w:tcPr>
                <w:p w14:paraId="575FF8A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25A1955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66D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459B2BE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1DCD057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一般管控单元</w:t>
                  </w:r>
                </w:p>
              </w:tc>
              <w:tc>
                <w:tcPr>
                  <w:tcW w:w="1370" w:type="pct"/>
                  <w:noWrap w:val="0"/>
                  <w:vAlign w:val="center"/>
                </w:tcPr>
                <w:p w14:paraId="1671645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是</w:t>
                  </w:r>
                </w:p>
              </w:tc>
              <w:tc>
                <w:tcPr>
                  <w:tcW w:w="1434" w:type="pct"/>
                  <w:noWrap w:val="0"/>
                  <w:vAlign w:val="center"/>
                </w:tcPr>
                <w:p w14:paraId="25207EF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1399.89</w:t>
                  </w:r>
                </w:p>
              </w:tc>
            </w:tr>
            <w:tr w14:paraId="5E16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noWrap w:val="0"/>
                  <w:vAlign w:val="center"/>
                </w:tcPr>
                <w:p w14:paraId="2944FCE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bCs/>
                      <w:color w:val="auto"/>
                      <w:sz w:val="21"/>
                      <w:szCs w:val="21"/>
                      <w:vertAlign w:val="baseline"/>
                      <w:lang w:val="en-US" w:eastAsia="zh-CN"/>
                    </w:rPr>
                    <w:t>米107-15M</w:t>
                  </w:r>
                </w:p>
              </w:tc>
              <w:tc>
                <w:tcPr>
                  <w:tcW w:w="1459" w:type="pct"/>
                  <w:shd w:val="clear" w:color="auto" w:fill="auto"/>
                  <w:noWrap w:val="0"/>
                  <w:vAlign w:val="center"/>
                </w:tcPr>
                <w:p w14:paraId="5885731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优先保护单元</w:t>
                  </w:r>
                </w:p>
              </w:tc>
              <w:tc>
                <w:tcPr>
                  <w:tcW w:w="1370" w:type="pct"/>
                  <w:shd w:val="clear" w:color="auto" w:fill="auto"/>
                  <w:noWrap w:val="0"/>
                  <w:vAlign w:val="center"/>
                </w:tcPr>
                <w:p w14:paraId="361FCD9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shd w:val="clear" w:color="auto" w:fill="auto"/>
                  <w:noWrap w:val="0"/>
                  <w:vAlign w:val="center"/>
                </w:tcPr>
                <w:p w14:paraId="12251D1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1611</w:t>
                  </w:r>
                </w:p>
              </w:tc>
            </w:tr>
            <w:tr w14:paraId="54F5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4352C69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234FF0E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重点管控单元</w:t>
                  </w:r>
                </w:p>
              </w:tc>
              <w:tc>
                <w:tcPr>
                  <w:tcW w:w="1370" w:type="pct"/>
                  <w:shd w:val="clear" w:color="auto" w:fill="auto"/>
                  <w:noWrap w:val="0"/>
                  <w:vAlign w:val="center"/>
                </w:tcPr>
                <w:p w14:paraId="10B6A51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shd w:val="clear" w:color="auto" w:fill="auto"/>
                  <w:noWrap w:val="0"/>
                  <w:vAlign w:val="center"/>
                </w:tcPr>
                <w:p w14:paraId="468B0BC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2B61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0CA3691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356D73C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一般管控单元</w:t>
                  </w:r>
                </w:p>
              </w:tc>
              <w:tc>
                <w:tcPr>
                  <w:tcW w:w="1370" w:type="pct"/>
                  <w:shd w:val="clear" w:color="auto" w:fill="auto"/>
                  <w:noWrap w:val="0"/>
                  <w:vAlign w:val="center"/>
                </w:tcPr>
                <w:p w14:paraId="2DA2BA2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是</w:t>
                  </w:r>
                </w:p>
              </w:tc>
              <w:tc>
                <w:tcPr>
                  <w:tcW w:w="1434" w:type="pct"/>
                  <w:shd w:val="clear" w:color="auto" w:fill="auto"/>
                  <w:noWrap w:val="0"/>
                  <w:vAlign w:val="center"/>
                </w:tcPr>
                <w:p w14:paraId="6093543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9587.67</w:t>
                  </w:r>
                </w:p>
              </w:tc>
            </w:tr>
            <w:tr w14:paraId="6A1A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noWrap w:val="0"/>
                  <w:vAlign w:val="center"/>
                </w:tcPr>
                <w:p w14:paraId="3688D37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bCs/>
                      <w:color w:val="auto"/>
                      <w:sz w:val="21"/>
                      <w:szCs w:val="21"/>
                      <w:vertAlign w:val="baseline"/>
                      <w:lang w:val="en-US" w:eastAsia="zh-CN"/>
                    </w:rPr>
                    <w:t>米107-34M</w:t>
                  </w:r>
                </w:p>
              </w:tc>
              <w:tc>
                <w:tcPr>
                  <w:tcW w:w="1459" w:type="pct"/>
                  <w:shd w:val="clear" w:color="auto" w:fill="auto"/>
                  <w:noWrap w:val="0"/>
                  <w:vAlign w:val="center"/>
                </w:tcPr>
                <w:p w14:paraId="623FD78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优先保护单元</w:t>
                  </w:r>
                </w:p>
              </w:tc>
              <w:tc>
                <w:tcPr>
                  <w:tcW w:w="1370" w:type="pct"/>
                  <w:shd w:val="clear" w:color="auto" w:fill="auto"/>
                  <w:noWrap w:val="0"/>
                  <w:vAlign w:val="center"/>
                </w:tcPr>
                <w:p w14:paraId="283C12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66466E8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1DAB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3241C75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6C50B5F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重点管控单元</w:t>
                  </w:r>
                </w:p>
              </w:tc>
              <w:tc>
                <w:tcPr>
                  <w:tcW w:w="1370" w:type="pct"/>
                  <w:shd w:val="clear" w:color="auto" w:fill="auto"/>
                  <w:noWrap w:val="0"/>
                  <w:vAlign w:val="center"/>
                </w:tcPr>
                <w:p w14:paraId="5155F79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否</w:t>
                  </w:r>
                </w:p>
              </w:tc>
              <w:tc>
                <w:tcPr>
                  <w:tcW w:w="1434" w:type="pct"/>
                  <w:noWrap w:val="0"/>
                  <w:vAlign w:val="center"/>
                </w:tcPr>
                <w:p w14:paraId="54ECED3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1FB6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noWrap w:val="0"/>
                  <w:vAlign w:val="center"/>
                </w:tcPr>
                <w:p w14:paraId="689CC99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459" w:type="pct"/>
                  <w:shd w:val="clear" w:color="auto" w:fill="auto"/>
                  <w:noWrap w:val="0"/>
                  <w:vAlign w:val="center"/>
                </w:tcPr>
                <w:p w14:paraId="6F0C25D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一般管控单元</w:t>
                  </w:r>
                </w:p>
              </w:tc>
              <w:tc>
                <w:tcPr>
                  <w:tcW w:w="1370" w:type="pct"/>
                  <w:shd w:val="clear" w:color="auto" w:fill="auto"/>
                  <w:noWrap w:val="0"/>
                  <w:vAlign w:val="center"/>
                </w:tcPr>
                <w:p w14:paraId="11284D4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是</w:t>
                  </w:r>
                </w:p>
              </w:tc>
              <w:tc>
                <w:tcPr>
                  <w:tcW w:w="1434" w:type="pct"/>
                  <w:noWrap w:val="0"/>
                  <w:vAlign w:val="center"/>
                </w:tcPr>
                <w:p w14:paraId="13AC776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11598.59</w:t>
                  </w:r>
                </w:p>
              </w:tc>
            </w:tr>
          </w:tbl>
          <w:p w14:paraId="3AEEB3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备注：由于坐标系不同导致“三线一单”监测结果同“一张图”存在6.69m</w:t>
            </w:r>
            <w:r>
              <w:rPr>
                <w:rFonts w:hint="eastAsia" w:ascii="Times New Roman" w:hAnsi="Times New Roman" w:eastAsia="宋体" w:cs="Times New Roman"/>
                <w:b/>
                <w:bCs/>
                <w:color w:val="auto"/>
                <w:sz w:val="21"/>
                <w:szCs w:val="21"/>
                <w:vertAlign w:val="superscript"/>
                <w:lang w:val="en-US" w:eastAsia="zh-CN"/>
              </w:rPr>
              <w:t>2</w:t>
            </w:r>
            <w:r>
              <w:rPr>
                <w:rFonts w:hint="eastAsia" w:ascii="Times New Roman" w:hAnsi="Times New Roman" w:eastAsia="宋体" w:cs="Times New Roman"/>
                <w:b/>
                <w:bCs/>
                <w:color w:val="auto"/>
                <w:sz w:val="21"/>
                <w:szCs w:val="21"/>
                <w:vertAlign w:val="baseline"/>
                <w:lang w:val="en-US" w:eastAsia="zh-CN"/>
              </w:rPr>
              <w:t>差异。</w:t>
            </w:r>
          </w:p>
          <w:p w14:paraId="4C314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6</w:t>
            </w:r>
            <w:r>
              <w:rPr>
                <w:rFonts w:hint="default" w:ascii="Times New Roman" w:hAnsi="Times New Roman" w:eastAsia="宋体" w:cs="Times New Roman"/>
                <w:b/>
                <w:bCs/>
                <w:color w:val="auto"/>
                <w:sz w:val="21"/>
                <w:szCs w:val="21"/>
                <w:vertAlign w:val="baseline"/>
                <w:lang w:val="en-US" w:eastAsia="zh-CN"/>
              </w:rPr>
              <w:t xml:space="preserve"> 本项目与“三线一单”符合性分析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30"/>
              <w:gridCol w:w="953"/>
            </w:tblGrid>
            <w:tr w14:paraId="710D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6A15B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“三线一单”</w:t>
                  </w:r>
                </w:p>
              </w:tc>
              <w:tc>
                <w:tcPr>
                  <w:tcW w:w="3346" w:type="pct"/>
                  <w:vAlign w:val="center"/>
                </w:tcPr>
                <w:p w14:paraId="6087D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w:t>
                  </w:r>
                </w:p>
              </w:tc>
              <w:tc>
                <w:tcPr>
                  <w:tcW w:w="610" w:type="pct"/>
                  <w:vAlign w:val="center"/>
                </w:tcPr>
                <w:p w14:paraId="2B24C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相符性</w:t>
                  </w:r>
                </w:p>
              </w:tc>
            </w:tr>
            <w:tr w14:paraId="253F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3E8A7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生态保护红线</w:t>
                  </w:r>
                </w:p>
              </w:tc>
              <w:tc>
                <w:tcPr>
                  <w:tcW w:w="3346" w:type="pct"/>
                  <w:vAlign w:val="center"/>
                </w:tcPr>
                <w:p w14:paraId="1C373E6C">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根据《榆林市投资项目选址“一张图”控制线检测报告》及现场调查结果，本项目各个井场</w:t>
                  </w:r>
                  <w:r>
                    <w:rPr>
                      <w:rFonts w:hint="default" w:ascii="Times New Roman" w:hAnsi="Times New Roman" w:eastAsia="宋体" w:cs="Times New Roman"/>
                      <w:color w:val="auto"/>
                      <w:sz w:val="21"/>
                      <w:szCs w:val="21"/>
                      <w:vertAlign w:val="baseline"/>
                      <w:lang w:val="en-US" w:eastAsia="zh-CN"/>
                    </w:rPr>
                    <w:t>周围无特殊重要生态功能区，不涉及自然保护区、饮用水源保护区、风景名胜区等环境敏感区域，本项目不涉及生态红线。</w:t>
                  </w:r>
                </w:p>
              </w:tc>
              <w:tc>
                <w:tcPr>
                  <w:tcW w:w="610" w:type="pct"/>
                  <w:vAlign w:val="center"/>
                </w:tcPr>
                <w:p w14:paraId="0AE83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782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877D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环境质量底线</w:t>
                  </w:r>
                </w:p>
              </w:tc>
              <w:tc>
                <w:tcPr>
                  <w:tcW w:w="3346" w:type="pct"/>
                  <w:vAlign w:val="center"/>
                </w:tcPr>
                <w:p w14:paraId="04A32471">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根据陕西省环保厅发布的全省环保快报可知，</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4年佳县空气中臭氧超标，属于环境空气质量不达标区。本项目施工期较短，施工过程中采用电驱动，不产生废气，污废水不外排，废水收集罐四周及池底均做了防渗处理。因此，不会改变区域地表水、地下水的功能，项目的建设符合榆林市的环境质量底线要求。</w:t>
                  </w:r>
                </w:p>
              </w:tc>
              <w:tc>
                <w:tcPr>
                  <w:tcW w:w="610" w:type="pct"/>
                  <w:vAlign w:val="center"/>
                </w:tcPr>
                <w:p w14:paraId="14C94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689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DE1FE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资源利用上线</w:t>
                  </w:r>
                </w:p>
              </w:tc>
              <w:tc>
                <w:tcPr>
                  <w:tcW w:w="3346" w:type="pct"/>
                  <w:vAlign w:val="center"/>
                </w:tcPr>
                <w:p w14:paraId="44BCF70A">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本项目6个井场为非生产类项目，不涉及资源利用，不触及榆林市资源利用上线。</w:t>
                  </w:r>
                </w:p>
              </w:tc>
              <w:tc>
                <w:tcPr>
                  <w:tcW w:w="610" w:type="pct"/>
                  <w:vAlign w:val="center"/>
                </w:tcPr>
                <w:p w14:paraId="3D758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B94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1F8C4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环境准入负面清单</w:t>
                  </w:r>
                </w:p>
              </w:tc>
              <w:tc>
                <w:tcPr>
                  <w:tcW w:w="3346" w:type="pct"/>
                  <w:vAlign w:val="center"/>
                </w:tcPr>
                <w:p w14:paraId="49409DAF">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本项目符合国家产业政策，工程位于榆林市佳县，不属于《陕西省国家重点生态功能区产业准入负面清单(试行)》(陕发改规划〔</w:t>
                  </w:r>
                  <w:r>
                    <w:rPr>
                      <w:rFonts w:hint="default" w:ascii="Times New Roman" w:hAnsi="Times New Roman" w:eastAsia="宋体" w:cs="Times New Roman"/>
                      <w:color w:val="auto"/>
                      <w:sz w:val="21"/>
                      <w:szCs w:val="21"/>
                      <w:vertAlign w:val="baseline"/>
                      <w:lang w:val="en-US" w:eastAsia="zh-CN"/>
                    </w:rPr>
                    <w:t>2018</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213</w:t>
                  </w:r>
                  <w:r>
                    <w:rPr>
                      <w:rFonts w:hint="eastAsia" w:ascii="Times New Roman" w:hAnsi="Times New Roman" w:eastAsia="宋体" w:cs="Times New Roman"/>
                      <w:color w:val="auto"/>
                      <w:sz w:val="21"/>
                      <w:szCs w:val="21"/>
                      <w:vertAlign w:val="baseline"/>
                      <w:lang w:val="en-US" w:eastAsia="zh-CN"/>
                    </w:rPr>
                    <w:t>号)中重点生态功能区，不属于《榆林市生态环境准入清单（</w:t>
                  </w:r>
                  <w:r>
                    <w:rPr>
                      <w:rFonts w:hint="default" w:ascii="Times New Roman" w:hAnsi="Times New Roman" w:eastAsia="宋体" w:cs="Times New Roman"/>
                      <w:color w:val="auto"/>
                      <w:sz w:val="21"/>
                      <w:szCs w:val="21"/>
                      <w:vertAlign w:val="baseline"/>
                      <w:lang w:val="en-US" w:eastAsia="zh-CN"/>
                    </w:rPr>
                    <w:t>2023</w:t>
                  </w:r>
                  <w:r>
                    <w:rPr>
                      <w:rFonts w:hint="eastAsia" w:ascii="Times New Roman" w:hAnsi="Times New Roman" w:eastAsia="宋体" w:cs="Times New Roman"/>
                      <w:color w:val="auto"/>
                      <w:sz w:val="21"/>
                      <w:szCs w:val="21"/>
                      <w:vertAlign w:val="baseline"/>
                      <w:lang w:val="en-US" w:eastAsia="zh-CN"/>
                    </w:rPr>
                    <w:t>年）》中禁止建设类活动。</w:t>
                  </w:r>
                </w:p>
              </w:tc>
              <w:tc>
                <w:tcPr>
                  <w:tcW w:w="610" w:type="pct"/>
                  <w:vAlign w:val="center"/>
                </w:tcPr>
                <w:p w14:paraId="47B90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531CE0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7</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米107-6MX、米107-10MX、米107-11M、米107-34M井场</w:t>
            </w:r>
            <w:r>
              <w:rPr>
                <w:rFonts w:hint="default" w:ascii="Times New Roman" w:hAnsi="Times New Roman" w:eastAsia="宋体" w:cs="Times New Roman"/>
                <w:b/>
                <w:bCs/>
                <w:color w:val="auto"/>
                <w:sz w:val="21"/>
                <w:szCs w:val="21"/>
                <w:vertAlign w:val="baseline"/>
                <w:lang w:val="en-US" w:eastAsia="zh-CN"/>
              </w:rPr>
              <w:t>与榆林市生态环境分区管控准入要求符合性分析表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461"/>
              <w:gridCol w:w="461"/>
              <w:gridCol w:w="461"/>
              <w:gridCol w:w="461"/>
              <w:gridCol w:w="3746"/>
              <w:gridCol w:w="1138"/>
              <w:gridCol w:w="463"/>
            </w:tblGrid>
            <w:tr w14:paraId="5200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noWrap w:val="0"/>
                  <w:vAlign w:val="center"/>
                </w:tcPr>
                <w:p w14:paraId="6236943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环境管控单元</w:t>
                  </w:r>
                </w:p>
              </w:tc>
              <w:tc>
                <w:tcPr>
                  <w:tcW w:w="295" w:type="pct"/>
                  <w:noWrap w:val="0"/>
                  <w:vAlign w:val="center"/>
                </w:tcPr>
                <w:p w14:paraId="0B439D6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区县</w:t>
                  </w:r>
                </w:p>
              </w:tc>
              <w:tc>
                <w:tcPr>
                  <w:tcW w:w="295" w:type="pct"/>
                  <w:noWrap w:val="0"/>
                  <w:vAlign w:val="center"/>
                </w:tcPr>
                <w:p w14:paraId="6439509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市区</w:t>
                  </w:r>
                </w:p>
              </w:tc>
              <w:tc>
                <w:tcPr>
                  <w:tcW w:w="295" w:type="pct"/>
                  <w:noWrap w:val="0"/>
                  <w:vAlign w:val="center"/>
                </w:tcPr>
                <w:p w14:paraId="267CED1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单元要素属性</w:t>
                  </w:r>
                </w:p>
              </w:tc>
              <w:tc>
                <w:tcPr>
                  <w:tcW w:w="295" w:type="pct"/>
                  <w:noWrap w:val="0"/>
                  <w:vAlign w:val="center"/>
                </w:tcPr>
                <w:p w14:paraId="5FCB4B0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管控要求分类</w:t>
                  </w:r>
                </w:p>
              </w:tc>
              <w:tc>
                <w:tcPr>
                  <w:tcW w:w="2397" w:type="pct"/>
                  <w:noWrap w:val="0"/>
                  <w:vAlign w:val="center"/>
                </w:tcPr>
                <w:p w14:paraId="47A5F2F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w:t>
                  </w:r>
                </w:p>
              </w:tc>
              <w:tc>
                <w:tcPr>
                  <w:tcW w:w="728" w:type="pct"/>
                  <w:noWrap w:val="0"/>
                  <w:vAlign w:val="center"/>
                </w:tcPr>
                <w:p w14:paraId="1EA9692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w:t>
                  </w:r>
                </w:p>
              </w:tc>
              <w:tc>
                <w:tcPr>
                  <w:tcW w:w="296" w:type="pct"/>
                  <w:noWrap w:val="0"/>
                  <w:vAlign w:val="center"/>
                </w:tcPr>
                <w:p w14:paraId="2365402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5662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Merge w:val="restart"/>
                  <w:noWrap w:val="0"/>
                  <w:vAlign w:val="center"/>
                </w:tcPr>
                <w:p w14:paraId="265527E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陕西省榆林市</w:t>
                  </w:r>
                  <w:r>
                    <w:rPr>
                      <w:rFonts w:hint="eastAsia" w:ascii="Times New Roman" w:hAnsi="Times New Roman" w:eastAsia="宋体" w:cs="Times New Roman"/>
                      <w:bCs/>
                      <w:color w:val="auto"/>
                      <w:sz w:val="21"/>
                      <w:szCs w:val="21"/>
                      <w:vertAlign w:val="baseline"/>
                      <w:lang w:val="en-US" w:eastAsia="zh-CN"/>
                    </w:rPr>
                    <w:t>佳县一般</w:t>
                  </w:r>
                  <w:r>
                    <w:rPr>
                      <w:rFonts w:hint="default" w:ascii="Times New Roman" w:hAnsi="Times New Roman" w:eastAsia="宋体" w:cs="Times New Roman"/>
                      <w:bCs/>
                      <w:color w:val="auto"/>
                      <w:sz w:val="21"/>
                      <w:szCs w:val="21"/>
                      <w:vertAlign w:val="baseline"/>
                      <w:lang w:val="en-US" w:eastAsia="zh-CN"/>
                    </w:rPr>
                    <w:t>管控单元</w:t>
                  </w:r>
                  <w:r>
                    <w:rPr>
                      <w:rFonts w:hint="eastAsia" w:ascii="Times New Roman" w:hAnsi="Times New Roman" w:eastAsia="宋体" w:cs="Times New Roman"/>
                      <w:bCs/>
                      <w:color w:val="auto"/>
                      <w:sz w:val="21"/>
                      <w:szCs w:val="21"/>
                      <w:vertAlign w:val="baseline"/>
                      <w:lang w:val="en-US" w:eastAsia="zh-CN"/>
                    </w:rPr>
                    <w:t>1</w:t>
                  </w:r>
                </w:p>
              </w:tc>
              <w:tc>
                <w:tcPr>
                  <w:tcW w:w="295" w:type="pct"/>
                  <w:vMerge w:val="restart"/>
                  <w:noWrap w:val="0"/>
                  <w:vAlign w:val="center"/>
                </w:tcPr>
                <w:p w14:paraId="3283E89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榆林市</w:t>
                  </w:r>
                </w:p>
              </w:tc>
              <w:tc>
                <w:tcPr>
                  <w:tcW w:w="295" w:type="pct"/>
                  <w:vMerge w:val="restart"/>
                  <w:noWrap w:val="0"/>
                  <w:vAlign w:val="center"/>
                </w:tcPr>
                <w:p w14:paraId="7D4CE04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佳县</w:t>
                  </w:r>
                </w:p>
              </w:tc>
              <w:tc>
                <w:tcPr>
                  <w:tcW w:w="295" w:type="pct"/>
                  <w:vMerge w:val="restart"/>
                  <w:noWrap w:val="0"/>
                  <w:vAlign w:val="center"/>
                </w:tcPr>
                <w:p w14:paraId="01F6EF1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无</w:t>
                  </w:r>
                </w:p>
              </w:tc>
              <w:tc>
                <w:tcPr>
                  <w:tcW w:w="295" w:type="pct"/>
                  <w:noWrap w:val="0"/>
                  <w:vAlign w:val="center"/>
                </w:tcPr>
                <w:p w14:paraId="23841B8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空间布局约束</w:t>
                  </w:r>
                </w:p>
              </w:tc>
              <w:tc>
                <w:tcPr>
                  <w:tcW w:w="2397" w:type="pct"/>
                  <w:noWrap w:val="0"/>
                  <w:vAlign w:val="center"/>
                </w:tcPr>
                <w:p w14:paraId="3AD64CC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1.执行榆林市生态环境要素分区总体准入清单中“6.1 一般管控单元总体要求”准入要求。</w:t>
                  </w:r>
                </w:p>
                <w:p w14:paraId="2BC2E59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2.农用地优先保护区执行榆林市生态环境要素分区总体准入清单中“4.2农用地优先保护区”准入要求。</w:t>
                  </w:r>
                </w:p>
                <w:p w14:paraId="7869ABB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3.江河湖库岸线优先保护区执行榆林市生态环境要素分区总体准入清</w:t>
                  </w:r>
                </w:p>
                <w:p w14:paraId="21DA7E2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单中“4.3 江河湖库岸线优先保护区”准入要求。</w:t>
                  </w:r>
                </w:p>
                <w:p w14:paraId="2B86DBA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4.荒漠化沙化土地优先保护区执行榆林市生态环境要素分区总体准入</w:t>
                  </w:r>
                </w:p>
                <w:p w14:paraId="5BBAA30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清单中“4.4 荒漠化沙化土地优先保护区”准入要求。</w:t>
                  </w:r>
                </w:p>
                <w:p w14:paraId="213A48C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5.江河湖库岸线重点管控区执行榆林市生态环境要素分区总体准入清</w:t>
                  </w:r>
                </w:p>
                <w:p w14:paraId="77A78E4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单中“5.14 江河湖库岸线重点管控区”中的“空间布局约束”准入要求</w:t>
                  </w:r>
                  <w:r>
                    <w:rPr>
                      <w:rFonts w:hint="eastAsia" w:ascii="Times New Roman" w:hAnsi="Times New Roman" w:eastAsia="宋体" w:cs="Times New Roman"/>
                      <w:color w:val="auto"/>
                      <w:kern w:val="0"/>
                      <w:sz w:val="21"/>
                      <w:szCs w:val="21"/>
                      <w:lang w:val="en-US" w:eastAsia="zh-CN" w:bidi="ar"/>
                    </w:rPr>
                    <w:t>。</w:t>
                  </w:r>
                </w:p>
              </w:tc>
              <w:tc>
                <w:tcPr>
                  <w:tcW w:w="728" w:type="pct"/>
                  <w:noWrap w:val="0"/>
                  <w:vAlign w:val="center"/>
                </w:tcPr>
                <w:p w14:paraId="4247D6C5">
                  <w:pPr>
                    <w:pStyle w:val="7"/>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w:t>
                  </w:r>
                  <w:r>
                    <w:rPr>
                      <w:rFonts w:hint="default" w:ascii="Times New Roman" w:hAnsi="Times New Roman" w:eastAsia="宋体" w:cs="Times New Roman"/>
                      <w:bCs/>
                      <w:color w:val="auto"/>
                      <w:sz w:val="21"/>
                      <w:szCs w:val="21"/>
                      <w:vertAlign w:val="baseline"/>
                      <w:lang w:val="en-US" w:eastAsia="zh-CN"/>
                    </w:rPr>
                    <w:t>本项目属于天然气</w:t>
                  </w:r>
                  <w:r>
                    <w:rPr>
                      <w:rFonts w:hint="eastAsia" w:ascii="Times New Roman" w:hAnsi="Times New Roman" w:eastAsia="宋体" w:cs="Times New Roman"/>
                      <w:bCs/>
                      <w:color w:val="auto"/>
                      <w:sz w:val="21"/>
                      <w:szCs w:val="21"/>
                      <w:vertAlign w:val="baseline"/>
                      <w:lang w:val="en-US" w:eastAsia="zh-CN"/>
                    </w:rPr>
                    <w:t>评价井钻井</w:t>
                  </w:r>
                  <w:r>
                    <w:rPr>
                      <w:rFonts w:hint="default" w:ascii="Times New Roman" w:hAnsi="Times New Roman" w:eastAsia="宋体" w:cs="Times New Roman"/>
                      <w:bCs/>
                      <w:color w:val="auto"/>
                      <w:sz w:val="21"/>
                      <w:szCs w:val="21"/>
                      <w:vertAlign w:val="baseline"/>
                      <w:lang w:val="en-US" w:eastAsia="zh-CN"/>
                    </w:rPr>
                    <w:t>项目，</w:t>
                  </w:r>
                  <w:r>
                    <w:rPr>
                      <w:rFonts w:hint="eastAsia" w:ascii="Times New Roman" w:hAnsi="Times New Roman" w:eastAsia="宋体" w:cs="Times New Roman"/>
                      <w:bCs/>
                      <w:color w:val="auto"/>
                      <w:sz w:val="21"/>
                      <w:szCs w:val="21"/>
                      <w:vertAlign w:val="baseline"/>
                      <w:lang w:val="en-US" w:eastAsia="zh-CN"/>
                    </w:rPr>
                    <w:t>位于一般管控单元内；2、本项目不涉及农用地优先保护区；3、本项目不涉及</w:t>
                  </w:r>
                  <w:r>
                    <w:rPr>
                      <w:rFonts w:hint="default" w:ascii="Times New Roman" w:hAnsi="Times New Roman" w:eastAsia="宋体" w:cs="Times New Roman"/>
                      <w:color w:val="auto"/>
                      <w:kern w:val="0"/>
                      <w:sz w:val="21"/>
                      <w:szCs w:val="21"/>
                      <w:lang w:val="en-US" w:eastAsia="zh-CN" w:bidi="ar"/>
                    </w:rPr>
                    <w:t>江河湖库岸线优先保护区</w:t>
                  </w:r>
                  <w:r>
                    <w:rPr>
                      <w:rFonts w:hint="eastAsia" w:ascii="Times New Roman" w:hAnsi="Times New Roman" w:eastAsia="宋体" w:cs="Times New Roman"/>
                      <w:color w:val="auto"/>
                      <w:kern w:val="0"/>
                      <w:sz w:val="21"/>
                      <w:szCs w:val="21"/>
                      <w:lang w:val="en-US" w:eastAsia="zh-CN" w:bidi="ar"/>
                    </w:rPr>
                    <w:t>；4、本项目位于黄土（丘陵）覆沙治理区，本次提出了防沙治沙相关要求；5、本项目不涉及</w:t>
                  </w:r>
                  <w:r>
                    <w:rPr>
                      <w:rFonts w:hint="default" w:ascii="Times New Roman" w:hAnsi="Times New Roman" w:eastAsia="宋体" w:cs="Times New Roman"/>
                      <w:color w:val="auto"/>
                      <w:kern w:val="0"/>
                      <w:sz w:val="21"/>
                      <w:szCs w:val="21"/>
                      <w:lang w:val="en-US" w:eastAsia="zh-CN" w:bidi="ar"/>
                    </w:rPr>
                    <w:t>江河湖库岸线重点管控区</w:t>
                  </w:r>
                </w:p>
              </w:tc>
              <w:tc>
                <w:tcPr>
                  <w:tcW w:w="296" w:type="pct"/>
                  <w:noWrap w:val="0"/>
                  <w:vAlign w:val="center"/>
                </w:tcPr>
                <w:p w14:paraId="5BBDC99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3C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7" w:type="pct"/>
                  <w:vMerge w:val="continue"/>
                  <w:noWrap w:val="0"/>
                  <w:vAlign w:val="center"/>
                </w:tcPr>
                <w:p w14:paraId="69D812D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67CB8A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47FA870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0FF74A3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60EF6A0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污染物排放管控</w:t>
                  </w:r>
                </w:p>
              </w:tc>
              <w:tc>
                <w:tcPr>
                  <w:tcW w:w="2397" w:type="pct"/>
                  <w:noWrap w:val="0"/>
                  <w:vAlign w:val="center"/>
                </w:tcPr>
                <w:p w14:paraId="30BBB195">
                  <w:pPr>
                    <w:keepNext w:val="0"/>
                    <w:keepLines w:val="0"/>
                    <w:widowControl/>
                    <w:suppressLineNumbers w:val="0"/>
                    <w:jc w:val="center"/>
                    <w:rPr>
                      <w:rFonts w:hint="default" w:ascii="Times New Roman" w:hAnsi="Times New Roman" w:cs="Times New Roman"/>
                      <w:bCs/>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w:t>
                  </w:r>
                </w:p>
              </w:tc>
              <w:tc>
                <w:tcPr>
                  <w:tcW w:w="728" w:type="pct"/>
                  <w:noWrap w:val="0"/>
                  <w:vAlign w:val="center"/>
                </w:tcPr>
                <w:p w14:paraId="20553C5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296" w:type="pct"/>
                  <w:noWrap w:val="0"/>
                  <w:vAlign w:val="center"/>
                </w:tcPr>
                <w:p w14:paraId="458746A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r>
                    <w:rPr>
                      <w:rFonts w:hint="eastAsia" w:ascii="Times New Roman" w:hAnsi="Times New Roman" w:cs="Times New Roman"/>
                      <w:bCs/>
                      <w:color w:val="auto"/>
                      <w:sz w:val="21"/>
                      <w:szCs w:val="21"/>
                      <w:vertAlign w:val="baseline"/>
                      <w:lang w:val="en-US" w:eastAsia="zh-CN"/>
                    </w:rPr>
                    <w:t>/</w:t>
                  </w:r>
                </w:p>
              </w:tc>
            </w:tr>
            <w:tr w14:paraId="20F9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7" w:type="pct"/>
                  <w:vMerge w:val="continue"/>
                  <w:noWrap w:val="0"/>
                  <w:vAlign w:val="center"/>
                </w:tcPr>
                <w:p w14:paraId="0FFF58A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9A9F76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F57687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66937CC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7B25234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环境风险防控</w:t>
                  </w:r>
                </w:p>
              </w:tc>
              <w:tc>
                <w:tcPr>
                  <w:tcW w:w="2397" w:type="pct"/>
                  <w:noWrap w:val="0"/>
                  <w:vAlign w:val="center"/>
                </w:tcPr>
                <w:p w14:paraId="7B8BC02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3CB933D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6" w:type="pct"/>
                  <w:noWrap w:val="0"/>
                  <w:vAlign w:val="center"/>
                </w:tcPr>
                <w:p w14:paraId="20F9EF9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r w14:paraId="7B72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7" w:type="pct"/>
                  <w:vMerge w:val="continue"/>
                  <w:noWrap w:val="0"/>
                  <w:vAlign w:val="center"/>
                </w:tcPr>
                <w:p w14:paraId="34EA185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56225F0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6C14130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64E1BDE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33F9198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资源开发效率要求</w:t>
                  </w:r>
                </w:p>
              </w:tc>
              <w:tc>
                <w:tcPr>
                  <w:tcW w:w="2397" w:type="pct"/>
                  <w:noWrap w:val="0"/>
                  <w:vAlign w:val="center"/>
                </w:tcPr>
                <w:p w14:paraId="59EDA6B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3BE9B9A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6" w:type="pct"/>
                  <w:noWrap w:val="0"/>
                  <w:vAlign w:val="center"/>
                </w:tcPr>
                <w:p w14:paraId="1A0699C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bl>
          <w:p w14:paraId="7B3B7DE8">
            <w:pPr>
              <w:pStyle w:val="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color w:val="auto"/>
                <w:sz w:val="21"/>
                <w:szCs w:val="21"/>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 xml:space="preserve">  米107-12M、米107-15M井场</w:t>
            </w:r>
            <w:r>
              <w:rPr>
                <w:rFonts w:hint="default" w:ascii="Times New Roman" w:hAnsi="Times New Roman" w:eastAsia="宋体" w:cs="Times New Roman"/>
                <w:b/>
                <w:bCs/>
                <w:color w:val="auto"/>
                <w:sz w:val="21"/>
                <w:szCs w:val="21"/>
                <w:vertAlign w:val="baseline"/>
                <w:lang w:val="en-US" w:eastAsia="zh-CN"/>
              </w:rPr>
              <w:t>与榆林市生态环境分区管控准入要求符合性分析表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461"/>
              <w:gridCol w:w="461"/>
              <w:gridCol w:w="461"/>
              <w:gridCol w:w="461"/>
              <w:gridCol w:w="3748"/>
              <w:gridCol w:w="1137"/>
              <w:gridCol w:w="461"/>
            </w:tblGrid>
            <w:tr w14:paraId="3B07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14:paraId="2F97FAB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环境管控单元</w:t>
                  </w:r>
                </w:p>
              </w:tc>
              <w:tc>
                <w:tcPr>
                  <w:tcW w:w="295" w:type="pct"/>
                  <w:noWrap w:val="0"/>
                  <w:vAlign w:val="center"/>
                </w:tcPr>
                <w:p w14:paraId="466F0D0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区县</w:t>
                  </w:r>
                </w:p>
              </w:tc>
              <w:tc>
                <w:tcPr>
                  <w:tcW w:w="295" w:type="pct"/>
                  <w:noWrap w:val="0"/>
                  <w:vAlign w:val="center"/>
                </w:tcPr>
                <w:p w14:paraId="0DE2D53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市区</w:t>
                  </w:r>
                </w:p>
              </w:tc>
              <w:tc>
                <w:tcPr>
                  <w:tcW w:w="295" w:type="pct"/>
                  <w:noWrap w:val="0"/>
                  <w:vAlign w:val="center"/>
                </w:tcPr>
                <w:p w14:paraId="72F3F92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单元要素属性</w:t>
                  </w:r>
                </w:p>
              </w:tc>
              <w:tc>
                <w:tcPr>
                  <w:tcW w:w="295" w:type="pct"/>
                  <w:noWrap w:val="0"/>
                  <w:vAlign w:val="center"/>
                </w:tcPr>
                <w:p w14:paraId="197096C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管控要求分类</w:t>
                  </w:r>
                </w:p>
              </w:tc>
              <w:tc>
                <w:tcPr>
                  <w:tcW w:w="2399" w:type="pct"/>
                  <w:noWrap w:val="0"/>
                  <w:vAlign w:val="center"/>
                </w:tcPr>
                <w:p w14:paraId="6985810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w:t>
                  </w:r>
                </w:p>
              </w:tc>
              <w:tc>
                <w:tcPr>
                  <w:tcW w:w="728" w:type="pct"/>
                  <w:noWrap w:val="0"/>
                  <w:vAlign w:val="center"/>
                </w:tcPr>
                <w:p w14:paraId="552F7D4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w:t>
                  </w:r>
                </w:p>
              </w:tc>
              <w:tc>
                <w:tcPr>
                  <w:tcW w:w="295" w:type="pct"/>
                  <w:noWrap w:val="0"/>
                  <w:vAlign w:val="center"/>
                </w:tcPr>
                <w:p w14:paraId="041B01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3D17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noWrap w:val="0"/>
                  <w:vAlign w:val="center"/>
                </w:tcPr>
                <w:p w14:paraId="19C883D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陕西省榆林市</w:t>
                  </w:r>
                  <w:r>
                    <w:rPr>
                      <w:rFonts w:hint="eastAsia" w:ascii="Times New Roman" w:hAnsi="Times New Roman" w:eastAsia="宋体" w:cs="Times New Roman"/>
                      <w:bCs/>
                      <w:color w:val="auto"/>
                      <w:sz w:val="21"/>
                      <w:szCs w:val="21"/>
                      <w:vertAlign w:val="baseline"/>
                      <w:lang w:val="en-US" w:eastAsia="zh-CN"/>
                    </w:rPr>
                    <w:t>佳县二级国家公益林</w:t>
                  </w:r>
                </w:p>
              </w:tc>
              <w:tc>
                <w:tcPr>
                  <w:tcW w:w="295" w:type="pct"/>
                  <w:vMerge w:val="restart"/>
                  <w:noWrap w:val="0"/>
                  <w:vAlign w:val="center"/>
                </w:tcPr>
                <w:p w14:paraId="3E0E35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榆林市</w:t>
                  </w:r>
                </w:p>
              </w:tc>
              <w:tc>
                <w:tcPr>
                  <w:tcW w:w="295" w:type="pct"/>
                  <w:vMerge w:val="restart"/>
                  <w:noWrap w:val="0"/>
                  <w:vAlign w:val="center"/>
                </w:tcPr>
                <w:p w14:paraId="667EF3F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佳县</w:t>
                  </w:r>
                </w:p>
              </w:tc>
              <w:tc>
                <w:tcPr>
                  <w:tcW w:w="295" w:type="pct"/>
                  <w:vMerge w:val="restart"/>
                  <w:noWrap w:val="0"/>
                  <w:vAlign w:val="center"/>
                </w:tcPr>
                <w:p w14:paraId="1AEE376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一般生态空间-国家二级公益林</w:t>
                  </w:r>
                </w:p>
              </w:tc>
              <w:tc>
                <w:tcPr>
                  <w:tcW w:w="295" w:type="pct"/>
                  <w:noWrap w:val="0"/>
                  <w:vAlign w:val="center"/>
                </w:tcPr>
                <w:p w14:paraId="34A0FB2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空间布局约束</w:t>
                  </w:r>
                </w:p>
              </w:tc>
              <w:tc>
                <w:tcPr>
                  <w:tcW w:w="2399" w:type="pct"/>
                  <w:noWrap w:val="0"/>
                  <w:vAlign w:val="center"/>
                </w:tcPr>
                <w:p w14:paraId="19E8C07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Cs/>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一般生态空间：原则上按照限制开发区进行管理。功能属性单一、管控要求明确的一般生态空间，按照生态功能属性的既有规定实施管理；具有多重功能属性、且均有既有管理要求的一般生态空间，按照管控要求的严格程度，从严管理；尚未明确管理要求的一般生态空间，以保护为主，限制有损主导生态服务功能的开发建设活动。一般生态空间</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国家二级公益林：按照《国家级公益林管理办法》相关规定进行管控。</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二级国家级公益林在不影响整体森林生态系统功能发挥的前提下，可以按规定开展抚育和更新性质的采伐。在不破坏森林植被的前提下，可以合理利用其林地资源，适度开展林下种植养殖和森林游憩等非木质资源开发与利用，科学发展林下经济。</w:t>
                  </w: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国家级公益林的调出，以不影响整体生态功能、保持集中连片为原则，一经调出，不得再次申请补进</w:t>
                  </w:r>
                </w:p>
              </w:tc>
              <w:tc>
                <w:tcPr>
                  <w:tcW w:w="728" w:type="pct"/>
                  <w:noWrap w:val="0"/>
                  <w:vAlign w:val="center"/>
                </w:tcPr>
                <w:p w14:paraId="2385B861">
                  <w:pPr>
                    <w:pStyle w:val="7"/>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根据现场调查核实，本项目所占佳县国家二级公益林中林木数量较少，项目开工前需取得采伐许可证，办理林业相关手续，探井工程结束后对项目地进行生态恢复。</w:t>
                  </w:r>
                </w:p>
              </w:tc>
              <w:tc>
                <w:tcPr>
                  <w:tcW w:w="295" w:type="pct"/>
                  <w:noWrap w:val="0"/>
                  <w:vAlign w:val="center"/>
                </w:tcPr>
                <w:p w14:paraId="27A7DCD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7178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0107AE9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39E876C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A810E5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686AE66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189B3C1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污染物排放管控</w:t>
                  </w:r>
                </w:p>
              </w:tc>
              <w:tc>
                <w:tcPr>
                  <w:tcW w:w="2399" w:type="pct"/>
                  <w:noWrap w:val="0"/>
                  <w:vAlign w:val="center"/>
                </w:tcPr>
                <w:p w14:paraId="16E9C8E7">
                  <w:pPr>
                    <w:keepNext w:val="0"/>
                    <w:keepLines w:val="0"/>
                    <w:widowControl/>
                    <w:suppressLineNumbers w:val="0"/>
                    <w:jc w:val="center"/>
                    <w:rPr>
                      <w:rFonts w:hint="default" w:ascii="Times New Roman" w:hAnsi="Times New Roman" w:cs="Times New Roman"/>
                      <w:bCs/>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w:t>
                  </w:r>
                </w:p>
              </w:tc>
              <w:tc>
                <w:tcPr>
                  <w:tcW w:w="728" w:type="pct"/>
                  <w:noWrap w:val="0"/>
                  <w:vAlign w:val="center"/>
                </w:tcPr>
                <w:p w14:paraId="3400994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295" w:type="pct"/>
                  <w:noWrap w:val="0"/>
                  <w:vAlign w:val="center"/>
                </w:tcPr>
                <w:p w14:paraId="2BA36D4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r>
                    <w:rPr>
                      <w:rFonts w:hint="eastAsia" w:ascii="Times New Roman" w:hAnsi="Times New Roman" w:cs="Times New Roman"/>
                      <w:bCs/>
                      <w:color w:val="auto"/>
                      <w:sz w:val="21"/>
                      <w:szCs w:val="21"/>
                      <w:vertAlign w:val="baseline"/>
                      <w:lang w:val="en-US" w:eastAsia="zh-CN"/>
                    </w:rPr>
                    <w:t>/</w:t>
                  </w:r>
                </w:p>
              </w:tc>
            </w:tr>
            <w:tr w14:paraId="6294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593929B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781EFF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9DB418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2520257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787CBEC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环境风险防控</w:t>
                  </w:r>
                </w:p>
              </w:tc>
              <w:tc>
                <w:tcPr>
                  <w:tcW w:w="2399" w:type="pct"/>
                  <w:noWrap w:val="0"/>
                  <w:vAlign w:val="center"/>
                </w:tcPr>
                <w:p w14:paraId="6710071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619C8B1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07F5B87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r w14:paraId="1427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continue"/>
                  <w:noWrap w:val="0"/>
                  <w:vAlign w:val="center"/>
                </w:tcPr>
                <w:p w14:paraId="1AEAFCC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23DE3F2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A28688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4449194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01EF3F0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资源开发效率要求</w:t>
                  </w:r>
                </w:p>
              </w:tc>
              <w:tc>
                <w:tcPr>
                  <w:tcW w:w="2399" w:type="pct"/>
                  <w:noWrap w:val="0"/>
                  <w:vAlign w:val="center"/>
                </w:tcPr>
                <w:p w14:paraId="3666633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787DBD8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669023A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r w14:paraId="41D6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restart"/>
                  <w:shd w:val="clear" w:color="auto" w:fill="auto"/>
                  <w:noWrap w:val="0"/>
                  <w:vAlign w:val="center"/>
                </w:tcPr>
                <w:p w14:paraId="5535EB9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陕西省榆林市</w:t>
                  </w:r>
                  <w:r>
                    <w:rPr>
                      <w:rFonts w:hint="eastAsia" w:ascii="Times New Roman" w:hAnsi="Times New Roman" w:eastAsia="宋体" w:cs="Times New Roman"/>
                      <w:bCs/>
                      <w:color w:val="auto"/>
                      <w:sz w:val="21"/>
                      <w:szCs w:val="21"/>
                      <w:vertAlign w:val="baseline"/>
                      <w:lang w:val="en-US" w:eastAsia="zh-CN"/>
                    </w:rPr>
                    <w:t>佳县一般</w:t>
                  </w:r>
                  <w:r>
                    <w:rPr>
                      <w:rFonts w:hint="default" w:ascii="Times New Roman" w:hAnsi="Times New Roman" w:eastAsia="宋体" w:cs="Times New Roman"/>
                      <w:bCs/>
                      <w:color w:val="auto"/>
                      <w:sz w:val="21"/>
                      <w:szCs w:val="21"/>
                      <w:vertAlign w:val="baseline"/>
                      <w:lang w:val="en-US" w:eastAsia="zh-CN"/>
                    </w:rPr>
                    <w:t>管控单元</w:t>
                  </w:r>
                  <w:r>
                    <w:rPr>
                      <w:rFonts w:hint="eastAsia" w:ascii="Times New Roman" w:hAnsi="Times New Roman" w:eastAsia="宋体" w:cs="Times New Roman"/>
                      <w:bCs/>
                      <w:color w:val="auto"/>
                      <w:sz w:val="21"/>
                      <w:szCs w:val="21"/>
                      <w:vertAlign w:val="baseline"/>
                      <w:lang w:val="en-US" w:eastAsia="zh-CN"/>
                    </w:rPr>
                    <w:t>1</w:t>
                  </w:r>
                </w:p>
              </w:tc>
              <w:tc>
                <w:tcPr>
                  <w:tcW w:w="295" w:type="pct"/>
                  <w:vMerge w:val="restart"/>
                  <w:shd w:val="clear" w:color="auto" w:fill="auto"/>
                  <w:noWrap w:val="0"/>
                  <w:vAlign w:val="center"/>
                </w:tcPr>
                <w:p w14:paraId="6400197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榆林市</w:t>
                  </w:r>
                </w:p>
              </w:tc>
              <w:tc>
                <w:tcPr>
                  <w:tcW w:w="295" w:type="pct"/>
                  <w:vMerge w:val="restart"/>
                  <w:shd w:val="clear" w:color="auto" w:fill="auto"/>
                  <w:noWrap w:val="0"/>
                  <w:vAlign w:val="center"/>
                </w:tcPr>
                <w:p w14:paraId="55829E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佳县</w:t>
                  </w:r>
                </w:p>
              </w:tc>
              <w:tc>
                <w:tcPr>
                  <w:tcW w:w="295" w:type="pct"/>
                  <w:vMerge w:val="restart"/>
                  <w:shd w:val="clear" w:color="auto" w:fill="auto"/>
                  <w:noWrap w:val="0"/>
                  <w:vAlign w:val="center"/>
                </w:tcPr>
                <w:p w14:paraId="47C0F28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无</w:t>
                  </w:r>
                </w:p>
              </w:tc>
              <w:tc>
                <w:tcPr>
                  <w:tcW w:w="295" w:type="pct"/>
                  <w:shd w:val="clear" w:color="auto" w:fill="auto"/>
                  <w:noWrap w:val="0"/>
                  <w:vAlign w:val="center"/>
                </w:tcPr>
                <w:p w14:paraId="0EDB706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空间布局约束</w:t>
                  </w:r>
                </w:p>
              </w:tc>
              <w:tc>
                <w:tcPr>
                  <w:tcW w:w="2399" w:type="pct"/>
                  <w:shd w:val="clear" w:color="auto" w:fill="auto"/>
                  <w:noWrap w:val="0"/>
                  <w:vAlign w:val="center"/>
                </w:tcPr>
                <w:p w14:paraId="69881EC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1.执行榆林市生态环境要素分区总体准入清单中“6.1 一般管控单元总体要求”准入要求。</w:t>
                  </w:r>
                </w:p>
                <w:p w14:paraId="6B9002E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2.农用地优先保护区执行榆林市生态环境要素分区总体准入清单中“4.2农用地优先保护区”准入要求。</w:t>
                  </w:r>
                </w:p>
                <w:p w14:paraId="5728156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3.江河湖库岸线优先保护区执行榆林市生态环境要素分区总体准入清</w:t>
                  </w:r>
                </w:p>
                <w:p w14:paraId="7D3F5FB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单中“4.3 江河湖库岸线优先保护区”准入要求。</w:t>
                  </w:r>
                </w:p>
                <w:p w14:paraId="4BA4144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4.荒漠化沙化土地优先保护区执行榆林市生态环境要素分区总体准入</w:t>
                  </w:r>
                </w:p>
                <w:p w14:paraId="337F928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清单中“4.4 荒漠化沙化土地优先保护区”准入要求。</w:t>
                  </w:r>
                </w:p>
                <w:p w14:paraId="3DAE1BA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5.江河湖库岸线重点管控区执行榆林市生态环境要素分区总体准入清</w:t>
                  </w:r>
                </w:p>
                <w:p w14:paraId="03B28516">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单中“5.14 江河湖库岸线重点管控区”中的“空间布局约束”准入要求</w:t>
                  </w:r>
                  <w:r>
                    <w:rPr>
                      <w:rFonts w:hint="eastAsia" w:ascii="Times New Roman" w:hAnsi="Times New Roman" w:eastAsia="宋体" w:cs="Times New Roman"/>
                      <w:color w:val="auto"/>
                      <w:kern w:val="0"/>
                      <w:sz w:val="21"/>
                      <w:szCs w:val="21"/>
                      <w:lang w:val="en-US" w:eastAsia="zh-CN" w:bidi="ar"/>
                    </w:rPr>
                    <w:t>。</w:t>
                  </w:r>
                </w:p>
              </w:tc>
              <w:tc>
                <w:tcPr>
                  <w:tcW w:w="728" w:type="pct"/>
                  <w:shd w:val="clear" w:color="auto" w:fill="auto"/>
                  <w:noWrap w:val="0"/>
                  <w:vAlign w:val="center"/>
                </w:tcPr>
                <w:p w14:paraId="5790FDBC">
                  <w:pPr>
                    <w:pStyle w:val="7"/>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1、</w:t>
                  </w:r>
                  <w:r>
                    <w:rPr>
                      <w:rFonts w:hint="default" w:ascii="Times New Roman" w:hAnsi="Times New Roman" w:eastAsia="宋体" w:cs="Times New Roman"/>
                      <w:bCs/>
                      <w:color w:val="auto"/>
                      <w:sz w:val="21"/>
                      <w:szCs w:val="21"/>
                      <w:vertAlign w:val="baseline"/>
                      <w:lang w:val="en-US" w:eastAsia="zh-CN"/>
                    </w:rPr>
                    <w:t>本项目属于天然气</w:t>
                  </w:r>
                  <w:r>
                    <w:rPr>
                      <w:rFonts w:hint="eastAsia" w:ascii="Times New Roman" w:hAnsi="Times New Roman" w:eastAsia="宋体" w:cs="Times New Roman"/>
                      <w:bCs/>
                      <w:color w:val="auto"/>
                      <w:sz w:val="21"/>
                      <w:szCs w:val="21"/>
                      <w:vertAlign w:val="baseline"/>
                      <w:lang w:val="en-US" w:eastAsia="zh-CN"/>
                    </w:rPr>
                    <w:t>评价井钻井</w:t>
                  </w:r>
                  <w:r>
                    <w:rPr>
                      <w:rFonts w:hint="default" w:ascii="Times New Roman" w:hAnsi="Times New Roman" w:eastAsia="宋体" w:cs="Times New Roman"/>
                      <w:bCs/>
                      <w:color w:val="auto"/>
                      <w:sz w:val="21"/>
                      <w:szCs w:val="21"/>
                      <w:vertAlign w:val="baseline"/>
                      <w:lang w:val="en-US" w:eastAsia="zh-CN"/>
                    </w:rPr>
                    <w:t>项目，</w:t>
                  </w:r>
                  <w:r>
                    <w:rPr>
                      <w:rFonts w:hint="eastAsia" w:ascii="Times New Roman" w:hAnsi="Times New Roman" w:eastAsia="宋体" w:cs="Times New Roman"/>
                      <w:bCs/>
                      <w:color w:val="auto"/>
                      <w:sz w:val="21"/>
                      <w:szCs w:val="21"/>
                      <w:vertAlign w:val="baseline"/>
                      <w:lang w:val="en-US" w:eastAsia="zh-CN"/>
                    </w:rPr>
                    <w:t>位于一般管控单元内；2、本项目不涉及农用地优先保护区；3、本项目不涉及</w:t>
                  </w:r>
                  <w:r>
                    <w:rPr>
                      <w:rFonts w:hint="default" w:ascii="Times New Roman" w:hAnsi="Times New Roman" w:eastAsia="宋体" w:cs="Times New Roman"/>
                      <w:color w:val="auto"/>
                      <w:kern w:val="0"/>
                      <w:sz w:val="21"/>
                      <w:szCs w:val="21"/>
                      <w:lang w:val="en-US" w:eastAsia="zh-CN" w:bidi="ar"/>
                    </w:rPr>
                    <w:t>江河湖库岸线优先保护区</w:t>
                  </w:r>
                  <w:r>
                    <w:rPr>
                      <w:rFonts w:hint="eastAsia" w:ascii="Times New Roman" w:hAnsi="Times New Roman" w:eastAsia="宋体" w:cs="Times New Roman"/>
                      <w:color w:val="auto"/>
                      <w:kern w:val="0"/>
                      <w:sz w:val="21"/>
                      <w:szCs w:val="21"/>
                      <w:lang w:val="en-US" w:eastAsia="zh-CN" w:bidi="ar"/>
                    </w:rPr>
                    <w:t>；4、本项目位于黄土（丘陵）覆沙治理区，本次提出了防沙治沙相关要求；5、本项目不涉及</w:t>
                  </w:r>
                  <w:r>
                    <w:rPr>
                      <w:rFonts w:hint="default" w:ascii="Times New Roman" w:hAnsi="Times New Roman" w:eastAsia="宋体" w:cs="Times New Roman"/>
                      <w:color w:val="auto"/>
                      <w:kern w:val="0"/>
                      <w:sz w:val="21"/>
                      <w:szCs w:val="21"/>
                      <w:lang w:val="en-US" w:eastAsia="zh-CN" w:bidi="ar"/>
                    </w:rPr>
                    <w:t>江河湖库岸线重点管控区</w:t>
                  </w:r>
                </w:p>
              </w:tc>
              <w:tc>
                <w:tcPr>
                  <w:tcW w:w="295" w:type="pct"/>
                  <w:shd w:val="clear" w:color="auto" w:fill="auto"/>
                  <w:noWrap w:val="0"/>
                  <w:vAlign w:val="center"/>
                </w:tcPr>
                <w:p w14:paraId="4D62B01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5B66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continue"/>
                  <w:noWrap w:val="0"/>
                  <w:vAlign w:val="center"/>
                </w:tcPr>
                <w:p w14:paraId="6851921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77B8257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1F15E02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56B1936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shd w:val="clear" w:color="auto" w:fill="auto"/>
                  <w:noWrap w:val="0"/>
                  <w:vAlign w:val="center"/>
                </w:tcPr>
                <w:p w14:paraId="715420E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污染物排放管控</w:t>
                  </w:r>
                </w:p>
              </w:tc>
              <w:tc>
                <w:tcPr>
                  <w:tcW w:w="2399" w:type="pct"/>
                  <w:noWrap w:val="0"/>
                  <w:vAlign w:val="center"/>
                </w:tcPr>
                <w:p w14:paraId="6EEACBE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0EAF38D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34C7E45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r w14:paraId="36C4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continue"/>
                  <w:noWrap w:val="0"/>
                  <w:vAlign w:val="center"/>
                </w:tcPr>
                <w:p w14:paraId="1586DA9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336F8BC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5FF8696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17BE12B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shd w:val="clear" w:color="auto" w:fill="auto"/>
                  <w:noWrap w:val="0"/>
                  <w:vAlign w:val="center"/>
                </w:tcPr>
                <w:p w14:paraId="3E6430D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环境风险防控</w:t>
                  </w:r>
                </w:p>
              </w:tc>
              <w:tc>
                <w:tcPr>
                  <w:tcW w:w="2399" w:type="pct"/>
                  <w:noWrap w:val="0"/>
                  <w:vAlign w:val="center"/>
                </w:tcPr>
                <w:p w14:paraId="403F44C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1B41513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1D22AFF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r w14:paraId="0AD8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continue"/>
                  <w:noWrap w:val="0"/>
                  <w:vAlign w:val="center"/>
                </w:tcPr>
                <w:p w14:paraId="2B95181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7288C92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408488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4B85355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shd w:val="clear" w:color="auto" w:fill="auto"/>
                  <w:noWrap w:val="0"/>
                  <w:vAlign w:val="center"/>
                </w:tcPr>
                <w:p w14:paraId="0A7121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资源开发效率要求</w:t>
                  </w:r>
                </w:p>
              </w:tc>
              <w:tc>
                <w:tcPr>
                  <w:tcW w:w="2399" w:type="pct"/>
                  <w:noWrap w:val="0"/>
                  <w:vAlign w:val="center"/>
                </w:tcPr>
                <w:p w14:paraId="5453673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5F2F3AE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00F4CF8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bl>
          <w:p w14:paraId="085A1368">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③一说明</w:t>
            </w:r>
          </w:p>
          <w:p w14:paraId="3ECB47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bCs/>
                <w:color w:val="auto"/>
                <w:sz w:val="24"/>
                <w:szCs w:val="24"/>
                <w:highlight w:val="none"/>
              </w:rPr>
              <w:t>本项目位于榆林市“三线一单”生态环境分区中</w:t>
            </w:r>
            <w:r>
              <w:rPr>
                <w:rFonts w:hint="eastAsia" w:ascii="Times New Roman" w:hAnsi="Times New Roman" w:eastAsia="宋体" w:cs="Times New Roman"/>
                <w:bCs/>
                <w:color w:val="auto"/>
                <w:sz w:val="24"/>
                <w:szCs w:val="24"/>
                <w:highlight w:val="none"/>
                <w:vertAlign w:val="baseline"/>
                <w:lang w:val="en-US" w:eastAsia="zh-CN"/>
              </w:rPr>
              <w:t>佳县一般</w:t>
            </w:r>
            <w:r>
              <w:rPr>
                <w:rFonts w:hint="default" w:ascii="Times New Roman" w:hAnsi="Times New Roman" w:eastAsia="宋体" w:cs="Times New Roman"/>
                <w:bCs/>
                <w:color w:val="auto"/>
                <w:sz w:val="24"/>
                <w:szCs w:val="24"/>
                <w:highlight w:val="none"/>
                <w:vertAlign w:val="baseline"/>
                <w:lang w:val="en-US" w:eastAsia="zh-CN"/>
              </w:rPr>
              <w:t>管控单元</w:t>
            </w:r>
            <w:r>
              <w:rPr>
                <w:rFonts w:hint="eastAsia" w:ascii="Times New Roman" w:hAnsi="Times New Roman" w:eastAsia="宋体" w:cs="Times New Roman"/>
                <w:bCs/>
                <w:color w:val="auto"/>
                <w:sz w:val="24"/>
                <w:szCs w:val="24"/>
                <w:highlight w:val="none"/>
                <w:vertAlign w:val="baseline"/>
                <w:lang w:val="en-US" w:eastAsia="zh-CN"/>
              </w:rPr>
              <w:t>、优先保护单元（佳县国家二级公益林-一般生态空间）</w:t>
            </w:r>
            <w:r>
              <w:rPr>
                <w:rFonts w:hint="default" w:ascii="Times New Roman" w:hAnsi="Times New Roman" w:cs="Times New Roman"/>
                <w:bCs/>
                <w:color w:val="auto"/>
                <w:sz w:val="24"/>
                <w:szCs w:val="24"/>
                <w:highlight w:val="none"/>
              </w:rPr>
              <w:t>，对照表</w:t>
            </w:r>
            <w:r>
              <w:rPr>
                <w:rFonts w:hint="eastAsia" w:ascii="Times New Roman" w:hAnsi="Times New Roman" w:eastAsia="宋体" w:cs="Times New Roman"/>
                <w:bCs/>
                <w:color w:val="auto"/>
                <w:sz w:val="24"/>
                <w:szCs w:val="24"/>
                <w:highlight w:val="none"/>
                <w:lang w:val="en-US" w:eastAsia="zh-CN"/>
              </w:rPr>
              <w:t>1-6、</w:t>
            </w:r>
            <w:r>
              <w:rPr>
                <w:rFonts w:hint="default" w:ascii="Times New Roman" w:hAnsi="Times New Roman" w:cs="Times New Roman"/>
                <w:bCs/>
                <w:color w:val="auto"/>
                <w:sz w:val="24"/>
                <w:szCs w:val="24"/>
                <w:highlight w:val="none"/>
              </w:rPr>
              <w:t>1-</w:t>
            </w:r>
            <w:r>
              <w:rPr>
                <w:rFonts w:hint="eastAsia" w:ascii="Times New Roman" w:hAnsi="Times New Roman" w:cs="Times New Roman"/>
                <w:bCs/>
                <w:color w:val="auto"/>
                <w:sz w:val="24"/>
                <w:szCs w:val="24"/>
                <w:highlight w:val="none"/>
                <w:lang w:val="en-US" w:eastAsia="zh-CN"/>
              </w:rPr>
              <w:t>7、1-8</w:t>
            </w:r>
            <w:r>
              <w:rPr>
                <w:rFonts w:hint="default" w:ascii="Times New Roman" w:hAnsi="Times New Roman" w:cs="Times New Roman"/>
                <w:bCs/>
                <w:color w:val="auto"/>
                <w:sz w:val="24"/>
                <w:szCs w:val="24"/>
                <w:highlight w:val="none"/>
              </w:rPr>
              <w:t>中的管控要求，建设项目符合榆林市生态环境准入清单各管控单元的环境分区管控的要求。</w:t>
            </w:r>
          </w:p>
          <w:p w14:paraId="2BE362B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4、其他符合性分析</w:t>
            </w:r>
          </w:p>
          <w:p w14:paraId="688CFA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项目与相关政策的符合性分析见下表：</w:t>
            </w:r>
          </w:p>
          <w:p w14:paraId="653C4E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项目与相关政策符合性分析一览表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235"/>
              <w:gridCol w:w="2742"/>
              <w:gridCol w:w="1967"/>
              <w:gridCol w:w="441"/>
            </w:tblGrid>
            <w:tr w14:paraId="7274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FC92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430" w:type="pct"/>
                  <w:vAlign w:val="center"/>
                </w:tcPr>
                <w:p w14:paraId="083B8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政策名称</w:t>
                  </w:r>
                </w:p>
              </w:tc>
              <w:tc>
                <w:tcPr>
                  <w:tcW w:w="1754" w:type="pct"/>
                  <w:vAlign w:val="center"/>
                </w:tcPr>
                <w:p w14:paraId="07E9B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政策要求（摘录）</w:t>
                  </w:r>
                </w:p>
              </w:tc>
              <w:tc>
                <w:tcPr>
                  <w:tcW w:w="1258" w:type="pct"/>
                  <w:vAlign w:val="center"/>
                </w:tcPr>
                <w:p w14:paraId="6A51C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282" w:type="pct"/>
                  <w:vAlign w:val="center"/>
                </w:tcPr>
                <w:p w14:paraId="702842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75B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7894E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p>
              </w:tc>
              <w:tc>
                <w:tcPr>
                  <w:tcW w:w="1430" w:type="pct"/>
                  <w:vAlign w:val="center"/>
                </w:tcPr>
                <w:p w14:paraId="3D054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《中华人民共和国防沙治沙法</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r>
                    <w:rPr>
                      <w:rFonts w:hint="eastAsia"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18修正</w:t>
                  </w:r>
                  <w:r>
                    <w:rPr>
                      <w:rFonts w:hint="eastAsia" w:ascii="Times New Roman" w:hAnsi="Times New Roman" w:eastAsia="宋体" w:cs="Times New Roman"/>
                      <w:color w:val="auto"/>
                      <w:sz w:val="21"/>
                      <w:szCs w:val="21"/>
                      <w:vertAlign w:val="baseline"/>
                      <w:lang w:val="en-US" w:eastAsia="zh-CN"/>
                    </w:rPr>
                    <w:t>）》</w:t>
                  </w:r>
                </w:p>
              </w:tc>
              <w:tc>
                <w:tcPr>
                  <w:tcW w:w="1754" w:type="pct"/>
                  <w:vAlign w:val="center"/>
                </w:tcPr>
                <w:p w14:paraId="114F730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w:t>
                  </w:r>
                  <w:r>
                    <w:rPr>
                      <w:rFonts w:hint="eastAsia" w:ascii="Times New Roman" w:hAnsi="Times New Roman" w:eastAsia="宋体" w:cs="Times New Roman"/>
                      <w:color w:val="auto"/>
                      <w:sz w:val="21"/>
                      <w:szCs w:val="21"/>
                      <w:vertAlign w:val="baseline"/>
                      <w:lang w:val="en-US" w:eastAsia="zh-CN"/>
                    </w:rPr>
                    <w:t>二十一</w:t>
                  </w:r>
                  <w:r>
                    <w:rPr>
                      <w:rFonts w:hint="default" w:ascii="Times New Roman" w:hAnsi="Times New Roman" w:eastAsia="宋体" w:cs="Times New Roman"/>
                      <w:color w:val="auto"/>
                      <w:sz w:val="21"/>
                      <w:szCs w:val="21"/>
                      <w:vertAlign w:val="baseline"/>
                      <w:lang w:val="en-US" w:eastAsia="zh-CN"/>
                    </w:rPr>
                    <w:t>条 在沙化土地范围内从事开发建设活动的，必须事先就该项目可能对当地及相关地区生态产生的影响进行环境影响评价，依法提交环境影响报告；环境影响报告应当包括有关防沙治沙的内容。</w:t>
                  </w:r>
                </w:p>
              </w:tc>
              <w:tc>
                <w:tcPr>
                  <w:tcW w:w="1258" w:type="pct"/>
                  <w:vAlign w:val="center"/>
                </w:tcPr>
                <w:p w14:paraId="061D0E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本项目位于毛乌素沙地治理区。本次提出</w:t>
                  </w:r>
                  <w:r>
                    <w:rPr>
                      <w:rFonts w:hint="eastAsia" w:ascii="Times New Roman" w:hAnsi="Times New Roman" w:eastAsia="宋体" w:cs="Times New Roman"/>
                      <w:color w:val="auto"/>
                      <w:sz w:val="21"/>
                      <w:szCs w:val="21"/>
                      <w:vertAlign w:val="baseline"/>
                      <w:lang w:val="en-US" w:eastAsia="zh-CN"/>
                    </w:rPr>
                    <w:t>了</w:t>
                  </w:r>
                  <w:r>
                    <w:rPr>
                      <w:rFonts w:hint="default" w:ascii="Times New Roman" w:hAnsi="Times New Roman" w:eastAsia="宋体" w:cs="Times New Roman"/>
                      <w:color w:val="auto"/>
                      <w:sz w:val="21"/>
                      <w:szCs w:val="21"/>
                      <w:vertAlign w:val="baseline"/>
                      <w:lang w:val="en-US" w:eastAsia="zh-CN"/>
                    </w:rPr>
                    <w:t>保持水土、防治土地荒漠化及土地沙化的防治措施。</w:t>
                  </w:r>
                </w:p>
              </w:tc>
              <w:tc>
                <w:tcPr>
                  <w:tcW w:w="282" w:type="pct"/>
                  <w:vAlign w:val="center"/>
                </w:tcPr>
                <w:p w14:paraId="653F1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6E5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618489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2</w:t>
                  </w:r>
                </w:p>
              </w:tc>
              <w:tc>
                <w:tcPr>
                  <w:tcW w:w="1430" w:type="pct"/>
                  <w:vMerge w:val="restart"/>
                  <w:vAlign w:val="center"/>
                </w:tcPr>
                <w:p w14:paraId="4419A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《陕西省煤炭石油天然气开发生态环境保护条例》</w:t>
                  </w:r>
                </w:p>
              </w:tc>
              <w:tc>
                <w:tcPr>
                  <w:tcW w:w="1754" w:type="pct"/>
                  <w:vAlign w:val="center"/>
                </w:tcPr>
                <w:p w14:paraId="7DFAEA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第十二条 省人民政府及其有关行政主管部门在编制能源产业发展规划和矿产资源开发规划时，应当按照本省国土空间规划、生态环境保护规划以及本省确定的生态保护红线、环境质量底线、资源利用上线和生态环境准入清单要求，合理确定煤炭、石油、天然气开发区域、规模和强度</w:t>
                  </w:r>
                </w:p>
              </w:tc>
              <w:tc>
                <w:tcPr>
                  <w:tcW w:w="1258" w:type="pct"/>
                  <w:vAlign w:val="center"/>
                </w:tcPr>
                <w:p w14:paraId="2D04906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本项目不涉及生态红线，项目满足环境质量底线、资源利用上线和生态环境准入清单要求</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2A3B1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20C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C5ED72E">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39671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799EE1F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第十三条 禁止在居民区和国务院或者省人民政府划定的重要水源涵养区、饮用水水源保护区，国家公园，自然保护区，风景名胜区、森林公园、地质公园、草原公园、湿地公园等自然公园、文物保护单位等区域内进行煤炭、石油、天然气开发</w:t>
                  </w:r>
                </w:p>
              </w:tc>
              <w:tc>
                <w:tcPr>
                  <w:tcW w:w="1258" w:type="pct"/>
                  <w:vAlign w:val="center"/>
                </w:tcPr>
                <w:p w14:paraId="3812B5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本项目位于榆林市</w:t>
                  </w:r>
                  <w:r>
                    <w:rPr>
                      <w:rFonts w:hint="eastAsia" w:ascii="Times New Roman" w:hAnsi="Times New Roman" w:eastAsia="宋体" w:cs="Times New Roman"/>
                      <w:color w:val="auto"/>
                      <w:sz w:val="21"/>
                      <w:szCs w:val="21"/>
                      <w:vertAlign w:val="baseline"/>
                      <w:lang w:val="en-US" w:eastAsia="zh-CN"/>
                    </w:rPr>
                    <w:t>佳县朱官寨镇</w:t>
                  </w:r>
                  <w:r>
                    <w:rPr>
                      <w:rFonts w:hint="default" w:ascii="Times New Roman" w:hAnsi="Times New Roman" w:eastAsia="宋体" w:cs="Times New Roman"/>
                      <w:color w:val="auto"/>
                      <w:sz w:val="21"/>
                      <w:szCs w:val="21"/>
                      <w:vertAlign w:val="baseline"/>
                      <w:lang w:val="en-US" w:eastAsia="zh-CN"/>
                    </w:rPr>
                    <w:t>，勘探后</w:t>
                  </w:r>
                  <w:r>
                    <w:rPr>
                      <w:rFonts w:hint="eastAsia" w:ascii="Times New Roman" w:hAnsi="Times New Roman" w:eastAsia="宋体" w:cs="Times New Roman"/>
                      <w:color w:val="auto"/>
                      <w:sz w:val="21"/>
                      <w:szCs w:val="21"/>
                      <w:vertAlign w:val="baseline"/>
                      <w:lang w:val="en-US" w:eastAsia="zh-CN"/>
                    </w:rPr>
                    <w:t>若</w:t>
                  </w:r>
                  <w:r>
                    <w:rPr>
                      <w:rFonts w:hint="default" w:ascii="Times New Roman" w:hAnsi="Times New Roman" w:eastAsia="宋体" w:cs="Times New Roman"/>
                      <w:color w:val="auto"/>
                      <w:sz w:val="21"/>
                      <w:szCs w:val="21"/>
                      <w:vertAlign w:val="baseline"/>
                      <w:lang w:val="en-US" w:eastAsia="zh-CN"/>
                    </w:rPr>
                    <w:t>采取永久封井，</w:t>
                  </w:r>
                  <w:r>
                    <w:rPr>
                      <w:rFonts w:hint="eastAsia" w:ascii="Times New Roman" w:hAnsi="Times New Roman" w:eastAsia="宋体" w:cs="Times New Roman"/>
                      <w:color w:val="auto"/>
                      <w:sz w:val="21"/>
                      <w:szCs w:val="21"/>
                      <w:vertAlign w:val="baseline"/>
                      <w:lang w:val="en-US" w:eastAsia="zh-CN"/>
                    </w:rPr>
                    <w:t>则项目为临时占地；若</w:t>
                  </w:r>
                  <w:r>
                    <w:rPr>
                      <w:rFonts w:hint="default" w:ascii="Times New Roman" w:hAnsi="Times New Roman" w:eastAsia="宋体" w:cs="Times New Roman"/>
                      <w:color w:val="auto"/>
                      <w:sz w:val="21"/>
                      <w:szCs w:val="21"/>
                      <w:vertAlign w:val="baseline"/>
                      <w:lang w:val="en-US" w:eastAsia="zh-CN"/>
                    </w:rPr>
                    <w:t>采取临时封井，除预留转成生产井所需的面积</w:t>
                  </w:r>
                  <w:r>
                    <w:rPr>
                      <w:rFonts w:hint="eastAsia" w:ascii="Times New Roman" w:hAnsi="Times New Roman" w:eastAsia="宋体" w:cs="Times New Roman"/>
                      <w:color w:val="auto"/>
                      <w:sz w:val="21"/>
                      <w:szCs w:val="21"/>
                      <w:vertAlign w:val="baseline"/>
                      <w:lang w:val="en-US" w:eastAsia="zh-CN"/>
                    </w:rPr>
                    <w:t>为永久占地</w:t>
                  </w:r>
                  <w:r>
                    <w:rPr>
                      <w:rFonts w:hint="default" w:ascii="Times New Roman" w:hAnsi="Times New Roman" w:eastAsia="宋体" w:cs="Times New Roman"/>
                      <w:color w:val="auto"/>
                      <w:sz w:val="21"/>
                      <w:szCs w:val="21"/>
                      <w:vertAlign w:val="baseline"/>
                      <w:lang w:val="en-US" w:eastAsia="zh-CN"/>
                    </w:rPr>
                    <w:t>，其他区域</w:t>
                  </w:r>
                  <w:r>
                    <w:rPr>
                      <w:rFonts w:hint="eastAsia" w:ascii="Times New Roman" w:hAnsi="Times New Roman" w:eastAsia="宋体" w:cs="Times New Roman"/>
                      <w:color w:val="auto"/>
                      <w:sz w:val="21"/>
                      <w:szCs w:val="21"/>
                      <w:vertAlign w:val="baseline"/>
                      <w:lang w:val="en-US" w:eastAsia="zh-CN"/>
                    </w:rPr>
                    <w:t>为临时占地</w:t>
                  </w:r>
                  <w:r>
                    <w:rPr>
                      <w:rFonts w:hint="default" w:ascii="Times New Roman" w:hAnsi="Times New Roman" w:eastAsia="宋体" w:cs="Times New Roman"/>
                      <w:color w:val="auto"/>
                      <w:sz w:val="21"/>
                      <w:szCs w:val="21"/>
                      <w:vertAlign w:val="baseline"/>
                      <w:lang w:val="en-US" w:eastAsia="zh-CN"/>
                    </w:rPr>
                    <w:t>，不涉及重要水源涵养区、饮用水水源保护区，国家公园、自然保护区、风景名胜区、森林公园、地质公园、草原公园、湿地公园等自然公园、文物保护单位等区域</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70B2A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A94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3A8A26F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4AFE4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54B85B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第十六条 新建、扩建、改建煤炭、石油、天然气开发建设项目，建设单位应当在项目开工建设前编制环境影响评价文件，按照建设项目环境影响评价分级管理目录规定，报有审批权的生态环境行政主管部门审批。实行相对集中行政许可权的地方，审批机关应当将审批文件同时抄送项目所在地同级生态环境行政主管部门</w:t>
                  </w:r>
                </w:p>
              </w:tc>
              <w:tc>
                <w:tcPr>
                  <w:tcW w:w="1258" w:type="pct"/>
                  <w:vAlign w:val="center"/>
                </w:tcPr>
                <w:p w14:paraId="650CDB1F">
                  <w:pPr>
                    <w:keepNext w:val="0"/>
                    <w:keepLines w:val="0"/>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长庆油田分公司天然气评价项目部已正式委托我公司进行环境影响评价工作，拟上报榆林市生态环境局</w:t>
                  </w:r>
                  <w:r>
                    <w:rPr>
                      <w:rFonts w:hint="eastAsia" w:ascii="Times New Roman" w:hAnsi="Times New Roman" w:eastAsia="宋体" w:cs="Times New Roman"/>
                      <w:color w:val="auto"/>
                      <w:sz w:val="21"/>
                      <w:szCs w:val="21"/>
                      <w:vertAlign w:val="baseline"/>
                      <w:lang w:val="en-US" w:eastAsia="zh-CN"/>
                    </w:rPr>
                    <w:t>佳县</w:t>
                  </w:r>
                  <w:r>
                    <w:rPr>
                      <w:rFonts w:hint="default" w:ascii="Times New Roman" w:hAnsi="Times New Roman" w:eastAsia="宋体" w:cs="Times New Roman"/>
                      <w:color w:val="auto"/>
                      <w:sz w:val="21"/>
                      <w:szCs w:val="21"/>
                      <w:vertAlign w:val="baseline"/>
                      <w:lang w:val="en-US" w:eastAsia="zh-CN"/>
                    </w:rPr>
                    <w:t>分局审批</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4AC59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CC4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C1AEBA7">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1A0D5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5394C4B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第二十六条 石油、天然气开发单位应当对开采过程中产生的钻井废水、压裂返排液、采出水按照国家有关规定进行无害化处理，经处理达到标准的，按照经批准的环境影响评价文件要求排放或者回注。石油采出水应当同层回注，不得外排</w:t>
                  </w:r>
                </w:p>
              </w:tc>
              <w:tc>
                <w:tcPr>
                  <w:tcW w:w="1258" w:type="pct"/>
                  <w:vAlign w:val="center"/>
                </w:tcPr>
                <w:p w14:paraId="19C7BE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本项目天然气勘探过程产生的钻井废水、压裂返排液</w:t>
                  </w:r>
                  <w:r>
                    <w:rPr>
                      <w:rFonts w:hint="eastAsia" w:ascii="Times New Roman" w:hAnsi="Times New Roman" w:eastAsia="宋体" w:cs="Times New Roman"/>
                      <w:color w:val="auto"/>
                      <w:sz w:val="21"/>
                      <w:szCs w:val="21"/>
                      <w:vertAlign w:val="baseline"/>
                      <w:lang w:val="en-US" w:eastAsia="zh-CN"/>
                    </w:rPr>
                    <w:t>收集暂存于井场内各类收集罐中，定期由陕西榆佳环保科技有限公司拉运处置，陕西榆佳环保科技有限公司采用“二级酸析反应沉淀+液碱+CO</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vertAlign w:val="baseline"/>
                      <w:lang w:val="en-US" w:eastAsia="zh-CN"/>
                    </w:rPr>
                    <w:t>+隔膜压滤+精密过滤+紫外杀菌”工艺处理后回用于气田开采配置压裂液及钻井泥浆</w:t>
                  </w:r>
                  <w:r>
                    <w:rPr>
                      <w:rFonts w:hint="default" w:ascii="Times New Roman" w:hAnsi="Times New Roman" w:eastAsia="宋体" w:cs="Times New Roman"/>
                      <w:color w:val="auto"/>
                      <w:sz w:val="21"/>
                      <w:szCs w:val="21"/>
                      <w:vertAlign w:val="baseline"/>
                      <w:lang w:val="en-US" w:eastAsia="zh-CN"/>
                    </w:rPr>
                    <w:t>。</w:t>
                  </w:r>
                </w:p>
              </w:tc>
              <w:tc>
                <w:tcPr>
                  <w:tcW w:w="282" w:type="pct"/>
                  <w:vAlign w:val="center"/>
                </w:tcPr>
                <w:p w14:paraId="7E4D5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C1E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595B755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5C4EC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487B03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第二十九条 煤炭、石油、天然气开发单位收集、贮存、运输、利用和处置危险废物，应当严格执行国家和本省有关规定，不得将危险废物交由不具备资质的单位处置</w:t>
                  </w:r>
                </w:p>
              </w:tc>
              <w:tc>
                <w:tcPr>
                  <w:tcW w:w="1258" w:type="pct"/>
                  <w:vAlign w:val="center"/>
                </w:tcPr>
                <w:p w14:paraId="51AE11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本项目产生的危险废物委托有资质单位处理</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3F8E4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3BC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6CA5A4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4E2D54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11547212">
                  <w:pPr>
                    <w:pStyle w:val="29"/>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石油、天然气开发单位对开采过程中产生的废弃泥浆、岩屑等工业固体废物应当集中收集、处置</w:t>
                  </w:r>
                </w:p>
              </w:tc>
              <w:tc>
                <w:tcPr>
                  <w:tcW w:w="1258" w:type="pct"/>
                  <w:vAlign w:val="center"/>
                </w:tcPr>
                <w:p w14:paraId="1F24465A">
                  <w:pPr>
                    <w:pStyle w:val="29"/>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本项目施工场地设有移动式</w:t>
                  </w:r>
                  <w:r>
                    <w:rPr>
                      <w:rFonts w:hint="default" w:ascii="Times New Roman" w:hAnsi="Times New Roman" w:eastAsia="宋体" w:cs="Times New Roman"/>
                      <w:color w:val="auto"/>
                      <w:sz w:val="21"/>
                      <w:szCs w:val="21"/>
                    </w:rPr>
                    <w:t>泥饼和岩屑收集罐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对产生的废弃泥浆和岩屑进行集中收集，待施工结束后，</w:t>
                  </w:r>
                  <w:r>
                    <w:rPr>
                      <w:rFonts w:hint="eastAsia" w:cs="Times New Roman"/>
                      <w:color w:val="auto"/>
                      <w:sz w:val="21"/>
                      <w:szCs w:val="21"/>
                      <w:lang w:val="en-US" w:eastAsia="zh-CN"/>
                    </w:rPr>
                    <w:t>由陕西德禾鑫盛环保科技有限公司</w:t>
                  </w:r>
                  <w:r>
                    <w:rPr>
                      <w:rFonts w:hint="default" w:ascii="Times New Roman" w:hAnsi="Times New Roman" w:eastAsia="宋体" w:cs="Times New Roman"/>
                      <w:color w:val="auto"/>
                      <w:sz w:val="21"/>
                      <w:szCs w:val="21"/>
                      <w:lang w:val="en-US" w:eastAsia="zh-CN"/>
                    </w:rPr>
                    <w:t>外运</w:t>
                  </w:r>
                  <w:r>
                    <w:rPr>
                      <w:rFonts w:hint="eastAsia" w:cs="Times New Roman"/>
                      <w:color w:val="auto"/>
                      <w:sz w:val="21"/>
                      <w:szCs w:val="21"/>
                      <w:lang w:val="en-US" w:eastAsia="zh-CN"/>
                    </w:rPr>
                    <w:t>后填埋</w:t>
                  </w:r>
                  <w:r>
                    <w:rPr>
                      <w:rFonts w:hint="default" w:ascii="Times New Roman" w:hAnsi="Times New Roman" w:eastAsia="宋体" w:cs="Times New Roman"/>
                      <w:color w:val="auto"/>
                      <w:sz w:val="21"/>
                      <w:szCs w:val="21"/>
                      <w:lang w:val="en-US" w:eastAsia="zh-CN"/>
                    </w:rPr>
                    <w:t>处置</w:t>
                  </w:r>
                  <w:r>
                    <w:rPr>
                      <w:rFonts w:hint="eastAsia" w:cs="Times New Roman"/>
                      <w:color w:val="auto"/>
                      <w:sz w:val="21"/>
                      <w:szCs w:val="21"/>
                      <w:lang w:val="en-US" w:eastAsia="zh-CN"/>
                    </w:rPr>
                    <w:t>。</w:t>
                  </w:r>
                </w:p>
              </w:tc>
              <w:tc>
                <w:tcPr>
                  <w:tcW w:w="282" w:type="pct"/>
                  <w:vAlign w:val="center"/>
                </w:tcPr>
                <w:p w14:paraId="3FF439CC">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B52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E0D982D">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00CD1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587F9736">
                  <w:pPr>
                    <w:pStyle w:val="29"/>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天然气井选点测试放喷，应当综合考虑气候、风向、安全等因素合理选点，远离居民区和建筑物，排出的气体应当点燃焚烧</w:t>
                  </w:r>
                </w:p>
              </w:tc>
              <w:tc>
                <w:tcPr>
                  <w:tcW w:w="1258" w:type="pct"/>
                  <w:vAlign w:val="center"/>
                </w:tcPr>
                <w:p w14:paraId="32070C60">
                  <w:pPr>
                    <w:pStyle w:val="29"/>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测试放喷的天然气经专用放喷管线引至</w:t>
                  </w:r>
                  <w:r>
                    <w:rPr>
                      <w:rFonts w:hint="eastAsia" w:cs="Times New Roman"/>
                      <w:color w:val="auto"/>
                      <w:sz w:val="21"/>
                      <w:szCs w:val="21"/>
                      <w:lang w:val="en-US" w:eastAsia="zh-CN"/>
                    </w:rPr>
                    <w:t>放喷池</w:t>
                  </w:r>
                  <w:r>
                    <w:rPr>
                      <w:rFonts w:hint="default" w:ascii="Times New Roman" w:hAnsi="Times New Roman" w:eastAsia="宋体" w:cs="Times New Roman"/>
                      <w:color w:val="auto"/>
                      <w:sz w:val="21"/>
                      <w:szCs w:val="21"/>
                      <w:lang w:val="en-US" w:eastAsia="zh-CN"/>
                    </w:rPr>
                    <w:t>后点火燃烧，放喷时要选择合适的时间，在天气晴朗，且风较大的天气进行，便于废气扩散</w:t>
                  </w:r>
                  <w:r>
                    <w:rPr>
                      <w:rFonts w:hint="eastAsia" w:cs="Times New Roman"/>
                      <w:color w:val="auto"/>
                      <w:sz w:val="21"/>
                      <w:szCs w:val="21"/>
                      <w:lang w:val="en-US" w:eastAsia="zh-CN"/>
                    </w:rPr>
                    <w:t>。</w:t>
                  </w:r>
                </w:p>
              </w:tc>
              <w:tc>
                <w:tcPr>
                  <w:tcW w:w="282" w:type="pct"/>
                  <w:vAlign w:val="center"/>
                </w:tcPr>
                <w:p w14:paraId="4720ADB5">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B51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13F5392">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43289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2E67D72F">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煤炭、石油、天然气勘探开发中使用放射性同位素和射线装置的，应当依照放射性污染防治法律、法规的规定办理辐射安全许可证。放射性同位素和放射性废物的运输、储存、保管和封装等活动，按照放射性污染防治法律、法规的相关规定执行</w:t>
                  </w:r>
                </w:p>
              </w:tc>
              <w:tc>
                <w:tcPr>
                  <w:tcW w:w="1258" w:type="pct"/>
                  <w:vAlign w:val="center"/>
                </w:tcPr>
                <w:p w14:paraId="010A241A">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本次天然气勘探不使用放射性同位素和射线装置</w:t>
                  </w:r>
                  <w:r>
                    <w:rPr>
                      <w:rFonts w:hint="eastAsia" w:cs="Times New Roman"/>
                      <w:color w:val="auto"/>
                      <w:sz w:val="21"/>
                      <w:szCs w:val="21"/>
                      <w:lang w:val="en-US" w:eastAsia="zh-CN"/>
                    </w:rPr>
                    <w:t>。</w:t>
                  </w:r>
                </w:p>
              </w:tc>
              <w:tc>
                <w:tcPr>
                  <w:tcW w:w="282" w:type="pct"/>
                  <w:vAlign w:val="center"/>
                </w:tcPr>
                <w:p w14:paraId="7E930828">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07C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1DA6A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3</w:t>
                  </w:r>
                </w:p>
              </w:tc>
              <w:tc>
                <w:tcPr>
                  <w:tcW w:w="1430" w:type="pct"/>
                  <w:vMerge w:val="restart"/>
                  <w:vAlign w:val="center"/>
                </w:tcPr>
                <w:p w14:paraId="6BE80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《石油天然气开采业污染防治技术政策》</w:t>
                  </w:r>
                </w:p>
              </w:tc>
              <w:tc>
                <w:tcPr>
                  <w:tcW w:w="1754" w:type="pct"/>
                  <w:vAlign w:val="center"/>
                </w:tcPr>
                <w:p w14:paraId="6EE520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在环境敏感区进行石油天然气勘探、开采的，要在开发前对生态、环境影响进行充分论证，并严格执行环境影响评价文件的要求，积极采取缓解生态、环境破坏的措施</w:t>
                  </w:r>
                </w:p>
              </w:tc>
              <w:tc>
                <w:tcPr>
                  <w:tcW w:w="1258" w:type="pct"/>
                  <w:vAlign w:val="center"/>
                </w:tcPr>
                <w:p w14:paraId="27166C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本项目在钻井前进行环境影响评价，并积极采取生态保护与恢复措施</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1491E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E6F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F0F347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23B55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734BB0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在油气勘探过程中，宜使用环保型炸药和可控震源，应采取防渗等措施预防燃料泄漏对环境的污染</w:t>
                  </w:r>
                </w:p>
              </w:tc>
              <w:tc>
                <w:tcPr>
                  <w:tcW w:w="1258" w:type="pct"/>
                  <w:vAlign w:val="center"/>
                </w:tcPr>
                <w:p w14:paraId="29F8B3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项目属于气探井工程，勘探方式为钻探井，</w:t>
                  </w:r>
                  <w:r>
                    <w:rPr>
                      <w:rFonts w:hint="default" w:ascii="Times New Roman" w:hAnsi="Times New Roman" w:eastAsia="宋体" w:cs="Times New Roman"/>
                      <w:color w:val="auto"/>
                      <w:sz w:val="21"/>
                      <w:szCs w:val="21"/>
                      <w:highlight w:val="none"/>
                      <w:vertAlign w:val="baseline"/>
                      <w:lang w:val="en-US" w:eastAsia="zh-CN"/>
                    </w:rPr>
                    <w:t>钻机采用</w:t>
                  </w:r>
                  <w:r>
                    <w:rPr>
                      <w:rFonts w:hint="eastAsia" w:ascii="Times New Roman" w:hAnsi="Times New Roman" w:eastAsia="宋体" w:cs="Times New Roman"/>
                      <w:color w:val="auto"/>
                      <w:sz w:val="21"/>
                      <w:szCs w:val="21"/>
                      <w:highlight w:val="none"/>
                      <w:vertAlign w:val="baseline"/>
                      <w:lang w:val="en-US" w:eastAsia="zh-CN"/>
                    </w:rPr>
                    <w:t>电驱动机</w:t>
                  </w:r>
                  <w:r>
                    <w:rPr>
                      <w:rFonts w:hint="default" w:ascii="Times New Roman" w:hAnsi="Times New Roman" w:eastAsia="宋体" w:cs="Times New Roman"/>
                      <w:color w:val="auto"/>
                      <w:sz w:val="21"/>
                      <w:szCs w:val="21"/>
                      <w:highlight w:val="none"/>
                      <w:vertAlign w:val="baseline"/>
                      <w:lang w:val="en-US" w:eastAsia="zh-CN"/>
                    </w:rPr>
                    <w:t>。</w:t>
                  </w:r>
                </w:p>
              </w:tc>
              <w:tc>
                <w:tcPr>
                  <w:tcW w:w="282" w:type="pct"/>
                  <w:vAlign w:val="center"/>
                </w:tcPr>
                <w:p w14:paraId="610CD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F1F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49272A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5E5E1F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39E4D32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钻井过程中，鼓励采用环境友好的钻井液体系；配备完善的固控设备，钻井液循环率达到95%以上；钻井过程产生的废水应回用</w:t>
                  </w:r>
                </w:p>
              </w:tc>
              <w:tc>
                <w:tcPr>
                  <w:tcW w:w="1258" w:type="pct"/>
                  <w:vAlign w:val="center"/>
                </w:tcPr>
                <w:p w14:paraId="2DBB47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本项目使用水基钻井泥浆，钻井废水用于配置泥浆，循环使用，钻井液循环使用率要求达到95%以上</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79E5C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3F0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D84D59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57B0D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2DA4A35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1258" w:type="pct"/>
                  <w:vAlign w:val="center"/>
                </w:tcPr>
                <w:p w14:paraId="0FA1A7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本项目压裂返排液等交</w:t>
                  </w:r>
                  <w:r>
                    <w:rPr>
                      <w:rFonts w:hint="default" w:ascii="Times New Roman" w:hAnsi="Times New Roman" w:eastAsia="宋体" w:cs="Times New Roman"/>
                      <w:color w:val="auto"/>
                      <w:kern w:val="0"/>
                      <w:sz w:val="21"/>
                      <w:szCs w:val="21"/>
                      <w:lang w:val="en-US" w:eastAsia="zh-CN" w:bidi="ar"/>
                    </w:rPr>
                    <w:t>陕西</w:t>
                  </w:r>
                  <w:r>
                    <w:rPr>
                      <w:rFonts w:hint="eastAsia" w:ascii="Times New Roman" w:hAnsi="Times New Roman" w:eastAsia="宋体" w:cs="Times New Roman"/>
                      <w:color w:val="auto"/>
                      <w:kern w:val="0"/>
                      <w:sz w:val="21"/>
                      <w:szCs w:val="21"/>
                      <w:lang w:val="en-US" w:eastAsia="zh-CN" w:bidi="ar"/>
                    </w:rPr>
                    <w:t>榆佳环保科技</w:t>
                  </w:r>
                  <w:r>
                    <w:rPr>
                      <w:rFonts w:hint="default" w:ascii="Times New Roman" w:hAnsi="Times New Roman" w:eastAsia="宋体" w:cs="Times New Roman"/>
                      <w:color w:val="auto"/>
                      <w:kern w:val="0"/>
                      <w:sz w:val="21"/>
                      <w:szCs w:val="21"/>
                      <w:lang w:val="en-US" w:eastAsia="zh-CN" w:bidi="ar"/>
                    </w:rPr>
                    <w:t>有限公司</w:t>
                  </w:r>
                  <w:r>
                    <w:rPr>
                      <w:rFonts w:hint="eastAsia" w:ascii="Times New Roman" w:hAnsi="Times New Roman" w:eastAsia="宋体" w:cs="Times New Roman"/>
                      <w:color w:val="auto"/>
                      <w:sz w:val="21"/>
                      <w:szCs w:val="21"/>
                      <w:highlight w:val="none"/>
                      <w:vertAlign w:val="baseline"/>
                      <w:lang w:val="en-US" w:eastAsia="zh-CN"/>
                    </w:rPr>
                    <w:t>处置</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bidi="ar"/>
                    </w:rPr>
                    <w:t>压裂作业和试气过程采取防喷、地面管线防刺、防漏、防溢等措施。本项目勘探过程中不涉及酸化作业</w:t>
                  </w:r>
                  <w:r>
                    <w:rPr>
                      <w:rFonts w:hint="eastAsia" w:ascii="Times New Roman" w:hAnsi="Times New Roman" w:eastAsia="宋体" w:cs="Times New Roman"/>
                      <w:color w:val="auto"/>
                      <w:kern w:val="0"/>
                      <w:sz w:val="21"/>
                      <w:szCs w:val="21"/>
                      <w:lang w:val="en-US" w:eastAsia="zh-CN" w:bidi="ar"/>
                    </w:rPr>
                    <w:t>。</w:t>
                  </w:r>
                </w:p>
              </w:tc>
              <w:tc>
                <w:tcPr>
                  <w:tcW w:w="282" w:type="pct"/>
                  <w:vAlign w:val="center"/>
                </w:tcPr>
                <w:p w14:paraId="048248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279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532DBC3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20F48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4B02F5B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258" w:type="pct"/>
                  <w:vAlign w:val="center"/>
                </w:tcPr>
                <w:p w14:paraId="01FE0A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本项目突发环境事件应急预案纳入中国石油天然气股份有限公司长庆油田分公司突发环境事件应急预案中。</w:t>
                  </w:r>
                </w:p>
              </w:tc>
              <w:tc>
                <w:tcPr>
                  <w:tcW w:w="282" w:type="pct"/>
                  <w:vAlign w:val="center"/>
                </w:tcPr>
                <w:p w14:paraId="03441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D8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76981E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4</w:t>
                  </w:r>
                </w:p>
              </w:tc>
              <w:tc>
                <w:tcPr>
                  <w:tcW w:w="1430" w:type="pct"/>
                  <w:vMerge w:val="restart"/>
                  <w:vAlign w:val="center"/>
                </w:tcPr>
                <w:p w14:paraId="26294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《生态环境部关于进一步加强石油天然气行业环境影响评价管理的通知》</w:t>
                  </w:r>
                </w:p>
              </w:tc>
              <w:tc>
                <w:tcPr>
                  <w:tcW w:w="1754" w:type="pct"/>
                  <w:vAlign w:val="center"/>
                </w:tcPr>
                <w:p w14:paraId="70B45D5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default" w:ascii="Times New Roman" w:hAnsi="Times New Roman" w:eastAsia="宋体" w:cs="Times New Roman"/>
                      <w:color w:val="auto"/>
                      <w:kern w:val="0"/>
                      <w:sz w:val="21"/>
                      <w:szCs w:val="21"/>
                      <w:lang w:val="en-US" w:eastAsia="zh-CN" w:bidi="ar"/>
                    </w:rPr>
                    <w:t>规划环评应当结合油气开发区域的资源环境特征、主体功能区规划、自然保护地、生态保护红线管控等要求，切实维护生态系统完整性和稳定性，明确禁止开发区域和规划实施的资源环境制约因素，合理确定开发方案，明确预防和减轻不良环境影响的对策措施</w:t>
                  </w:r>
                </w:p>
              </w:tc>
              <w:tc>
                <w:tcPr>
                  <w:tcW w:w="1258" w:type="pct"/>
                  <w:vAlign w:val="center"/>
                </w:tcPr>
                <w:p w14:paraId="18847D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4D864A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5A9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1EF9071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2DDC1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35620772">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（五）</w:t>
                  </w:r>
                  <w:r>
                    <w:rPr>
                      <w:rFonts w:hint="default" w:ascii="Times New Roman" w:hAnsi="Times New Roman" w:eastAsia="宋体" w:cs="Times New Roman"/>
                      <w:color w:val="auto"/>
                      <w:kern w:val="0"/>
                      <w:sz w:val="21"/>
                      <w:szCs w:val="21"/>
                      <w:lang w:val="en-US" w:eastAsia="zh-CN" w:bidi="ar"/>
                    </w:rPr>
                    <w:t>未确定产能建设规模的陆地油气开采新区块，建设勘探井应当依法编制环境影响报告表</w:t>
                  </w:r>
                </w:p>
              </w:tc>
              <w:tc>
                <w:tcPr>
                  <w:tcW w:w="1258" w:type="pct"/>
                  <w:vAlign w:val="center"/>
                </w:tcPr>
                <w:p w14:paraId="669E0E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本项目区块不属于新区块，已取得采矿许可证，区块内滚动开发，为给后期产能项目提供依本次评价井</w:t>
                  </w: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color w:val="auto"/>
                      <w:sz w:val="21"/>
                      <w:szCs w:val="21"/>
                      <w:vertAlign w:val="baseline"/>
                      <w:lang w:val="en-US" w:eastAsia="zh-CN"/>
                    </w:rPr>
                    <w:t>委托编制环境影响报告表。</w:t>
                  </w:r>
                </w:p>
              </w:tc>
              <w:tc>
                <w:tcPr>
                  <w:tcW w:w="282" w:type="pct"/>
                  <w:vAlign w:val="center"/>
                </w:tcPr>
                <w:p w14:paraId="42156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AF9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CC47353">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155E4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539BCE3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（七）</w:t>
                  </w:r>
                  <w:r>
                    <w:rPr>
                      <w:rFonts w:hint="default" w:ascii="Times New Roman" w:hAnsi="Times New Roman" w:eastAsia="宋体" w:cs="Times New Roman"/>
                      <w:color w:val="auto"/>
                      <w:kern w:val="0"/>
                      <w:sz w:val="21"/>
                      <w:szCs w:val="21"/>
                      <w:lang w:val="en-US" w:eastAsia="zh-CN" w:bidi="ar"/>
                    </w:rPr>
                    <w:t>涉及向地表水体排放污染物的陆地油气开采项目，应当符合国家和地方污染物排放标准，满足重点污染物排放总量控制要求</w:t>
                  </w:r>
                </w:p>
              </w:tc>
              <w:tc>
                <w:tcPr>
                  <w:tcW w:w="1258" w:type="pct"/>
                  <w:vAlign w:val="center"/>
                </w:tcPr>
                <w:p w14:paraId="17DC6C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本项目生活污水和施工废水均不外排</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09A6C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290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155D90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33BF4D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3B15E8D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（九）</w:t>
                  </w:r>
                  <w:r>
                    <w:rPr>
                      <w:rFonts w:hint="default" w:ascii="Times New Roman" w:hAnsi="Times New Roman" w:eastAsia="宋体" w:cs="Times New Roman"/>
                      <w:color w:val="auto"/>
                      <w:kern w:val="0"/>
                      <w:sz w:val="21"/>
                      <w:szCs w:val="21"/>
                      <w:lang w:val="en-US" w:eastAsia="zh-CN" w:bidi="ar"/>
                    </w:rPr>
                    <w:t>油气开采产生的废弃油基泥浆、含油钻屑及其他固体废物，应当遵循减量化、资源化、无害化原则，按照国家和地方有关固体废物的管理规定进行处置</w:t>
                  </w:r>
                </w:p>
              </w:tc>
              <w:tc>
                <w:tcPr>
                  <w:tcW w:w="1258" w:type="pct"/>
                  <w:vAlign w:val="center"/>
                </w:tcPr>
                <w:p w14:paraId="574C94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本项目采用水基泥浆钻井液，不产生废弃油基泥浆、含油钻屑</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3F18C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FD9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0451BB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230D1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15EBAF5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w:t>
                  </w:r>
                  <w:r>
                    <w:rPr>
                      <w:rFonts w:hint="default" w:ascii="Times New Roman" w:hAnsi="Times New Roman" w:eastAsia="宋体" w:cs="Times New Roman"/>
                      <w:color w:val="auto"/>
                      <w:kern w:val="0"/>
                      <w:sz w:val="21"/>
                      <w:szCs w:val="21"/>
                      <w:lang w:val="en-US" w:eastAsia="zh-CN" w:bidi="ar"/>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258" w:type="pct"/>
                  <w:vAlign w:val="center"/>
                </w:tcPr>
                <w:p w14:paraId="33E13CB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本项目采用电驱动钻井，钻井过程中不会产生有机废气及恶臭气体</w:t>
                  </w:r>
                </w:p>
              </w:tc>
              <w:tc>
                <w:tcPr>
                  <w:tcW w:w="282" w:type="pct"/>
                  <w:vAlign w:val="center"/>
                </w:tcPr>
                <w:p w14:paraId="4F48D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22B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233B25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310F3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24BAF5B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（十一）</w:t>
                  </w:r>
                  <w:r>
                    <w:rPr>
                      <w:rFonts w:hint="default" w:ascii="Times New Roman" w:hAnsi="Times New Roman" w:eastAsia="宋体" w:cs="Times New Roman"/>
                      <w:color w:val="auto"/>
                      <w:kern w:val="0"/>
                      <w:sz w:val="21"/>
                      <w:szCs w:val="21"/>
                      <w:lang w:val="en-US" w:eastAsia="zh-CN" w:bidi="ar"/>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258" w:type="pct"/>
                  <w:vAlign w:val="center"/>
                </w:tcPr>
                <w:p w14:paraId="0A0C23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项目施工期较短，项目地周边100m范围内无环境敏感目标。项目选用低噪声设备，勘探结束后进行生态恢复</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0A1C9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63E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78F3D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5</w:t>
                  </w:r>
                </w:p>
              </w:tc>
              <w:tc>
                <w:tcPr>
                  <w:tcW w:w="1430" w:type="pct"/>
                  <w:vMerge w:val="restart"/>
                  <w:vAlign w:val="center"/>
                </w:tcPr>
                <w:p w14:paraId="1CFEB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《陕西省石油天然气开采项目环境影响评价文件审批要点》</w:t>
                  </w:r>
                </w:p>
              </w:tc>
              <w:tc>
                <w:tcPr>
                  <w:tcW w:w="1754" w:type="pct"/>
                  <w:vAlign w:val="center"/>
                </w:tcPr>
                <w:p w14:paraId="3126A00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258" w:type="pct"/>
                  <w:vAlign w:val="center"/>
                </w:tcPr>
                <w:p w14:paraId="2644EC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本</w:t>
                  </w:r>
                  <w:r>
                    <w:rPr>
                      <w:rFonts w:hint="default" w:ascii="Times New Roman" w:hAnsi="Times New Roman" w:eastAsia="宋体" w:cs="Times New Roman"/>
                      <w:color w:val="auto"/>
                      <w:sz w:val="21"/>
                      <w:szCs w:val="21"/>
                      <w:vertAlign w:val="baseline"/>
                      <w:lang w:val="en-US" w:eastAsia="zh-CN"/>
                    </w:rPr>
                    <w:t>项目不涉及生态红线，不涉及水源涵养区、饮用水水源保护区，国家公园，自然保护区，风景名胜区、森林公园、地质公园、湿地公园等自然公园、文物保护单位等</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0E4846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168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321770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20B2C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0F3B9732">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油气开采企业应对永久停用、拆除或弃置的各类井、管道等工程设施落实封堵、土壤及地下水修复、生态修复等措施</w:t>
                  </w:r>
                </w:p>
              </w:tc>
              <w:tc>
                <w:tcPr>
                  <w:tcW w:w="1258" w:type="pct"/>
                  <w:vAlign w:val="center"/>
                </w:tcPr>
                <w:p w14:paraId="0B9C53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w:t>
                  </w:r>
                  <w:r>
                    <w:rPr>
                      <w:rFonts w:hint="eastAsia" w:ascii="Times New Roman" w:hAnsi="Times New Roman" w:eastAsia="宋体" w:cs="Times New Roman"/>
                      <w:color w:val="auto"/>
                      <w:sz w:val="21"/>
                      <w:szCs w:val="21"/>
                      <w:vertAlign w:val="baseline"/>
                      <w:lang w:val="en-US" w:eastAsia="zh-CN"/>
                    </w:rPr>
                    <w:t>评价井建设</w:t>
                  </w:r>
                  <w:r>
                    <w:rPr>
                      <w:rFonts w:hint="default" w:ascii="Times New Roman" w:hAnsi="Times New Roman" w:eastAsia="宋体" w:cs="Times New Roman"/>
                      <w:color w:val="auto"/>
                      <w:sz w:val="21"/>
                      <w:szCs w:val="21"/>
                      <w:vertAlign w:val="baseline"/>
                      <w:lang w:val="en-US" w:eastAsia="zh-CN"/>
                    </w:rPr>
                    <w:t>项目，当</w:t>
                  </w:r>
                  <w:r>
                    <w:rPr>
                      <w:rFonts w:hint="eastAsia" w:ascii="Times New Roman" w:hAnsi="Times New Roman" w:eastAsia="宋体" w:cs="Times New Roman"/>
                      <w:color w:val="auto"/>
                      <w:sz w:val="21"/>
                      <w:szCs w:val="21"/>
                      <w:vertAlign w:val="baseline"/>
                      <w:lang w:val="en-US" w:eastAsia="zh-CN"/>
                    </w:rPr>
                    <w:t>评价</w:t>
                  </w:r>
                  <w:r>
                    <w:rPr>
                      <w:rFonts w:hint="default" w:ascii="Times New Roman" w:hAnsi="Times New Roman" w:eastAsia="宋体" w:cs="Times New Roman"/>
                      <w:color w:val="auto"/>
                      <w:sz w:val="21"/>
                      <w:szCs w:val="21"/>
                      <w:vertAlign w:val="baseline"/>
                      <w:lang w:val="en-US" w:eastAsia="zh-CN"/>
                    </w:rPr>
                    <w:t>井不具有开发价值时，采取永久封井，对井场临时占地以及进场道路恢复原状；当勘探井具有开发价值时，采取临时封井，除预留转成生产井所需的面积外，保留临时拓宽道路，其他区域恢复原有植被和生态景观，使区域生态景观和谐一致</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7CB0AB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5C4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31EE9845">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3E964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76F03E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涉及废水回注的油气开采项目，应当论证回注的环境可行性，不得回注与油气开采无关的废水</w:t>
                  </w:r>
                </w:p>
              </w:tc>
              <w:tc>
                <w:tcPr>
                  <w:tcW w:w="1258" w:type="pct"/>
                  <w:vAlign w:val="center"/>
                </w:tcPr>
                <w:p w14:paraId="7E741B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w:t>
                  </w:r>
                  <w:r>
                    <w:rPr>
                      <w:rFonts w:hint="eastAsia" w:ascii="Times New Roman" w:hAnsi="Times New Roman" w:eastAsia="宋体" w:cs="Times New Roman"/>
                      <w:color w:val="auto"/>
                      <w:sz w:val="21"/>
                      <w:szCs w:val="21"/>
                      <w:vertAlign w:val="baseline"/>
                      <w:lang w:val="en-US" w:eastAsia="zh-CN"/>
                    </w:rPr>
                    <w:t>评价井</w:t>
                  </w:r>
                  <w:r>
                    <w:rPr>
                      <w:rFonts w:hint="default" w:ascii="Times New Roman" w:hAnsi="Times New Roman" w:eastAsia="宋体" w:cs="Times New Roman"/>
                      <w:color w:val="auto"/>
                      <w:sz w:val="21"/>
                      <w:szCs w:val="21"/>
                      <w:vertAlign w:val="baseline"/>
                      <w:lang w:val="en-US" w:eastAsia="zh-CN"/>
                    </w:rPr>
                    <w:t>勘探项目，不涉及废水回注</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389C9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CF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CD81F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6</w:t>
                  </w:r>
                </w:p>
              </w:tc>
              <w:tc>
                <w:tcPr>
                  <w:tcW w:w="1430" w:type="pct"/>
                  <w:vAlign w:val="center"/>
                </w:tcPr>
                <w:p w14:paraId="20E59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《陕西省加强陕北地区环境保护的若干意见》</w:t>
                  </w:r>
                </w:p>
              </w:tc>
              <w:tc>
                <w:tcPr>
                  <w:tcW w:w="1754" w:type="pct"/>
                  <w:vAlign w:val="center"/>
                </w:tcPr>
                <w:p w14:paraId="7034CE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城市规划区、生态防护区、试验区、自然保护区内不得开采煤、气、油、盐；城市饮用水水源一、二级保护区、革命圣地遗址、风景名胜区等具有特殊保护价值的地区，不得新建各类有污染的项目</w:t>
                  </w:r>
                </w:p>
              </w:tc>
              <w:tc>
                <w:tcPr>
                  <w:tcW w:w="1258" w:type="pct"/>
                  <w:vAlign w:val="center"/>
                </w:tcPr>
                <w:p w14:paraId="3FB36C8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项目建设内容不在城市规划区、生态防护区、试验区、自然保护区、一二级水源保护区内、革命圣地遗址、风景名胜区等具有特殊保护价值的地区内</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1113F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C7F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167661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7</w:t>
                  </w:r>
                </w:p>
              </w:tc>
              <w:tc>
                <w:tcPr>
                  <w:tcW w:w="1430" w:type="pct"/>
                  <w:vAlign w:val="center"/>
                </w:tcPr>
                <w:p w14:paraId="1C186D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《陕西省防沙治沙规划（2021-2030年）》</w:t>
                  </w:r>
                </w:p>
              </w:tc>
              <w:tc>
                <w:tcPr>
                  <w:tcW w:w="1754" w:type="pct"/>
                  <w:shd w:val="clear" w:color="auto" w:fill="auto"/>
                  <w:vAlign w:val="center"/>
                </w:tcPr>
                <w:p w14:paraId="4682C7A8">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（四）黄土(丘陵)覆沙治理区</w:t>
                  </w:r>
                </w:p>
                <w:p w14:paraId="3F5B961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区地处长城沿线毛乌素沙地治理区东南，包括榆阳、横山、神木、府谷、佳县5个县(市、区)46个乡镇，总面积920091.25公顷，占规划总面积的25.02%，其中沙化土地面积57931.05公顷。本区为沙地与黄土梁峁的过渡带，沟壑纵横深切，梁涧兼存，尤其是黄河沿线石质山区地势陡峭，侵蚀模数大；该区气候干燥，有效降水少，植被覆盖率低，水蚀、风蚀荒漠化并存。</w:t>
                  </w:r>
                </w:p>
                <w:p w14:paraId="042C154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主攻方向</w:t>
                  </w:r>
                  <w:r>
                    <w:rPr>
                      <w:rFonts w:hint="eastAsia" w:ascii="Times New Roman" w:hAnsi="Times New Roman" w:eastAsia="宋体" w:cs="Times New Roman"/>
                      <w:b/>
                      <w:bCs/>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保持水土，防治土地荒漠化和沙化。加强困难立地造林和飞播造林技术研究示范。重点营造防风固沙林和水土保持林，发展兼有生态经济功用的树种，加大经济林提质增效力度。环城市矿区、乡镇、村庄营造景观防护林，农田、河道营造农田防护林、护岸林，加快绿化速度，提高植被覆盖度</w:t>
                  </w:r>
                  <w:r>
                    <w:rPr>
                      <w:rFonts w:hint="eastAsia" w:ascii="Times New Roman" w:hAnsi="Times New Roman" w:eastAsia="宋体" w:cs="Times New Roman"/>
                      <w:color w:val="auto"/>
                      <w:kern w:val="0"/>
                      <w:sz w:val="21"/>
                      <w:szCs w:val="21"/>
                      <w:lang w:val="en-US" w:eastAsia="zh-CN" w:bidi="ar"/>
                    </w:rPr>
                    <w:t>。</w:t>
                  </w:r>
                </w:p>
              </w:tc>
              <w:tc>
                <w:tcPr>
                  <w:tcW w:w="1258" w:type="pct"/>
                  <w:shd w:val="clear" w:color="auto" w:fill="auto"/>
                  <w:vAlign w:val="center"/>
                </w:tcPr>
                <w:p w14:paraId="4AD05FC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本项目位于佳县朱官寨镇。根据陕西省防沙治沙规划（2021-2030年）附表5，本项目位于黄土（丘陵）覆沙治理区，不涉及沙化土地封禁保区。本报告已提出保持水土、防治土地荒漠化及土地沙化的防治措施。</w:t>
                  </w:r>
                </w:p>
              </w:tc>
              <w:tc>
                <w:tcPr>
                  <w:tcW w:w="282" w:type="pct"/>
                  <w:vAlign w:val="center"/>
                </w:tcPr>
                <w:p w14:paraId="311A9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D64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6A1F0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8</w:t>
                  </w:r>
                </w:p>
              </w:tc>
              <w:tc>
                <w:tcPr>
                  <w:tcW w:w="1430" w:type="pct"/>
                  <w:vAlign w:val="center"/>
                </w:tcPr>
                <w:p w14:paraId="7B33B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《陕西省固体废物污染防治专项整治行动方案》</w:t>
                  </w:r>
                </w:p>
              </w:tc>
              <w:tc>
                <w:tcPr>
                  <w:tcW w:w="1754" w:type="pct"/>
                  <w:vAlign w:val="center"/>
                </w:tcPr>
                <w:p w14:paraId="269229F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落实产废企业污染防治主体责任。固体废物产生企业要对固体废物处置全过程负责，细化管理台账、落实申报登记制度，如实申报固体废物利用处置最终去向，实行申报登记信息承诺制，向社会公开固体废物产生种类、数量、利用、处置情况及承诺书等信息，接受社会监督</w:t>
                  </w:r>
                </w:p>
              </w:tc>
              <w:tc>
                <w:tcPr>
                  <w:tcW w:w="1258" w:type="pct"/>
                  <w:vAlign w:val="center"/>
                </w:tcPr>
                <w:p w14:paraId="091B62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项目产生的废弃岩屑、泥饼运输过程实施全程GPS定位及监控，严禁运输过程中随意掩埋、抛洒废弃钻井岩屑、泥饼。</w:t>
                  </w:r>
                  <w:r>
                    <w:rPr>
                      <w:rFonts w:hint="eastAsia" w:ascii="Times New Roman" w:hAnsi="Times New Roman" w:eastAsia="宋体" w:cs="Times New Roman"/>
                      <w:b w:val="0"/>
                      <w:bCs w:val="0"/>
                      <w:color w:val="auto"/>
                      <w:sz w:val="21"/>
                      <w:szCs w:val="21"/>
                      <w:vertAlign w:val="baseline"/>
                      <w:lang w:val="en-US" w:eastAsia="zh-CN"/>
                    </w:rPr>
                    <w:t>陕西德禾鑫盛环保科技有限公司</w:t>
                  </w:r>
                  <w:r>
                    <w:rPr>
                      <w:rFonts w:hint="default" w:ascii="Times New Roman" w:hAnsi="Times New Roman" w:eastAsia="宋体" w:cs="Times New Roman"/>
                      <w:color w:val="auto"/>
                      <w:sz w:val="21"/>
                      <w:szCs w:val="21"/>
                      <w:vertAlign w:val="baseline"/>
                      <w:lang w:val="en-US" w:eastAsia="zh-CN"/>
                    </w:rPr>
                    <w:t>负责废弃泥饼、岩屑从产生地至合法处置场之间的运输以及运输过程中的污染防治，并应按照规定向榆林市生态环境局</w:t>
                  </w:r>
                  <w:r>
                    <w:rPr>
                      <w:rFonts w:hint="eastAsia" w:ascii="Times New Roman" w:hAnsi="Times New Roman" w:eastAsia="宋体" w:cs="Times New Roman"/>
                      <w:color w:val="auto"/>
                      <w:sz w:val="21"/>
                      <w:szCs w:val="21"/>
                      <w:vertAlign w:val="baseline"/>
                      <w:lang w:val="en-US" w:eastAsia="zh-CN"/>
                    </w:rPr>
                    <w:t>佳县</w:t>
                  </w:r>
                  <w:r>
                    <w:rPr>
                      <w:rFonts w:hint="default" w:ascii="Times New Roman" w:hAnsi="Times New Roman" w:eastAsia="宋体" w:cs="Times New Roman"/>
                      <w:color w:val="auto"/>
                      <w:sz w:val="21"/>
                      <w:szCs w:val="21"/>
                      <w:vertAlign w:val="baseline"/>
                      <w:lang w:val="en-US" w:eastAsia="zh-CN"/>
                    </w:rPr>
                    <w:t>分局提供废物的产生量、实际流向和处置等有关资料</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79ED6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285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399D1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9</w:t>
                  </w:r>
                </w:p>
              </w:tc>
              <w:tc>
                <w:tcPr>
                  <w:tcW w:w="1430" w:type="pct"/>
                  <w:vAlign w:val="center"/>
                </w:tcPr>
                <w:p w14:paraId="3DF88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《榆林市油田开采废弃物不落地集中处置推广项目建设管理指南（试行）的通知》</w:t>
                  </w:r>
                </w:p>
              </w:tc>
              <w:tc>
                <w:tcPr>
                  <w:tcW w:w="1754" w:type="pct"/>
                  <w:vAlign w:val="center"/>
                </w:tcPr>
                <w:p w14:paraId="5354275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钻井现场配备移动式泥浆罐（槽）、振动筛、废弃泥浆混凝压滤机等预处理设备，泥渣、岩屑堆放场完成底部防渗处理，设置50公分防水围堰及堆场遮盖防雨设施。废弃泥浆岩屑经破乳、混凝、压滤后，含水率不高于50%，固相、液相废弃物在井场完井后10天内必须运往推广区域集中处置场所。废弃泥浆上清液、压裂返排液、渗滤收集液统一收集，送联合站、试点项目或集中处置站处理后回用于配制钻井液或压裂液，剩余部分由回注井实施同层达标回注</w:t>
                  </w:r>
                </w:p>
              </w:tc>
              <w:tc>
                <w:tcPr>
                  <w:tcW w:w="1258" w:type="pct"/>
                  <w:vAlign w:val="center"/>
                </w:tcPr>
                <w:p w14:paraId="7CA41BF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每个</w:t>
                  </w:r>
                  <w:r>
                    <w:rPr>
                      <w:rFonts w:hint="default" w:ascii="Times New Roman" w:hAnsi="Times New Roman" w:eastAsia="宋体" w:cs="Times New Roman"/>
                      <w:color w:val="auto"/>
                      <w:sz w:val="21"/>
                      <w:szCs w:val="21"/>
                      <w:vertAlign w:val="baseline"/>
                      <w:lang w:val="en-US" w:eastAsia="zh-CN"/>
                    </w:rPr>
                    <w:t>气井</w:t>
                  </w:r>
                  <w:r>
                    <w:rPr>
                      <w:rFonts w:hint="eastAsia" w:ascii="Times New Roman" w:hAnsi="Times New Roman" w:eastAsia="宋体" w:cs="Times New Roman"/>
                      <w:color w:val="auto"/>
                      <w:sz w:val="21"/>
                      <w:szCs w:val="21"/>
                      <w:vertAlign w:val="baseline"/>
                      <w:lang w:val="en-US" w:eastAsia="zh-CN"/>
                    </w:rPr>
                    <w:t>钻井</w:t>
                  </w:r>
                  <w:r>
                    <w:rPr>
                      <w:rFonts w:hint="default" w:ascii="Times New Roman" w:hAnsi="Times New Roman" w:eastAsia="宋体" w:cs="Times New Roman"/>
                      <w:color w:val="auto"/>
                      <w:sz w:val="21"/>
                      <w:szCs w:val="21"/>
                      <w:vertAlign w:val="baseline"/>
                      <w:lang w:val="en-US" w:eastAsia="zh-CN"/>
                    </w:rPr>
                    <w:t>现场设置</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个</w:t>
                  </w:r>
                  <w:r>
                    <w:rPr>
                      <w:rFonts w:hint="eastAsia" w:ascii="Times New Roman" w:hAnsi="Times New Roman" w:eastAsia="宋体" w:cs="Times New Roman"/>
                      <w:b w:val="0"/>
                      <w:bCs w:val="0"/>
                      <w:color w:val="auto"/>
                      <w:sz w:val="21"/>
                      <w:szCs w:val="21"/>
                      <w:vertAlign w:val="baseline"/>
                      <w:lang w:val="en-US" w:eastAsia="zh-CN"/>
                    </w:rPr>
                    <w:t>100</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移动式泥饼和岩屑收集罐，收集罐底部进行防渗处理并设置围堰。</w:t>
                  </w:r>
                  <w:r>
                    <w:rPr>
                      <w:rFonts w:hint="default" w:ascii="Times New Roman" w:hAnsi="Times New Roman" w:eastAsia="宋体" w:cs="Times New Roman"/>
                      <w:color w:val="auto"/>
                      <w:kern w:val="0"/>
                      <w:sz w:val="21"/>
                      <w:szCs w:val="21"/>
                      <w:lang w:val="en-US" w:eastAsia="zh-CN" w:bidi="ar"/>
                    </w:rPr>
                    <w:t>压裂返排液、钻井废水等</w:t>
                  </w:r>
                  <w:r>
                    <w:rPr>
                      <w:rFonts w:hint="eastAsia" w:ascii="Times New Roman" w:hAnsi="Times New Roman" w:eastAsia="宋体" w:cs="Times New Roman"/>
                      <w:color w:val="auto"/>
                      <w:kern w:val="0"/>
                      <w:sz w:val="21"/>
                      <w:szCs w:val="21"/>
                      <w:lang w:val="en-US" w:eastAsia="zh-CN" w:bidi="ar"/>
                    </w:rPr>
                    <w:t>交</w:t>
                  </w:r>
                  <w:r>
                    <w:rPr>
                      <w:rFonts w:hint="default" w:ascii="Times New Roman" w:hAnsi="Times New Roman" w:eastAsia="宋体" w:cs="Times New Roman"/>
                      <w:color w:val="auto"/>
                      <w:kern w:val="0"/>
                      <w:sz w:val="21"/>
                      <w:szCs w:val="21"/>
                      <w:lang w:val="en-US" w:eastAsia="zh-CN" w:bidi="ar"/>
                    </w:rPr>
                    <w:t>陕西</w:t>
                  </w:r>
                  <w:r>
                    <w:rPr>
                      <w:rFonts w:hint="eastAsia" w:ascii="Times New Roman" w:hAnsi="Times New Roman" w:eastAsia="宋体" w:cs="Times New Roman"/>
                      <w:color w:val="auto"/>
                      <w:kern w:val="0"/>
                      <w:sz w:val="21"/>
                      <w:szCs w:val="21"/>
                      <w:lang w:val="en-US" w:eastAsia="zh-CN" w:bidi="ar"/>
                    </w:rPr>
                    <w:t>榆佳环保科技</w:t>
                  </w:r>
                  <w:r>
                    <w:rPr>
                      <w:rFonts w:hint="default" w:ascii="Times New Roman" w:hAnsi="Times New Roman" w:eastAsia="宋体" w:cs="Times New Roman"/>
                      <w:color w:val="auto"/>
                      <w:kern w:val="0"/>
                      <w:sz w:val="21"/>
                      <w:szCs w:val="21"/>
                      <w:lang w:val="en-US" w:eastAsia="zh-CN" w:bidi="ar"/>
                    </w:rPr>
                    <w:t>有限公司</w:t>
                  </w:r>
                  <w:r>
                    <w:rPr>
                      <w:rFonts w:hint="eastAsia" w:ascii="Times New Roman" w:hAnsi="Times New Roman" w:eastAsia="宋体" w:cs="Times New Roman"/>
                      <w:color w:val="auto"/>
                      <w:kern w:val="0"/>
                      <w:sz w:val="21"/>
                      <w:szCs w:val="21"/>
                      <w:lang w:val="en-US" w:eastAsia="zh-CN" w:bidi="ar"/>
                    </w:rPr>
                    <w:t>处置。</w:t>
                  </w:r>
                </w:p>
              </w:tc>
              <w:tc>
                <w:tcPr>
                  <w:tcW w:w="282" w:type="pct"/>
                  <w:vAlign w:val="center"/>
                </w:tcPr>
                <w:p w14:paraId="04D3C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3A3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E8955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10</w:t>
                  </w:r>
                </w:p>
              </w:tc>
              <w:tc>
                <w:tcPr>
                  <w:tcW w:w="1430" w:type="pct"/>
                  <w:vAlign w:val="center"/>
                </w:tcPr>
                <w:p w14:paraId="615FD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《榆林市油（气）开采废弃物处置环保暂行管理办法》</w:t>
                  </w:r>
                </w:p>
              </w:tc>
              <w:tc>
                <w:tcPr>
                  <w:tcW w:w="1754" w:type="pct"/>
                  <w:vAlign w:val="center"/>
                </w:tcPr>
                <w:p w14:paraId="4BCB9CB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要在钻井前配备废弃钻井泥浆岩屑地上移动式收集设施，对钻井过程中废弃钻井泥浆岩屑进行不落地收集，收集设施不得混合收集其它废弃物；废弃钻井泥浆岩屑需在油（气）井完井后3天内，由防渗漏、防抛洒、防扬尘的运输车辆统一运送至油（气）开采废弃物集中处置场所处置</w:t>
                  </w:r>
                </w:p>
              </w:tc>
              <w:tc>
                <w:tcPr>
                  <w:tcW w:w="1258" w:type="pct"/>
                  <w:vAlign w:val="center"/>
                </w:tcPr>
                <w:p w14:paraId="029DAA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每个气井现场均</w:t>
                  </w:r>
                  <w:r>
                    <w:rPr>
                      <w:rFonts w:hint="default" w:ascii="Times New Roman" w:hAnsi="Times New Roman" w:eastAsia="宋体" w:cs="Times New Roman"/>
                      <w:color w:val="auto"/>
                      <w:sz w:val="21"/>
                      <w:szCs w:val="21"/>
                      <w:vertAlign w:val="baseline"/>
                      <w:lang w:val="en-US" w:eastAsia="zh-CN"/>
                    </w:rPr>
                    <w:t>设置</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个</w:t>
                  </w:r>
                  <w:r>
                    <w:rPr>
                      <w:rFonts w:hint="eastAsia" w:ascii="Times New Roman" w:hAnsi="Times New Roman" w:eastAsia="宋体" w:cs="Times New Roman"/>
                      <w:b w:val="0"/>
                      <w:bCs w:val="0"/>
                      <w:color w:val="auto"/>
                      <w:sz w:val="21"/>
                      <w:szCs w:val="21"/>
                      <w:vertAlign w:val="baseline"/>
                      <w:lang w:val="en-US" w:eastAsia="zh-CN"/>
                    </w:rPr>
                    <w:t>100</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w:t>
                  </w:r>
                  <w:r>
                    <w:rPr>
                      <w:rFonts w:hint="eastAsia" w:ascii="Times New Roman" w:hAnsi="Times New Roman" w:eastAsia="宋体" w:cs="Times New Roman"/>
                      <w:b w:val="0"/>
                      <w:bCs w:val="0"/>
                      <w:color w:val="auto"/>
                      <w:sz w:val="21"/>
                      <w:szCs w:val="21"/>
                      <w:vertAlign w:val="baseline"/>
                      <w:lang w:val="en-US" w:eastAsia="zh-CN"/>
                    </w:rPr>
                    <w:t>定期由陕西德禾鑫盛环保科技有限公司</w:t>
                  </w:r>
                  <w:r>
                    <w:rPr>
                      <w:rFonts w:hint="eastAsia" w:ascii="Times New Roman" w:hAnsi="Times New Roman" w:eastAsia="宋体" w:cs="Times New Roman"/>
                      <w:color w:val="auto"/>
                      <w:sz w:val="21"/>
                      <w:szCs w:val="21"/>
                      <w:vertAlign w:val="baseline"/>
                      <w:lang w:val="en-US" w:eastAsia="zh-CN"/>
                    </w:rPr>
                    <w:t>拉运处置</w:t>
                  </w:r>
                  <w:r>
                    <w:rPr>
                      <w:rFonts w:hint="eastAsia" w:ascii="Times New Roman" w:hAnsi="Times New Roman" w:eastAsia="宋体" w:cs="Times New Roman"/>
                      <w:b w:val="0"/>
                      <w:bCs w:val="0"/>
                      <w:color w:val="auto"/>
                      <w:sz w:val="21"/>
                      <w:szCs w:val="21"/>
                      <w:vertAlign w:val="baseline"/>
                      <w:lang w:val="en-US" w:eastAsia="zh-CN"/>
                    </w:rPr>
                    <w:t>。</w:t>
                  </w:r>
                </w:p>
              </w:tc>
              <w:tc>
                <w:tcPr>
                  <w:tcW w:w="282" w:type="pct"/>
                  <w:vAlign w:val="center"/>
                </w:tcPr>
                <w:p w14:paraId="41308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794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D4D5B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1</w:t>
                  </w:r>
                </w:p>
              </w:tc>
              <w:tc>
                <w:tcPr>
                  <w:tcW w:w="1430" w:type="pct"/>
                  <w:vMerge w:val="restart"/>
                  <w:vAlign w:val="center"/>
                </w:tcPr>
                <w:p w14:paraId="4016E3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《陆上石油天然气开采钻井废物处置污染控制技术要求》</w:t>
                  </w:r>
                </w:p>
              </w:tc>
              <w:tc>
                <w:tcPr>
                  <w:tcW w:w="1754" w:type="pct"/>
                  <w:vAlign w:val="center"/>
                </w:tcPr>
                <w:p w14:paraId="23ACFA9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钻井废物的收集、贮存、利用、处置，以及处钻井废物处置工程的选址、设计、施工、验收和运行应符合国家和地方固体废物污染防治法律法规与标准要求</w:t>
                  </w:r>
                </w:p>
              </w:tc>
              <w:tc>
                <w:tcPr>
                  <w:tcW w:w="1258" w:type="pct"/>
                  <w:vAlign w:val="center"/>
                </w:tcPr>
                <w:p w14:paraId="49E60F3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本项目属于</w:t>
                  </w:r>
                  <w:r>
                    <w:rPr>
                      <w:rFonts w:hint="eastAsia" w:ascii="Times New Roman" w:hAnsi="Times New Roman" w:eastAsia="宋体" w:cs="Times New Roman"/>
                      <w:color w:val="auto"/>
                      <w:sz w:val="21"/>
                      <w:szCs w:val="21"/>
                      <w:vertAlign w:val="baseline"/>
                      <w:lang w:val="en-US" w:eastAsia="zh-CN"/>
                    </w:rPr>
                    <w:t>天然气评价井</w:t>
                  </w:r>
                  <w:r>
                    <w:rPr>
                      <w:rFonts w:hint="default" w:ascii="Times New Roman" w:hAnsi="Times New Roman" w:eastAsia="宋体" w:cs="Times New Roman"/>
                      <w:color w:val="auto"/>
                      <w:sz w:val="21"/>
                      <w:szCs w:val="21"/>
                      <w:vertAlign w:val="baseline"/>
                      <w:lang w:val="en-US" w:eastAsia="zh-CN"/>
                    </w:rPr>
                    <w:t>探井项目，仅涉及施工期，钻井产生的污染物均有妥善处置去向，不会对周边环境产生不良影响。</w:t>
                  </w:r>
                  <w:r>
                    <w:rPr>
                      <w:rFonts w:hint="default" w:ascii="Times New Roman" w:hAnsi="Times New Roman" w:eastAsia="宋体" w:cs="Times New Roman"/>
                      <w:color w:val="auto"/>
                      <w:sz w:val="21"/>
                      <w:szCs w:val="21"/>
                      <w:highlight w:val="none"/>
                      <w:vertAlign w:val="baseline"/>
                      <w:lang w:val="en-US" w:eastAsia="zh-CN"/>
                    </w:rPr>
                    <w:t>项目钻井废水、洗井废水</w:t>
                  </w:r>
                  <w:r>
                    <w:rPr>
                      <w:rFonts w:hint="eastAsia" w:ascii="Times New Roman" w:hAnsi="Times New Roman" w:eastAsia="宋体" w:cs="Times New Roman"/>
                      <w:color w:val="auto"/>
                      <w:sz w:val="21"/>
                      <w:szCs w:val="21"/>
                      <w:vertAlign w:val="baseline"/>
                      <w:lang w:val="en-US" w:eastAsia="zh-CN"/>
                    </w:rPr>
                    <w:t>委</w:t>
                  </w:r>
                  <w:r>
                    <w:rPr>
                      <w:rFonts w:hint="eastAsia" w:ascii="Times New Roman" w:hAnsi="Times New Roman" w:eastAsia="宋体" w:cs="Times New Roman"/>
                      <w:color w:val="auto"/>
                      <w:sz w:val="21"/>
                      <w:szCs w:val="21"/>
                      <w:highlight w:val="none"/>
                      <w:vertAlign w:val="baseline"/>
                      <w:lang w:val="en-US" w:eastAsia="zh-CN"/>
                    </w:rPr>
                    <w:t>托</w:t>
                  </w:r>
                  <w:r>
                    <w:rPr>
                      <w:rFonts w:hint="default" w:ascii="Times New Roman" w:hAnsi="Times New Roman" w:eastAsia="宋体" w:cs="Times New Roman"/>
                      <w:color w:val="auto"/>
                      <w:sz w:val="21"/>
                      <w:szCs w:val="21"/>
                      <w:highlight w:val="none"/>
                      <w:vertAlign w:val="baseline"/>
                      <w:lang w:val="en-US" w:eastAsia="zh-CN"/>
                    </w:rPr>
                    <w:t>陕西</w:t>
                  </w:r>
                  <w:r>
                    <w:rPr>
                      <w:rFonts w:hint="eastAsia" w:ascii="Times New Roman" w:hAnsi="Times New Roman" w:eastAsia="宋体" w:cs="Times New Roman"/>
                      <w:color w:val="auto"/>
                      <w:sz w:val="21"/>
                      <w:szCs w:val="21"/>
                      <w:highlight w:val="none"/>
                      <w:vertAlign w:val="baseline"/>
                      <w:lang w:val="en-US" w:eastAsia="zh-CN"/>
                    </w:rPr>
                    <w:t>榆佳环保科技</w:t>
                  </w:r>
                  <w:r>
                    <w:rPr>
                      <w:rFonts w:hint="default" w:ascii="Times New Roman" w:hAnsi="Times New Roman" w:eastAsia="宋体" w:cs="Times New Roman"/>
                      <w:color w:val="auto"/>
                      <w:sz w:val="21"/>
                      <w:szCs w:val="21"/>
                      <w:highlight w:val="none"/>
                      <w:vertAlign w:val="baseline"/>
                      <w:lang w:val="en-US" w:eastAsia="zh-CN"/>
                    </w:rPr>
                    <w:t>有限公司</w:t>
                  </w:r>
                  <w:r>
                    <w:rPr>
                      <w:rFonts w:hint="eastAsia"/>
                      <w:color w:val="auto"/>
                      <w:sz w:val="21"/>
                      <w:szCs w:val="21"/>
                      <w:lang w:val="en-US" w:eastAsia="zh-CN"/>
                    </w:rPr>
                    <w:t>外运处理。</w:t>
                  </w:r>
                </w:p>
              </w:tc>
              <w:tc>
                <w:tcPr>
                  <w:tcW w:w="282" w:type="pct"/>
                  <w:vAlign w:val="center"/>
                </w:tcPr>
                <w:p w14:paraId="27750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C76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5190020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0C0597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6EA0984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钻井废水处置过程中使用环境友好的原材料与添加剂</w:t>
                  </w:r>
                </w:p>
              </w:tc>
              <w:tc>
                <w:tcPr>
                  <w:tcW w:w="1258" w:type="pct"/>
                  <w:vAlign w:val="center"/>
                </w:tcPr>
                <w:p w14:paraId="1143AC5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本项目气探井</w:t>
                  </w:r>
                  <w:r>
                    <w:rPr>
                      <w:rFonts w:hint="eastAsia" w:ascii="Times New Roman" w:hAnsi="Times New Roman" w:eastAsia="宋体" w:cs="Times New Roman"/>
                      <w:color w:val="auto"/>
                      <w:sz w:val="21"/>
                      <w:szCs w:val="21"/>
                      <w:vertAlign w:val="baseline"/>
                      <w:lang w:val="en-US" w:eastAsia="zh-CN"/>
                    </w:rPr>
                    <w:t>位于</w:t>
                  </w:r>
                  <w:r>
                    <w:rPr>
                      <w:rFonts w:hint="default" w:ascii="Times New Roman" w:hAnsi="Times New Roman" w:eastAsia="宋体" w:cs="Times New Roman"/>
                      <w:color w:val="auto"/>
                      <w:sz w:val="21"/>
                      <w:szCs w:val="21"/>
                      <w:vertAlign w:val="baseline"/>
                      <w:lang w:val="en-US" w:eastAsia="zh-CN"/>
                    </w:rPr>
                    <w:t>长庆油田分公司开发范围内，探井结束后，</w:t>
                  </w:r>
                  <w:r>
                    <w:rPr>
                      <w:rFonts w:hint="default" w:ascii="Times New Roman" w:hAnsi="Times New Roman" w:eastAsia="宋体" w:cs="Times New Roman"/>
                      <w:color w:val="auto"/>
                      <w:sz w:val="21"/>
                      <w:szCs w:val="21"/>
                      <w:highlight w:val="none"/>
                      <w:vertAlign w:val="baseline"/>
                      <w:lang w:val="en-US" w:eastAsia="zh-CN"/>
                    </w:rPr>
                    <w:t>具备开采价值</w:t>
                  </w:r>
                  <w:r>
                    <w:rPr>
                      <w:rFonts w:hint="eastAsia"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vertAlign w:val="baseline"/>
                      <w:lang w:val="en-US" w:eastAsia="zh-CN"/>
                    </w:rPr>
                    <w:t>交由长庆油田分公司</w:t>
                  </w:r>
                  <w:r>
                    <w:rPr>
                      <w:rFonts w:hint="eastAsia" w:ascii="Times New Roman" w:hAnsi="Times New Roman" w:eastAsia="宋体" w:cs="Times New Roman"/>
                      <w:color w:val="auto"/>
                      <w:sz w:val="21"/>
                      <w:szCs w:val="21"/>
                      <w:highlight w:val="none"/>
                      <w:vertAlign w:val="baseline"/>
                      <w:lang w:val="en-US" w:eastAsia="zh-CN"/>
                    </w:rPr>
                    <w:t>第二采气厂</w:t>
                  </w:r>
                  <w:r>
                    <w:rPr>
                      <w:rFonts w:hint="default" w:ascii="Times New Roman" w:hAnsi="Times New Roman" w:eastAsia="宋体" w:cs="Times New Roman"/>
                      <w:color w:val="auto"/>
                      <w:sz w:val="21"/>
                      <w:szCs w:val="21"/>
                      <w:highlight w:val="none"/>
                      <w:vertAlign w:val="baseline"/>
                      <w:lang w:val="en-US" w:eastAsia="zh-CN"/>
                    </w:rPr>
                    <w:t>进行</w:t>
                  </w:r>
                  <w:r>
                    <w:rPr>
                      <w:rFonts w:hint="eastAsia" w:ascii="Times New Roman" w:hAnsi="Times New Roman" w:eastAsia="宋体" w:cs="Times New Roman"/>
                      <w:color w:val="auto"/>
                      <w:sz w:val="21"/>
                      <w:szCs w:val="21"/>
                      <w:highlight w:val="none"/>
                      <w:vertAlign w:val="baseline"/>
                      <w:lang w:val="en-US" w:eastAsia="zh-CN"/>
                    </w:rPr>
                    <w:t>评价井</w:t>
                  </w:r>
                  <w:r>
                    <w:rPr>
                      <w:rFonts w:hint="default" w:ascii="Times New Roman" w:hAnsi="Times New Roman" w:eastAsia="宋体" w:cs="Times New Roman"/>
                      <w:color w:val="auto"/>
                      <w:sz w:val="21"/>
                      <w:szCs w:val="21"/>
                      <w:highlight w:val="none"/>
                      <w:vertAlign w:val="baseline"/>
                      <w:lang w:val="en-US" w:eastAsia="zh-CN"/>
                    </w:rPr>
                    <w:t>的开发</w:t>
                  </w:r>
                  <w:r>
                    <w:rPr>
                      <w:rFonts w:hint="eastAsia" w:ascii="Times New Roman" w:hAnsi="Times New Roman" w:eastAsia="宋体" w:cs="Times New Roman"/>
                      <w:color w:val="auto"/>
                      <w:sz w:val="21"/>
                      <w:szCs w:val="21"/>
                      <w:highlight w:val="none"/>
                      <w:vertAlign w:val="baseline"/>
                      <w:lang w:val="en-US" w:eastAsia="zh-CN"/>
                    </w:rPr>
                    <w:t>维护</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vertAlign w:val="baseline"/>
                      <w:lang w:val="en-US" w:eastAsia="zh-CN"/>
                    </w:rPr>
                    <w:t>废弃泥浆、钻井岩屑交由</w:t>
                  </w:r>
                  <w:r>
                    <w:rPr>
                      <w:rFonts w:hint="eastAsia" w:ascii="Times New Roman" w:hAnsi="Times New Roman" w:eastAsia="宋体" w:cs="Times New Roman"/>
                      <w:b w:val="0"/>
                      <w:bCs w:val="0"/>
                      <w:color w:val="auto"/>
                      <w:sz w:val="21"/>
                      <w:szCs w:val="21"/>
                      <w:vertAlign w:val="baseline"/>
                      <w:lang w:val="en-US" w:eastAsia="zh-CN"/>
                    </w:rPr>
                    <w:t>陕西德禾鑫盛环保科技有限公司</w:t>
                  </w:r>
                  <w:r>
                    <w:rPr>
                      <w:rFonts w:hint="eastAsia"/>
                      <w:color w:val="auto"/>
                      <w:sz w:val="21"/>
                      <w:szCs w:val="21"/>
                      <w:lang w:val="en-US" w:eastAsia="zh-CN"/>
                    </w:rPr>
                    <w:t>外运处理</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1855F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000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0CA5A04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0C9B4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2A7A14D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对水基钻井液体系钻井废物宜实施固液分离处置，优先考虑钻井液回收</w:t>
                  </w:r>
                </w:p>
              </w:tc>
              <w:tc>
                <w:tcPr>
                  <w:tcW w:w="1258" w:type="pct"/>
                  <w:vMerge w:val="restart"/>
                  <w:vAlign w:val="center"/>
                </w:tcPr>
                <w:p w14:paraId="073F60B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项目钻井废水、洗井废水</w:t>
                  </w:r>
                  <w:r>
                    <w:rPr>
                      <w:rFonts w:hint="eastAsia" w:ascii="Times New Roman" w:hAnsi="Times New Roman" w:eastAsia="宋体" w:cs="Times New Roman"/>
                      <w:color w:val="auto"/>
                      <w:sz w:val="21"/>
                      <w:szCs w:val="21"/>
                      <w:vertAlign w:val="baseline"/>
                      <w:lang w:val="en-US" w:eastAsia="zh-CN"/>
                    </w:rPr>
                    <w:t>委托</w:t>
                  </w:r>
                  <w:r>
                    <w:rPr>
                      <w:rFonts w:hint="default" w:ascii="Times New Roman" w:hAnsi="Times New Roman" w:eastAsia="宋体" w:cs="Times New Roman"/>
                      <w:color w:val="auto"/>
                      <w:sz w:val="21"/>
                      <w:szCs w:val="21"/>
                      <w:vertAlign w:val="baseline"/>
                      <w:lang w:val="en-US" w:eastAsia="zh-CN"/>
                    </w:rPr>
                    <w:t>陕西</w:t>
                  </w:r>
                  <w:r>
                    <w:rPr>
                      <w:rFonts w:hint="eastAsia" w:ascii="Times New Roman" w:hAnsi="Times New Roman" w:eastAsia="宋体" w:cs="Times New Roman"/>
                      <w:color w:val="auto"/>
                      <w:sz w:val="21"/>
                      <w:szCs w:val="21"/>
                      <w:vertAlign w:val="baseline"/>
                      <w:lang w:val="en-US" w:eastAsia="zh-CN"/>
                    </w:rPr>
                    <w:t>榆佳环保科技</w:t>
                  </w:r>
                  <w:r>
                    <w:rPr>
                      <w:rFonts w:hint="default" w:ascii="Times New Roman" w:hAnsi="Times New Roman" w:eastAsia="宋体" w:cs="Times New Roman"/>
                      <w:color w:val="auto"/>
                      <w:sz w:val="21"/>
                      <w:szCs w:val="21"/>
                      <w:vertAlign w:val="baseline"/>
                      <w:lang w:val="en-US" w:eastAsia="zh-CN"/>
                    </w:rPr>
                    <w:t>有限公司</w:t>
                  </w:r>
                  <w:r>
                    <w:rPr>
                      <w:rFonts w:hint="eastAsia" w:ascii="Times New Roman" w:hAnsi="Times New Roman" w:eastAsia="宋体" w:cs="Times New Roman"/>
                      <w:color w:val="auto"/>
                      <w:sz w:val="21"/>
                      <w:szCs w:val="21"/>
                      <w:vertAlign w:val="baseline"/>
                      <w:lang w:val="en-US" w:eastAsia="zh-CN"/>
                    </w:rPr>
                    <w:t>外运处理；施工前需签订</w:t>
                  </w:r>
                  <w:r>
                    <w:rPr>
                      <w:rFonts w:hint="default" w:ascii="Times New Roman" w:hAnsi="Times New Roman" w:eastAsia="宋体" w:cs="Times New Roman"/>
                      <w:color w:val="auto"/>
                      <w:sz w:val="21"/>
                      <w:szCs w:val="21"/>
                      <w:vertAlign w:val="baseline"/>
                      <w:lang w:val="en-US" w:eastAsia="zh-CN"/>
                    </w:rPr>
                    <w:t>压裂返排液裂液</w:t>
                  </w:r>
                  <w:r>
                    <w:rPr>
                      <w:rFonts w:hint="eastAsia" w:ascii="Times New Roman" w:hAnsi="Times New Roman" w:eastAsia="宋体" w:cs="Times New Roman"/>
                      <w:color w:val="auto"/>
                      <w:sz w:val="21"/>
                      <w:szCs w:val="21"/>
                      <w:vertAlign w:val="baseline"/>
                      <w:lang w:val="en-US" w:eastAsia="zh-CN"/>
                    </w:rPr>
                    <w:t>处置合同，钻井过程产生的各类废物均能够得到合理处置</w:t>
                  </w:r>
                  <w:r>
                    <w:rPr>
                      <w:rFonts w:hint="default" w:ascii="Times New Roman" w:hAnsi="Times New Roman" w:eastAsia="宋体" w:cs="Times New Roman"/>
                      <w:color w:val="auto"/>
                      <w:sz w:val="21"/>
                      <w:szCs w:val="21"/>
                      <w:vertAlign w:val="baseline"/>
                      <w:lang w:val="en-US" w:eastAsia="zh-CN"/>
                    </w:rPr>
                    <w:t>，对周边环境影响较小</w:t>
                  </w:r>
                </w:p>
              </w:tc>
              <w:tc>
                <w:tcPr>
                  <w:tcW w:w="282" w:type="pct"/>
                  <w:vAlign w:val="center"/>
                </w:tcPr>
                <w:p w14:paraId="46EF9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97C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492FCC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1FDD3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796B0B5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处置过程保护场地周边地表水，地下水、土壤、空气、植被以及野生动植物栖息环境，避免造成环境污染和生态破坏；对钻井废弃物宜采取现场不落地收集措施</w:t>
                  </w:r>
                </w:p>
              </w:tc>
              <w:tc>
                <w:tcPr>
                  <w:tcW w:w="1258" w:type="pct"/>
                  <w:vMerge w:val="continue"/>
                  <w:vAlign w:val="center"/>
                </w:tcPr>
                <w:p w14:paraId="1A4DDA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82" w:type="pct"/>
                  <w:vAlign w:val="center"/>
                </w:tcPr>
                <w:p w14:paraId="52548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4FA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2CC8AC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2</w:t>
                  </w:r>
                </w:p>
              </w:tc>
              <w:tc>
                <w:tcPr>
                  <w:tcW w:w="1430" w:type="pct"/>
                  <w:vMerge w:val="restart"/>
                  <w:vAlign w:val="center"/>
                </w:tcPr>
                <w:p w14:paraId="302DE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《石油天然气钻井井控技术规范》（GB/T31-33-2014）</w:t>
                  </w:r>
                </w:p>
              </w:tc>
              <w:tc>
                <w:tcPr>
                  <w:tcW w:w="1754" w:type="pct"/>
                  <w:vAlign w:val="center"/>
                </w:tcPr>
                <w:p w14:paraId="215CA99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油气井井口距高压线及其他永久性设施不小于</w:t>
                  </w:r>
                  <w:r>
                    <w:rPr>
                      <w:rFonts w:hint="default" w:ascii="Times New Roman" w:hAnsi="Times New Roman" w:eastAsia="宋体" w:cs="Times New Roman"/>
                      <w:color w:val="auto"/>
                      <w:kern w:val="0"/>
                      <w:sz w:val="21"/>
                      <w:szCs w:val="21"/>
                      <w:lang w:val="en-US" w:eastAsia="zh-CN" w:bidi="ar"/>
                    </w:rPr>
                    <w:t>75m</w:t>
                  </w:r>
                  <w:r>
                    <w:rPr>
                      <w:rFonts w:hint="eastAsia" w:ascii="Times New Roman" w:hAnsi="Times New Roman" w:eastAsia="宋体" w:cs="Times New Roman"/>
                      <w:color w:val="auto"/>
                      <w:kern w:val="0"/>
                      <w:sz w:val="21"/>
                      <w:szCs w:val="21"/>
                      <w:lang w:val="en-US" w:eastAsia="zh-CN" w:bidi="ar"/>
                    </w:rPr>
                    <w:t>；距民宅不小于</w:t>
                  </w:r>
                  <w:r>
                    <w:rPr>
                      <w:rFonts w:hint="default" w:ascii="Times New Roman" w:hAnsi="Times New Roman" w:eastAsia="宋体" w:cs="Times New Roman"/>
                      <w:color w:val="auto"/>
                      <w:kern w:val="0"/>
                      <w:sz w:val="21"/>
                      <w:szCs w:val="21"/>
                      <w:lang w:val="en-US" w:eastAsia="zh-CN" w:bidi="ar"/>
                    </w:rPr>
                    <w:t>100m</w:t>
                  </w:r>
                  <w:r>
                    <w:rPr>
                      <w:rFonts w:hint="eastAsia" w:ascii="Times New Roman" w:hAnsi="Times New Roman" w:eastAsia="宋体" w:cs="Times New Roman"/>
                      <w:color w:val="auto"/>
                      <w:kern w:val="0"/>
                      <w:sz w:val="21"/>
                      <w:szCs w:val="21"/>
                      <w:lang w:val="en-US" w:eastAsia="zh-CN" w:bidi="ar"/>
                    </w:rPr>
                    <w:t>；距铁路及高速公路不小于</w:t>
                  </w:r>
                  <w:r>
                    <w:rPr>
                      <w:rFonts w:hint="default" w:ascii="Times New Roman" w:hAnsi="Times New Roman" w:eastAsia="宋体" w:cs="Times New Roman"/>
                      <w:color w:val="auto"/>
                      <w:kern w:val="0"/>
                      <w:sz w:val="21"/>
                      <w:szCs w:val="21"/>
                      <w:lang w:val="en-US" w:eastAsia="zh-CN" w:bidi="ar"/>
                    </w:rPr>
                    <w:t>200m</w:t>
                  </w:r>
                  <w:r>
                    <w:rPr>
                      <w:rFonts w:hint="eastAsia" w:ascii="Times New Roman" w:hAnsi="Times New Roman" w:eastAsia="宋体" w:cs="Times New Roman"/>
                      <w:color w:val="auto"/>
                      <w:kern w:val="0"/>
                      <w:sz w:val="21"/>
                      <w:szCs w:val="21"/>
                      <w:lang w:val="en-US" w:eastAsia="zh-CN" w:bidi="ar"/>
                    </w:rPr>
                    <w:t>；距学校、医院、油库、人口密集及高危场所等不小于</w:t>
                  </w:r>
                  <w:r>
                    <w:rPr>
                      <w:rFonts w:hint="default" w:ascii="Times New Roman" w:hAnsi="Times New Roman" w:eastAsia="宋体" w:cs="Times New Roman"/>
                      <w:color w:val="auto"/>
                      <w:kern w:val="0"/>
                      <w:sz w:val="21"/>
                      <w:szCs w:val="21"/>
                      <w:lang w:val="en-US" w:eastAsia="zh-CN" w:bidi="ar"/>
                    </w:rPr>
                    <w:t>500m</w:t>
                  </w:r>
                </w:p>
              </w:tc>
              <w:tc>
                <w:tcPr>
                  <w:tcW w:w="1258" w:type="pct"/>
                  <w:vAlign w:val="center"/>
                </w:tcPr>
                <w:p w14:paraId="1CA6DA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本项目评价井勘探拟建地附近75m内无高压线及其他永久性设施、100m内无民宅、200m内无铁路及高速公路、500m内无学校、医院、油库、人口密集及高危场所等。</w:t>
                  </w:r>
                </w:p>
              </w:tc>
              <w:tc>
                <w:tcPr>
                  <w:tcW w:w="282" w:type="pct"/>
                  <w:vAlign w:val="center"/>
                </w:tcPr>
                <w:p w14:paraId="25BAB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8AE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1FEABD5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7A10B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0E9CF88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油气井之间的井口间距不小于2m；高压油气井，高含硫油气井井口距其他井口之间的距离大于钻进本井所用钻机的钻台长度，且不小于8m</w:t>
                  </w:r>
                </w:p>
              </w:tc>
              <w:tc>
                <w:tcPr>
                  <w:tcW w:w="1258" w:type="pct"/>
                  <w:vAlign w:val="center"/>
                </w:tcPr>
                <w:p w14:paraId="40B8E80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项目新建6口天然气评价井，相距最近的两口井井口之间相距1820m。</w:t>
                  </w:r>
                </w:p>
              </w:tc>
              <w:tc>
                <w:tcPr>
                  <w:tcW w:w="282" w:type="pct"/>
                  <w:vAlign w:val="center"/>
                </w:tcPr>
                <w:p w14:paraId="02124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7D7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023F965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798B0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5BEBA37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井筒与地下矿产采掘坑道、矿井通道之间的距离不小于100m</w:t>
                  </w:r>
                </w:p>
              </w:tc>
              <w:tc>
                <w:tcPr>
                  <w:tcW w:w="1258" w:type="pct"/>
                  <w:vAlign w:val="center"/>
                </w:tcPr>
                <w:p w14:paraId="452EA5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本项目附近无地下矿产采掘坑道。</w:t>
                  </w:r>
                </w:p>
              </w:tc>
              <w:tc>
                <w:tcPr>
                  <w:tcW w:w="282" w:type="pct"/>
                  <w:vAlign w:val="center"/>
                </w:tcPr>
                <w:p w14:paraId="2D53B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854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4C9A8D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3</w:t>
                  </w:r>
                </w:p>
              </w:tc>
              <w:tc>
                <w:tcPr>
                  <w:tcW w:w="1430" w:type="pct"/>
                  <w:vMerge w:val="restart"/>
                  <w:vAlign w:val="center"/>
                </w:tcPr>
                <w:p w14:paraId="14619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《石油天然气工程项目用地控制指标》（国土资规【2016】14号）</w:t>
                  </w:r>
                </w:p>
              </w:tc>
              <w:tc>
                <w:tcPr>
                  <w:tcW w:w="1754" w:type="pct"/>
                  <w:vAlign w:val="center"/>
                </w:tcPr>
                <w:p w14:paraId="489F40AF">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进井场道路用地指保证建井及生产期内通往井场的各型车辆安全通行，并能满足抢险车辆通行的新建或扩建道路所占用的土地。</w:t>
                  </w:r>
                </w:p>
                <w:p w14:paraId="57B57867">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进井场道路用地按道路宽度乘以道路长度进行计算。进井场道路路基用地宽度指标不应大于</w:t>
                  </w:r>
                  <w:r>
                    <w:rPr>
                      <w:rFonts w:hint="default" w:ascii="Times New Roman" w:hAnsi="Times New Roman" w:eastAsia="宋体" w:cs="Times New Roman"/>
                      <w:color w:val="auto"/>
                      <w:kern w:val="0"/>
                      <w:sz w:val="21"/>
                      <w:szCs w:val="21"/>
                      <w:lang w:val="en-US" w:eastAsia="zh-CN" w:bidi="ar"/>
                    </w:rPr>
                    <w:t>4.5m</w:t>
                  </w:r>
                  <w:r>
                    <w:rPr>
                      <w:rFonts w:hint="eastAsia" w:ascii="Times New Roman" w:hAnsi="Times New Roman" w:eastAsia="宋体" w:cs="Times New Roman"/>
                      <w:color w:val="auto"/>
                      <w:kern w:val="0"/>
                      <w:sz w:val="21"/>
                      <w:szCs w:val="21"/>
                      <w:lang w:val="en-US" w:eastAsia="zh-CN" w:bidi="ar"/>
                    </w:rPr>
                    <w:t>，边沟、护坡、防洪坝、挡土墙、错车道等用地按实际情况计算</w:t>
                  </w:r>
                </w:p>
              </w:tc>
              <w:tc>
                <w:tcPr>
                  <w:tcW w:w="1258" w:type="pct"/>
                  <w:vAlign w:val="center"/>
                </w:tcPr>
                <w:p w14:paraId="6C6C2E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本项目新建进场道路653m，采用砂石路面，宽度为4m。</w:t>
                  </w:r>
                </w:p>
              </w:tc>
              <w:tc>
                <w:tcPr>
                  <w:tcW w:w="282" w:type="pct"/>
                  <w:vAlign w:val="center"/>
                </w:tcPr>
                <w:p w14:paraId="44F280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17D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E7285B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787C1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2D4C9FD9">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采气井场用地指保证建井和生产期内钻井作业、井下作业和摆放各种采气设施所占用的土地</w:t>
                  </w:r>
                </w:p>
              </w:tc>
              <w:tc>
                <w:tcPr>
                  <w:tcW w:w="1258" w:type="pct"/>
                  <w:vAlign w:val="center"/>
                </w:tcPr>
                <w:p w14:paraId="137B755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本项目井场临时占地可保证施工期内钻井作业和摆放各种采气设施。</w:t>
                  </w:r>
                </w:p>
              </w:tc>
              <w:tc>
                <w:tcPr>
                  <w:tcW w:w="282" w:type="pct"/>
                  <w:vAlign w:val="center"/>
                </w:tcPr>
                <w:p w14:paraId="5BF5A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7E6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4E8209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4</w:t>
                  </w:r>
                </w:p>
              </w:tc>
              <w:tc>
                <w:tcPr>
                  <w:tcW w:w="1430" w:type="pct"/>
                  <w:vMerge w:val="restart"/>
                  <w:vAlign w:val="center"/>
                </w:tcPr>
                <w:p w14:paraId="4C6ED4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榆林市生态环境局关于印发《榆林市油气开发压裂返排液处置管理规定》的通知（榆政环发【2023】71号）</w:t>
                  </w:r>
                </w:p>
              </w:tc>
              <w:tc>
                <w:tcPr>
                  <w:tcW w:w="1754" w:type="pct"/>
                  <w:vAlign w:val="center"/>
                </w:tcPr>
                <w:p w14:paraId="6E998C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油气开发企业是油气开发压裂返排液污染防治的责任主体，要将压裂返排液处置纳入油气开发项目生态环境保护总体规划及突发环境事件应急预案，制定油气开发压裂返排液治理方案</w:t>
                  </w:r>
                </w:p>
              </w:tc>
              <w:tc>
                <w:tcPr>
                  <w:tcW w:w="1258" w:type="pct"/>
                  <w:vAlign w:val="center"/>
                </w:tcPr>
                <w:p w14:paraId="3ABE9F9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本项目施工过程中将压裂返排液处置纳入油气开发项目生态环境保护总体规划及突发环境事件应急预案中，并且制定压裂返排液治理方案，能够确保压裂返排液得到合理处置</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43D6D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DB6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B6C1D5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7028D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409B38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无法自行处置压裂返排液的油气开发企业或井下作业总包单位，可与第三方单位签订压裂返排液处置协议，处置协议应明确双方污染防治责任</w:t>
                  </w:r>
                </w:p>
              </w:tc>
              <w:tc>
                <w:tcPr>
                  <w:tcW w:w="1258" w:type="pct"/>
                  <w:vAlign w:val="center"/>
                </w:tcPr>
                <w:p w14:paraId="574ADD8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已签订压裂返排液处置合同，合同中已明确双方污染防治责任。</w:t>
                  </w:r>
                </w:p>
              </w:tc>
              <w:tc>
                <w:tcPr>
                  <w:tcW w:w="282" w:type="pct"/>
                  <w:vAlign w:val="center"/>
                </w:tcPr>
                <w:p w14:paraId="7681EE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A4C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E29C29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62ACD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60926D6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压裂返排液处置项目的中水用于油田同层回注的，油田回注单位应制定中水回注计划，计划要与回注区域油气开发总体规划及生产回注方案相符，明确回注水质、水量、压强及回注时限等相关指标，其中回注水水质需符合国家相关行业或者企业标准</w:t>
                  </w:r>
                </w:p>
              </w:tc>
              <w:tc>
                <w:tcPr>
                  <w:tcW w:w="1258" w:type="pct"/>
                  <w:vAlign w:val="center"/>
                </w:tcPr>
                <w:p w14:paraId="34480B0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本项目不涉及中水回注</w:t>
                  </w:r>
                  <w:r>
                    <w:rPr>
                      <w:rFonts w:hint="eastAsia" w:ascii="Times New Roman" w:hAnsi="Times New Roman" w:eastAsia="宋体" w:cs="Times New Roman"/>
                      <w:color w:val="auto"/>
                      <w:sz w:val="21"/>
                      <w:szCs w:val="21"/>
                      <w:vertAlign w:val="baseline"/>
                      <w:lang w:val="en-US" w:eastAsia="zh-CN"/>
                    </w:rPr>
                    <w:t>。</w:t>
                  </w:r>
                </w:p>
              </w:tc>
              <w:tc>
                <w:tcPr>
                  <w:tcW w:w="282" w:type="pct"/>
                  <w:vAlign w:val="center"/>
                </w:tcPr>
                <w:p w14:paraId="0BB5F0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ED0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4" w:hRule="atLeast"/>
              </w:trPr>
              <w:tc>
                <w:tcPr>
                  <w:tcW w:w="273" w:type="pct"/>
                  <w:vAlign w:val="center"/>
                </w:tcPr>
                <w:p w14:paraId="6EB973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5</w:t>
                  </w:r>
                </w:p>
              </w:tc>
              <w:tc>
                <w:tcPr>
                  <w:tcW w:w="1430" w:type="pct"/>
                  <w:vAlign w:val="center"/>
                </w:tcPr>
                <w:p w14:paraId="56550E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《榆林市2025年生态环境保护铁腕治污攻坚行动方案》（榆字办〔2025〕4号）</w:t>
                  </w:r>
                </w:p>
              </w:tc>
              <w:tc>
                <w:tcPr>
                  <w:tcW w:w="1754" w:type="pct"/>
                  <w:vAlign w:val="center"/>
                </w:tcPr>
                <w:p w14:paraId="7AE4109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扬尘整治精细化管控行动。严格落实企业主体责任和建筑工地扬尘管控“六个百分 之百”措施，将防治扬尘污染费用纳入工程造价；成立联合检查专班，按月开展联合执法，并监理问题台账，对产生扬尘污染防治的工地按职责权属依法查处，对拒不改正的工地责令停工整治。</w:t>
                  </w:r>
                </w:p>
              </w:tc>
              <w:tc>
                <w:tcPr>
                  <w:tcW w:w="1258" w:type="pct"/>
                  <w:vAlign w:val="center"/>
                </w:tcPr>
                <w:p w14:paraId="2AE4865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项目施工严格落实工地周边围挡、物料裸土覆盖、土方开挖(拆迁)湿法作业、路面硬化、出入车辆清洗、渣土车辆密闭运输“六个百分之百”以及车辆出入工地清洗制度，严禁带泥上路。工地场界建设喷淋设施</w:t>
                  </w:r>
                  <w:r>
                    <w:rPr>
                      <w:rFonts w:hint="eastAsia" w:cs="Times New Roman"/>
                      <w:color w:val="auto"/>
                      <w:sz w:val="21"/>
                      <w:szCs w:val="21"/>
                      <w:lang w:val="en-US" w:eastAsia="zh-CN"/>
                    </w:rPr>
                    <w:t>降低扬尘排放量。</w:t>
                  </w:r>
                </w:p>
              </w:tc>
              <w:tc>
                <w:tcPr>
                  <w:tcW w:w="282" w:type="pct"/>
                  <w:vAlign w:val="center"/>
                </w:tcPr>
                <w:p w14:paraId="73FCE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A11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73" w:type="pct"/>
                  <w:vMerge w:val="restart"/>
                  <w:vAlign w:val="center"/>
                </w:tcPr>
                <w:p w14:paraId="15F84F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1430" w:type="pct"/>
                  <w:vMerge w:val="restart"/>
                  <w:vAlign w:val="center"/>
                </w:tcPr>
                <w:p w14:paraId="4B6376B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《佳县2025年生态环境保护铁腕治污攻坚行动方案</w:t>
                  </w:r>
                  <w:r>
                    <w:rPr>
                      <w:rFonts w:hint="default" w:ascii="Times New Roman" w:hAnsi="Times New Roman" w:eastAsia="宋体" w:cs="Times New Roman"/>
                      <w:color w:val="auto"/>
                      <w:sz w:val="21"/>
                      <w:szCs w:val="21"/>
                      <w:vertAlign w:val="baseline"/>
                      <w:lang w:val="en-US" w:eastAsia="zh-CN"/>
                    </w:rPr>
                    <w:t>》佳办</w:t>
                  </w:r>
                  <w:r>
                    <w:rPr>
                      <w:rFonts w:hint="eastAsia" w:ascii="Times New Roman" w:hAnsi="Times New Roman" w:eastAsia="宋体" w:cs="Times New Roman"/>
                      <w:color w:val="auto"/>
                      <w:sz w:val="21"/>
                      <w:szCs w:val="21"/>
                      <w:vertAlign w:val="baseline"/>
                      <w:lang w:val="en-US" w:eastAsia="zh-CN"/>
                    </w:rPr>
                    <w:t>字</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号）</w:t>
                  </w:r>
                </w:p>
              </w:tc>
              <w:tc>
                <w:tcPr>
                  <w:tcW w:w="1754" w:type="pct"/>
                  <w:vAlign w:val="center"/>
                </w:tcPr>
                <w:p w14:paraId="4A9E4AF7">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一</w:t>
                  </w:r>
                  <w:r>
                    <w:rPr>
                      <w:rFonts w:hint="default"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扬尘整治精细化管控行动。严格落实企业主体责任和建筑工地扬尘管控“六个百分之百”措施。将防治扬尘污染费用纳入工程造价；成立联合检查专班，按月开展联合执法，对拒不改正的工地责令停工整治。</w:t>
                  </w:r>
                </w:p>
              </w:tc>
              <w:tc>
                <w:tcPr>
                  <w:tcW w:w="1258" w:type="pct"/>
                  <w:shd w:val="clear" w:color="auto" w:fill="auto"/>
                  <w:vAlign w:val="center"/>
                </w:tcPr>
                <w:p w14:paraId="1F13D2DC">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项目施工严格落实工地周边围挡、物料裸土覆盖、土方开挖(拆迁)湿法作业、路面硬化、出入车辆清洗、渣土车辆密闭运输“六个百分之百”以及车辆出入工地清洗制度，严禁带泥上路。工地场界建设喷淋设施</w:t>
                  </w:r>
                  <w:r>
                    <w:rPr>
                      <w:rFonts w:hint="eastAsia" w:cs="Times New Roman"/>
                      <w:color w:val="auto"/>
                      <w:sz w:val="21"/>
                      <w:szCs w:val="21"/>
                      <w:lang w:val="en-US" w:eastAsia="zh-CN"/>
                    </w:rPr>
                    <w:t>降低扬尘排放量。</w:t>
                  </w:r>
                </w:p>
              </w:tc>
              <w:tc>
                <w:tcPr>
                  <w:tcW w:w="282" w:type="pct"/>
                  <w:vAlign w:val="center"/>
                </w:tcPr>
                <w:p w14:paraId="2CA1B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A20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273" w:type="pct"/>
                  <w:vMerge w:val="continue"/>
                  <w:vAlign w:val="center"/>
                </w:tcPr>
                <w:p w14:paraId="5E33E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46EE7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6C455E6E">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三）机动车尾气管控行动。加强机动车污染源头控制，全面落实《关于预下达国I及以下排放标准柴油货车淘汰计划(2023-2025年)的通知》(榆政交发(2023】195号)要求，逐步淘汰国II及以下排放标准柴油货车。……鼓励加快非道路移动机械清洁能源替代。</w:t>
                  </w:r>
                </w:p>
              </w:tc>
              <w:tc>
                <w:tcPr>
                  <w:tcW w:w="1258" w:type="pct"/>
                  <w:shd w:val="clear" w:color="auto" w:fill="auto"/>
                  <w:vAlign w:val="center"/>
                </w:tcPr>
                <w:p w14:paraId="493BD7A2">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本项目施工期采用电驱动，施工期机械尾气达到</w:t>
                  </w:r>
                  <w:r>
                    <w:rPr>
                      <w:rFonts w:hint="default" w:cs="Times New Roman"/>
                      <w:color w:val="auto"/>
                      <w:sz w:val="21"/>
                      <w:szCs w:val="21"/>
                      <w:vertAlign w:val="baseline"/>
                      <w:lang w:val="en-US" w:eastAsia="zh-CN"/>
                    </w:rPr>
                    <w:t>《非道路移动机械用柴油机排气污染物排放限值及测量方法（中国第四阶段）》（GB20891-2014）</w:t>
                  </w:r>
                  <w:r>
                    <w:rPr>
                      <w:rFonts w:hint="eastAsia" w:cs="Times New Roman"/>
                      <w:color w:val="auto"/>
                      <w:sz w:val="21"/>
                      <w:szCs w:val="21"/>
                      <w:vertAlign w:val="baseline"/>
                      <w:lang w:val="en-US" w:eastAsia="zh-CN"/>
                    </w:rPr>
                    <w:t>限值要求</w:t>
                  </w:r>
                </w:p>
              </w:tc>
              <w:tc>
                <w:tcPr>
                  <w:tcW w:w="282" w:type="pct"/>
                  <w:vAlign w:val="center"/>
                </w:tcPr>
                <w:p w14:paraId="13139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47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5BB3D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430" w:type="pct"/>
                  <w:vMerge w:val="restart"/>
                  <w:vAlign w:val="center"/>
                </w:tcPr>
                <w:p w14:paraId="2AD5F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《陕西省矿产资源总体规划》（2021-2025年）</w:t>
                  </w:r>
                </w:p>
              </w:tc>
              <w:tc>
                <w:tcPr>
                  <w:tcW w:w="1754" w:type="pct"/>
                  <w:vAlign w:val="center"/>
                </w:tcPr>
                <w:p w14:paraId="585C4867">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在鄂尔多斯盆地煤油气盐赋存区，加强石油、天然气、页岩气、煤层气等能源矿产的调查评价，加大石油、天然气勘探力度，稳步提高油气产能。</w:t>
                  </w:r>
                </w:p>
              </w:tc>
              <w:tc>
                <w:tcPr>
                  <w:tcW w:w="1258" w:type="pct"/>
                  <w:vMerge w:val="restart"/>
                  <w:vAlign w:val="center"/>
                </w:tcPr>
                <w:p w14:paraId="266FF6DD">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本项目属于天然气勘探工程，选址位于陕西鄂尔多斯盆地米脂气田</w:t>
                  </w:r>
                  <w:r>
                    <w:rPr>
                      <w:rFonts w:hint="eastAsia" w:cs="Times New Roman"/>
                      <w:color w:val="auto"/>
                      <w:sz w:val="21"/>
                      <w:szCs w:val="21"/>
                      <w:highlight w:val="none"/>
                      <w:lang w:val="en-US" w:eastAsia="zh-CN"/>
                    </w:rPr>
                    <w:t>、神木气田米38区</w:t>
                  </w:r>
                  <w:r>
                    <w:rPr>
                      <w:rFonts w:hint="default" w:ascii="Times New Roman" w:hAnsi="Times New Roman" w:eastAsia="宋体" w:cs="Times New Roman"/>
                      <w:color w:val="auto"/>
                      <w:sz w:val="21"/>
                      <w:szCs w:val="21"/>
                      <w:highlight w:val="none"/>
                      <w:lang w:val="en-US" w:eastAsia="zh-CN"/>
                    </w:rPr>
                    <w:t>天然气开采范围内，该区域已开采多年，宁榆天然气评价组为判断该区块后期是否具备继续大规模开采的价值，并评估如何开采，为远期气田产能建设提供依据。</w:t>
                  </w:r>
                </w:p>
              </w:tc>
              <w:tc>
                <w:tcPr>
                  <w:tcW w:w="282" w:type="pct"/>
                  <w:vAlign w:val="center"/>
                </w:tcPr>
                <w:p w14:paraId="501BC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0D1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FD75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767E2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6DE97966">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按照“稳油增气、常非并举”的部署，推进石油增储稳产天然气增储扩产、煤层气增储上产。加强鄂尔多斯盆地油气勘查，加大页岩气、煤层气等非常规油气勘查力度，形成新的资源接续区。</w:t>
                  </w:r>
                </w:p>
              </w:tc>
              <w:tc>
                <w:tcPr>
                  <w:tcW w:w="1258" w:type="pct"/>
                  <w:vMerge w:val="continue"/>
                  <w:vAlign w:val="center"/>
                </w:tcPr>
                <w:p w14:paraId="016FEB66">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p>
              </w:tc>
              <w:tc>
                <w:tcPr>
                  <w:tcW w:w="282" w:type="pct"/>
                  <w:vAlign w:val="center"/>
                </w:tcPr>
                <w:p w14:paraId="712EF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C14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0C124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30" w:type="pct"/>
                  <w:vMerge w:val="continue"/>
                  <w:vAlign w:val="center"/>
                </w:tcPr>
                <w:p w14:paraId="79661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754" w:type="pct"/>
                  <w:vAlign w:val="center"/>
                </w:tcPr>
                <w:p w14:paraId="68D843EB">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严格勘查空间布局管控，生态保护红线范围内原则上禁止不符合管控要求的矿产资源勘查。</w:t>
                  </w:r>
                </w:p>
              </w:tc>
              <w:tc>
                <w:tcPr>
                  <w:tcW w:w="1258" w:type="pct"/>
                  <w:vMerge w:val="continue"/>
                  <w:vAlign w:val="center"/>
                </w:tcPr>
                <w:p w14:paraId="2A0D99C5">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p>
              </w:tc>
              <w:tc>
                <w:tcPr>
                  <w:tcW w:w="282" w:type="pct"/>
                  <w:vAlign w:val="center"/>
                </w:tcPr>
                <w:p w14:paraId="60B23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B50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59BC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1430" w:type="pct"/>
                  <w:vMerge w:val="restart"/>
                  <w:vAlign w:val="center"/>
                </w:tcPr>
                <w:p w14:paraId="458D7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《榆林市关于开展油气开采废弃物集中处置的通知》</w:t>
                  </w:r>
                </w:p>
              </w:tc>
              <w:tc>
                <w:tcPr>
                  <w:tcW w:w="1754" w:type="pct"/>
                  <w:vAlign w:val="center"/>
                </w:tcPr>
                <w:p w14:paraId="1A3146E5">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申报登记：根据《中华人民共和国固体废物污染环境防治法》及《中华人民共和国水污染防治法》相关规定，油气开发业主单位在井场钻井作业15日前，须向所在县区环保局报送《榆林市油气开采废弃物申报表》（见附件1），就单井油气开采废弃物产生情况及“三统一”实施计划进行申报，同时报市局备案； </w:t>
                  </w:r>
                </w:p>
              </w:tc>
              <w:tc>
                <w:tcPr>
                  <w:tcW w:w="1258" w:type="pct"/>
                  <w:vAlign w:val="center"/>
                </w:tcPr>
                <w:p w14:paraId="34F45D33">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本项目拟</w:t>
                  </w:r>
                  <w:r>
                    <w:rPr>
                      <w:rFonts w:hint="default" w:ascii="Times New Roman" w:hAnsi="Times New Roman" w:eastAsia="宋体" w:cs="Times New Roman"/>
                      <w:color w:val="auto"/>
                      <w:sz w:val="21"/>
                      <w:szCs w:val="21"/>
                      <w:lang w:val="en-US" w:eastAsia="zh-CN"/>
                    </w:rPr>
                    <w:t>在井场钻井作业15日前向</w:t>
                  </w:r>
                  <w:r>
                    <w:rPr>
                      <w:rFonts w:hint="eastAsia" w:cs="Times New Roman"/>
                      <w:color w:val="auto"/>
                      <w:sz w:val="21"/>
                      <w:szCs w:val="21"/>
                      <w:lang w:val="en-US" w:eastAsia="zh-CN"/>
                    </w:rPr>
                    <w:t>榆林市佳县生态环境局</w:t>
                  </w:r>
                  <w:r>
                    <w:rPr>
                      <w:rFonts w:hint="default" w:ascii="Times New Roman" w:hAnsi="Times New Roman" w:eastAsia="宋体" w:cs="Times New Roman"/>
                      <w:color w:val="auto"/>
                      <w:sz w:val="21"/>
                      <w:szCs w:val="21"/>
                      <w:lang w:val="en-US" w:eastAsia="zh-CN"/>
                    </w:rPr>
                    <w:t>报送《榆林市油气开采废弃物申报表》就单井油气开采废弃物产生情况及“三统一”实施计划进行申报，同时报市局备案</w:t>
                  </w:r>
                  <w:r>
                    <w:rPr>
                      <w:rFonts w:hint="eastAsia" w:cs="Times New Roman"/>
                      <w:color w:val="auto"/>
                      <w:sz w:val="21"/>
                      <w:szCs w:val="21"/>
                      <w:lang w:val="en-US" w:eastAsia="zh-CN"/>
                    </w:rPr>
                    <w:t>。</w:t>
                  </w:r>
                </w:p>
              </w:tc>
              <w:tc>
                <w:tcPr>
                  <w:tcW w:w="282" w:type="pct"/>
                  <w:vAlign w:val="center"/>
                </w:tcPr>
                <w:p w14:paraId="4A0AF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90F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BDB2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430" w:type="pct"/>
                  <w:vMerge w:val="continue"/>
                  <w:vAlign w:val="center"/>
                </w:tcPr>
                <w:p w14:paraId="2DD31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754" w:type="pct"/>
                  <w:vAlign w:val="center"/>
                </w:tcPr>
                <w:p w14:paraId="15C3112B">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理台帐：根据《陕西省煤炭石油天然气开发环境保护条例》及《陕西省固体废物污染环境防治条例》相关规定，油气开发业主单位要建立健全污染环境防治责任制度，采取油气开采废弃物防扬散、防流失、防渗漏或者其他防止污染环境的收集措施，分类贮存。</w:t>
                  </w:r>
                </w:p>
              </w:tc>
              <w:tc>
                <w:tcPr>
                  <w:tcW w:w="1258" w:type="pct"/>
                  <w:vAlign w:val="center"/>
                </w:tcPr>
                <w:p w14:paraId="777536E9">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中国石油天然气股份有限公司长庆油田分公司设质量安全环保科，设专职人员进行安全环保管理。在施工期制定安全环境管理制度，贯彻执行国家和地方各项环保方针，政策和法规，并采取天然气开采废弃物防扬散、防流失、防渗漏或者其他防止污染环境的收集措施，分类贮存。</w:t>
                  </w:r>
                </w:p>
              </w:tc>
              <w:tc>
                <w:tcPr>
                  <w:tcW w:w="282" w:type="pct"/>
                  <w:vAlign w:val="center"/>
                </w:tcPr>
                <w:p w14:paraId="490D9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21E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2719D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430" w:type="pct"/>
                  <w:vMerge w:val="continue"/>
                  <w:vAlign w:val="center"/>
                </w:tcPr>
                <w:p w14:paraId="1479B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754" w:type="pct"/>
                  <w:vAlign w:val="center"/>
                </w:tcPr>
                <w:p w14:paraId="57AA3D1E">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处置：根据《中华人民共和国固体废物污染环境防治法》、《中华人民共和国水污染防治法》及《陕西省固体废物污染环境防治条例》相关规定，油气开发业主单位应对油气开采废弃物加以利用，对不能利用的，委托有资质单位进行规范化处置，严禁就地固化掩埋。</w:t>
                  </w:r>
                </w:p>
              </w:tc>
              <w:tc>
                <w:tcPr>
                  <w:tcW w:w="1258" w:type="pct"/>
                  <w:vAlign w:val="center"/>
                </w:tcPr>
                <w:p w14:paraId="31635C2B">
                  <w:pPr>
                    <w:pStyle w:val="29"/>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项目泥浆上清液排入地上移动式污水罐，用于配制泥浆，循环使用，对钻井完不能利用的交</w:t>
                  </w:r>
                  <w:r>
                    <w:rPr>
                      <w:rFonts w:hint="default" w:ascii="Times New Roman" w:hAnsi="Times New Roman" w:eastAsia="宋体" w:cs="Times New Roman"/>
                      <w:color w:val="auto"/>
                      <w:sz w:val="21"/>
                      <w:szCs w:val="21"/>
                      <w:lang w:val="en-US" w:eastAsia="zh-CN"/>
                    </w:rPr>
                    <w:t>陕西</w:t>
                  </w:r>
                  <w:r>
                    <w:rPr>
                      <w:rFonts w:hint="eastAsia" w:ascii="Times New Roman" w:hAnsi="Times New Roman" w:eastAsia="宋体" w:cs="Times New Roman"/>
                      <w:color w:val="auto"/>
                      <w:sz w:val="21"/>
                      <w:szCs w:val="21"/>
                      <w:lang w:val="en-US" w:eastAsia="zh-CN"/>
                    </w:rPr>
                    <w:t>榆佳环保科技</w:t>
                  </w:r>
                  <w:r>
                    <w:rPr>
                      <w:rFonts w:hint="default" w:ascii="Times New Roman" w:hAnsi="Times New Roman" w:eastAsia="宋体" w:cs="Times New Roman"/>
                      <w:color w:val="auto"/>
                      <w:sz w:val="21"/>
                      <w:szCs w:val="21"/>
                      <w:lang w:val="en-US" w:eastAsia="zh-CN"/>
                    </w:rPr>
                    <w:t>有限公司</w:t>
                  </w:r>
                  <w:r>
                    <w:rPr>
                      <w:rFonts w:hint="eastAsia" w:ascii="Times New Roman" w:hAnsi="Times New Roman" w:eastAsia="宋体" w:cs="Times New Roman"/>
                      <w:color w:val="auto"/>
                      <w:sz w:val="21"/>
                      <w:szCs w:val="21"/>
                      <w:lang w:val="en-US" w:eastAsia="zh-CN"/>
                    </w:rPr>
                    <w:t>处理</w:t>
                  </w:r>
                </w:p>
              </w:tc>
              <w:tc>
                <w:tcPr>
                  <w:tcW w:w="282" w:type="pct"/>
                  <w:vAlign w:val="center"/>
                </w:tcPr>
                <w:p w14:paraId="0F32A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37B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4A832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1430" w:type="pct"/>
                  <w:vMerge w:val="restart"/>
                  <w:vAlign w:val="center"/>
                </w:tcPr>
                <w:p w14:paraId="47E25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《榆林市矿产资源总体规划》（2021-2025年）</w:t>
                  </w:r>
                </w:p>
              </w:tc>
              <w:tc>
                <w:tcPr>
                  <w:tcW w:w="1754" w:type="pct"/>
                  <w:vAlign w:val="center"/>
                </w:tcPr>
                <w:p w14:paraId="4EBA863F">
                  <w:pPr>
                    <w:pStyle w:val="29"/>
                    <w:keepNext w:val="0"/>
                    <w:keepLines w:val="0"/>
                    <w:pageBreakBefore w:val="0"/>
                    <w:numPr>
                      <w:ilvl w:val="0"/>
                      <w:numId w:val="2"/>
                    </w:numPr>
                    <w:kinsoku/>
                    <w:wordWrap/>
                    <w:overflowPunct/>
                    <w:topLinePunct w:val="0"/>
                    <w:autoSpaceDE/>
                    <w:autoSpaceDN/>
                    <w:bidi w:val="0"/>
                    <w:ind w:firstLine="0" w:firstLineChars="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统筹勘察开发保护区域布局</w:t>
                  </w:r>
                </w:p>
                <w:p w14:paraId="370435A4">
                  <w:pPr>
                    <w:pStyle w:val="29"/>
                    <w:keepNext w:val="0"/>
                    <w:keepLines w:val="0"/>
                    <w:pageBreakBefore w:val="0"/>
                    <w:numPr>
                      <w:ilvl w:val="0"/>
                      <w:numId w:val="0"/>
                    </w:numPr>
                    <w:kinsoku/>
                    <w:wordWrap/>
                    <w:overflowPunct/>
                    <w:topLinePunct w:val="0"/>
                    <w:autoSpaceDE/>
                    <w:autoSpaceDN/>
                    <w:bidi w:val="0"/>
                    <w:jc w:val="both"/>
                    <w:rPr>
                      <w:rFonts w:hint="default" w:cs="Times New Roman"/>
                      <w:b/>
                      <w:bCs/>
                      <w:color w:val="auto"/>
                      <w:sz w:val="21"/>
                      <w:szCs w:val="21"/>
                      <w:lang w:val="en-US" w:eastAsia="zh-CN"/>
                    </w:rPr>
                  </w:pPr>
                  <w:r>
                    <w:rPr>
                      <w:rFonts w:hint="eastAsia" w:cs="Times New Roman"/>
                      <w:b w:val="0"/>
                      <w:bCs w:val="0"/>
                      <w:color w:val="auto"/>
                      <w:sz w:val="21"/>
                      <w:szCs w:val="21"/>
                      <w:lang w:val="en-US" w:eastAsia="zh-CN"/>
                    </w:rPr>
                    <w:t>加快神木、榆阳、米脂、佳县岩盐的勘察开发程度，大力推进煤、油、气、盐一体化格局发展。</w:t>
                  </w:r>
                </w:p>
              </w:tc>
              <w:tc>
                <w:tcPr>
                  <w:tcW w:w="1258" w:type="pct"/>
                  <w:vAlign w:val="center"/>
                </w:tcPr>
                <w:p w14:paraId="606BA11C">
                  <w:pPr>
                    <w:pStyle w:val="29"/>
                    <w:keepNext w:val="0"/>
                    <w:keepLines w:val="0"/>
                    <w:pageBreakBefore w:val="0"/>
                    <w:kinsoku/>
                    <w:wordWrap/>
                    <w:overflowPunct/>
                    <w:topLinePunct w:val="0"/>
                    <w:autoSpaceDE/>
                    <w:autoSpaceDN/>
                    <w:bidi w:val="0"/>
                    <w:ind w:firstLine="0" w:firstLineChars="0"/>
                    <w:jc w:val="both"/>
                    <w:rPr>
                      <w:rFonts w:hint="default" w:cs="Times New Roman"/>
                      <w:color w:val="auto"/>
                      <w:sz w:val="21"/>
                      <w:szCs w:val="21"/>
                      <w:lang w:val="en-US" w:eastAsia="zh-CN"/>
                    </w:rPr>
                  </w:pPr>
                  <w:r>
                    <w:rPr>
                      <w:rFonts w:hint="eastAsia" w:cs="Times New Roman"/>
                      <w:color w:val="auto"/>
                      <w:sz w:val="21"/>
                      <w:szCs w:val="21"/>
                      <w:lang w:val="en-US" w:eastAsia="zh-CN"/>
                    </w:rPr>
                    <w:t>本项目位于佳县朱官寨镇，为天然气勘探项目，符合“</w:t>
                  </w:r>
                  <w:r>
                    <w:rPr>
                      <w:rFonts w:hint="eastAsia" w:cs="Times New Roman"/>
                      <w:b w:val="0"/>
                      <w:bCs w:val="0"/>
                      <w:color w:val="auto"/>
                      <w:sz w:val="21"/>
                      <w:szCs w:val="21"/>
                      <w:lang w:val="en-US" w:eastAsia="zh-CN"/>
                    </w:rPr>
                    <w:t>大力推进煤、油、气、盐一体化格局发展</w:t>
                  </w:r>
                  <w:r>
                    <w:rPr>
                      <w:rFonts w:hint="eastAsia" w:cs="Times New Roman"/>
                      <w:color w:val="auto"/>
                      <w:sz w:val="21"/>
                      <w:szCs w:val="21"/>
                      <w:lang w:val="en-US" w:eastAsia="zh-CN"/>
                    </w:rPr>
                    <w:t>”要求</w:t>
                  </w:r>
                </w:p>
              </w:tc>
              <w:tc>
                <w:tcPr>
                  <w:tcW w:w="282" w:type="pct"/>
                  <w:vAlign w:val="center"/>
                </w:tcPr>
                <w:p w14:paraId="30B25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29C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3E45F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430" w:type="pct"/>
                  <w:vMerge w:val="continue"/>
                  <w:vAlign w:val="center"/>
                </w:tcPr>
                <w:p w14:paraId="51F966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754" w:type="pct"/>
                  <w:vAlign w:val="center"/>
                </w:tcPr>
                <w:p w14:paraId="48C491EF">
                  <w:pPr>
                    <w:pStyle w:val="29"/>
                    <w:keepNext w:val="0"/>
                    <w:keepLines w:val="0"/>
                    <w:pageBreakBefore w:val="0"/>
                    <w:numPr>
                      <w:ilvl w:val="0"/>
                      <w:numId w:val="3"/>
                    </w:numPr>
                    <w:kinsoku/>
                    <w:wordWrap/>
                    <w:overflowPunct/>
                    <w:topLinePunct w:val="0"/>
                    <w:autoSpaceDE/>
                    <w:autoSpaceDN/>
                    <w:bidi w:val="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明确矿产资源勘查开采调控方向</w:t>
                  </w:r>
                </w:p>
                <w:p w14:paraId="03E7B5D0">
                  <w:pPr>
                    <w:pStyle w:val="29"/>
                    <w:keepNext w:val="0"/>
                    <w:keepLines w:val="0"/>
                    <w:pageBreakBefore w:val="0"/>
                    <w:numPr>
                      <w:ilvl w:val="0"/>
                      <w:numId w:val="0"/>
                    </w:numPr>
                    <w:kinsoku/>
                    <w:wordWrap/>
                    <w:overflowPunct/>
                    <w:topLinePunct w:val="0"/>
                    <w:autoSpaceDE/>
                    <w:autoSpaceDN/>
                    <w:bidi w:val="0"/>
                    <w:jc w:val="both"/>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限制勘察高硫煤，勘察区块投放前应做好论证。结合国家战略性矿产、省市优势紧缺矿产的找矿目标及榆林煤、油、气、盐一体化发展格局，重点勘察石油、天然气、煤炭、煤层气、地热等矿产。</w:t>
                  </w:r>
                </w:p>
              </w:tc>
              <w:tc>
                <w:tcPr>
                  <w:tcW w:w="1258" w:type="pct"/>
                  <w:vAlign w:val="center"/>
                </w:tcPr>
                <w:p w14:paraId="3BB8D7E7">
                  <w:pPr>
                    <w:pStyle w:val="29"/>
                    <w:keepNext w:val="0"/>
                    <w:keepLines w:val="0"/>
                    <w:pageBreakBefore w:val="0"/>
                    <w:kinsoku/>
                    <w:wordWrap/>
                    <w:overflowPunct/>
                    <w:topLinePunct w:val="0"/>
                    <w:autoSpaceDE/>
                    <w:autoSpaceDN/>
                    <w:bidi w:val="0"/>
                    <w:ind w:firstLine="0" w:firstLineChars="0"/>
                    <w:jc w:val="both"/>
                    <w:rPr>
                      <w:rFonts w:hint="default" w:cs="Times New Roman"/>
                      <w:color w:val="auto"/>
                      <w:sz w:val="21"/>
                      <w:szCs w:val="21"/>
                      <w:lang w:val="en-US" w:eastAsia="zh-CN"/>
                    </w:rPr>
                  </w:pPr>
                  <w:r>
                    <w:rPr>
                      <w:rFonts w:hint="eastAsia" w:cs="Times New Roman"/>
                      <w:color w:val="auto"/>
                      <w:sz w:val="21"/>
                      <w:szCs w:val="21"/>
                      <w:lang w:val="en-US" w:eastAsia="zh-CN"/>
                    </w:rPr>
                    <w:t>本项目位于佳县朱官寨镇，为天然气勘探项目，符合“</w:t>
                  </w:r>
                  <w:r>
                    <w:rPr>
                      <w:rFonts w:hint="eastAsia" w:cs="Times New Roman"/>
                      <w:b w:val="0"/>
                      <w:bCs w:val="0"/>
                      <w:color w:val="auto"/>
                      <w:sz w:val="21"/>
                      <w:szCs w:val="21"/>
                      <w:lang w:val="en-US" w:eastAsia="zh-CN"/>
                    </w:rPr>
                    <w:t>重点勘察石油、天然气、煤炭、煤层气、地热等矿产</w:t>
                  </w:r>
                  <w:r>
                    <w:rPr>
                      <w:rFonts w:hint="eastAsia" w:cs="Times New Roman"/>
                      <w:color w:val="auto"/>
                      <w:sz w:val="21"/>
                      <w:szCs w:val="21"/>
                      <w:lang w:val="en-US" w:eastAsia="zh-CN"/>
                    </w:rPr>
                    <w:t>”要求</w:t>
                  </w:r>
                </w:p>
              </w:tc>
              <w:tc>
                <w:tcPr>
                  <w:tcW w:w="282" w:type="pct"/>
                  <w:vAlign w:val="center"/>
                </w:tcPr>
                <w:p w14:paraId="2F902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358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1625F0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430" w:type="pct"/>
                  <w:vMerge w:val="continue"/>
                  <w:vAlign w:val="center"/>
                </w:tcPr>
                <w:p w14:paraId="262D4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754" w:type="pct"/>
                  <w:vAlign w:val="center"/>
                </w:tcPr>
                <w:p w14:paraId="2C2AD1EA">
                  <w:pPr>
                    <w:pStyle w:val="29"/>
                    <w:keepNext w:val="0"/>
                    <w:keepLines w:val="0"/>
                    <w:pageBreakBefore w:val="0"/>
                    <w:numPr>
                      <w:ilvl w:val="0"/>
                      <w:numId w:val="0"/>
                    </w:numPr>
                    <w:kinsoku/>
                    <w:wordWrap/>
                    <w:overflowPunct/>
                    <w:topLinePunct w:val="0"/>
                    <w:autoSpaceDE/>
                    <w:autoSpaceDN/>
                    <w:bidi w:val="0"/>
                    <w:jc w:val="both"/>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全面推进地质勘查全过程绿色勘查。勘查工作开展前应不断优化勘查设计，明确绿色勘查工作的具体内容、技术标准要求和保障措施，做好设计审查工作；勘查施工中应采用先进技术、方法、工艺、设备和新材料，积极开展勘查技术与管理的创新；勘查工作结束后，应鼓励提炼出可复制、能推广的绿色勘查经验。通过谋划在前、过程监管、事后总结将绿色勘查贯穿于勘查活动的全过程。</w:t>
                  </w:r>
                </w:p>
              </w:tc>
              <w:tc>
                <w:tcPr>
                  <w:tcW w:w="1258" w:type="pct"/>
                  <w:vAlign w:val="center"/>
                </w:tcPr>
                <w:p w14:paraId="3550FF70">
                  <w:pPr>
                    <w:pStyle w:val="29"/>
                    <w:keepNext w:val="0"/>
                    <w:keepLines w:val="0"/>
                    <w:pageBreakBefore w:val="0"/>
                    <w:kinsoku/>
                    <w:wordWrap/>
                    <w:overflowPunct/>
                    <w:topLinePunct w:val="0"/>
                    <w:autoSpaceDE/>
                    <w:autoSpaceDN/>
                    <w:bidi w:val="0"/>
                    <w:ind w:firstLine="0" w:firstLineChars="0"/>
                    <w:jc w:val="both"/>
                    <w:rPr>
                      <w:rFonts w:hint="default" w:cs="Times New Roman"/>
                      <w:color w:val="auto"/>
                      <w:sz w:val="21"/>
                      <w:szCs w:val="21"/>
                      <w:lang w:val="en-US" w:eastAsia="zh-CN"/>
                    </w:rPr>
                  </w:pPr>
                  <w:r>
                    <w:rPr>
                      <w:rFonts w:hint="eastAsia" w:cs="Times New Roman"/>
                      <w:color w:val="auto"/>
                      <w:sz w:val="21"/>
                      <w:szCs w:val="21"/>
                      <w:lang w:val="en-US" w:eastAsia="zh-CN"/>
                    </w:rPr>
                    <w:t>本项目勘察过程中使用电驱动，属于清洁能源，钻进过程采用水基钻井液，勘探工程结束后对场地进行绿化恢复，符合绿色勘察要求。</w:t>
                  </w:r>
                </w:p>
              </w:tc>
              <w:tc>
                <w:tcPr>
                  <w:tcW w:w="282" w:type="pct"/>
                  <w:vAlign w:val="center"/>
                </w:tcPr>
                <w:p w14:paraId="2F9A9F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295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2E81EF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2235" w:type="dxa"/>
                  <w:vMerge w:val="restart"/>
                  <w:vAlign w:val="center"/>
                </w:tcPr>
                <w:p w14:paraId="0DE7B6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《佳县矿产资源总体规划（2021-2025年）》</w:t>
                  </w:r>
                </w:p>
              </w:tc>
              <w:tc>
                <w:tcPr>
                  <w:tcW w:w="2742" w:type="dxa"/>
                  <w:vAlign w:val="center"/>
                </w:tcPr>
                <w:p w14:paraId="15B04C72">
                  <w:pPr>
                    <w:pStyle w:val="29"/>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加强</w:t>
                  </w:r>
                  <w:r>
                    <w:rPr>
                      <w:rFonts w:hint="eastAsia" w:ascii="Times New Roman" w:hAnsi="Times New Roman" w:eastAsia="宋体" w:cs="Times New Roman"/>
                      <w:b w:val="0"/>
                      <w:bCs w:val="0"/>
                      <w:color w:val="auto"/>
                      <w:sz w:val="21"/>
                      <w:szCs w:val="21"/>
                      <w:lang w:val="en" w:eastAsia="en-US"/>
                    </w:rPr>
                    <w:t>矿产资源勘查</w:t>
                  </w:r>
                  <w:r>
                    <w:rPr>
                      <w:rFonts w:hint="eastAsia" w:ascii="Times New Roman" w:hAnsi="Times New Roman" w:eastAsia="宋体" w:cs="Times New Roman"/>
                      <w:b w:val="0"/>
                      <w:bCs w:val="0"/>
                      <w:color w:val="auto"/>
                      <w:sz w:val="21"/>
                      <w:szCs w:val="21"/>
                      <w:lang w:val="en-US" w:eastAsia="zh-CN"/>
                    </w:rPr>
                    <w:t>程度，增加资源储量，提高资源保障程度；提高</w:t>
                  </w:r>
                  <w:r>
                    <w:rPr>
                      <w:rFonts w:hint="eastAsia" w:ascii="Times New Roman" w:hAnsi="Times New Roman" w:eastAsia="宋体" w:cs="Times New Roman"/>
                      <w:b w:val="0"/>
                      <w:bCs w:val="0"/>
                      <w:color w:val="auto"/>
                      <w:sz w:val="21"/>
                      <w:szCs w:val="21"/>
                      <w:lang w:val="en" w:eastAsia="en-US"/>
                    </w:rPr>
                    <w:t>矿产资源开发利用与保护</w:t>
                  </w:r>
                  <w:r>
                    <w:rPr>
                      <w:rFonts w:hint="eastAsia" w:ascii="Times New Roman" w:hAnsi="Times New Roman" w:eastAsia="宋体" w:cs="Times New Roman"/>
                      <w:b w:val="0"/>
                      <w:bCs w:val="0"/>
                      <w:color w:val="auto"/>
                      <w:sz w:val="21"/>
                      <w:szCs w:val="21"/>
                      <w:lang w:val="en-US" w:eastAsia="zh-CN"/>
                    </w:rPr>
                    <w:t>力度</w:t>
                  </w:r>
                  <w:r>
                    <w:rPr>
                      <w:rFonts w:hint="eastAsia" w:ascii="Times New Roman" w:hAnsi="Times New Roman" w:eastAsia="宋体" w:cs="Times New Roman"/>
                      <w:b w:val="0"/>
                      <w:bCs w:val="0"/>
                      <w:color w:val="auto"/>
                      <w:sz w:val="21"/>
                      <w:szCs w:val="21"/>
                      <w:lang w:val="en" w:eastAsia="en-US"/>
                    </w:rPr>
                    <w:t>，合理调控开发总量</w:t>
                  </w:r>
                  <w:r>
                    <w:rPr>
                      <w:rFonts w:hint="eastAsia" w:ascii="Times New Roman" w:hAnsi="Times New Roman" w:eastAsia="宋体" w:cs="Times New Roman"/>
                      <w:b w:val="0"/>
                      <w:bCs w:val="0"/>
                      <w:color w:val="auto"/>
                      <w:sz w:val="21"/>
                      <w:szCs w:val="21"/>
                      <w:lang w:val="en" w:eastAsia="zh-CN"/>
                    </w:rPr>
                    <w:t>；</w:t>
                  </w:r>
                  <w:r>
                    <w:rPr>
                      <w:rFonts w:hint="eastAsia" w:ascii="Times New Roman" w:hAnsi="Times New Roman" w:eastAsia="宋体" w:cs="Times New Roman"/>
                      <w:b w:val="0"/>
                      <w:bCs w:val="0"/>
                      <w:color w:val="auto"/>
                      <w:sz w:val="21"/>
                      <w:szCs w:val="21"/>
                      <w:lang w:val="en-US" w:eastAsia="zh-CN"/>
                    </w:rPr>
                    <w:t>矿山</w:t>
                  </w:r>
                  <w:r>
                    <w:rPr>
                      <w:rFonts w:hint="eastAsia" w:ascii="Times New Roman" w:hAnsi="Times New Roman" w:eastAsia="宋体" w:cs="Times New Roman"/>
                      <w:b w:val="0"/>
                      <w:bCs w:val="0"/>
                      <w:color w:val="auto"/>
                      <w:sz w:val="21"/>
                      <w:szCs w:val="21"/>
                      <w:lang w:val="en" w:eastAsia="en-US"/>
                    </w:rPr>
                    <w:t>开发利用布局与结构更加</w:t>
                  </w:r>
                  <w:r>
                    <w:rPr>
                      <w:rFonts w:hint="eastAsia" w:ascii="Times New Roman" w:hAnsi="Times New Roman" w:eastAsia="宋体" w:cs="Times New Roman"/>
                      <w:b w:val="0"/>
                      <w:bCs w:val="0"/>
                      <w:color w:val="auto"/>
                      <w:sz w:val="21"/>
                      <w:szCs w:val="21"/>
                      <w:lang w:val="en-US" w:eastAsia="zh-CN"/>
                    </w:rPr>
                    <w:t>合理</w:t>
                  </w:r>
                  <w:r>
                    <w:rPr>
                      <w:rFonts w:hint="eastAsia" w:ascii="Times New Roman" w:hAnsi="Times New Roman" w:eastAsia="宋体" w:cs="Times New Roman"/>
                      <w:b w:val="0"/>
                      <w:bCs w:val="0"/>
                      <w:color w:val="auto"/>
                      <w:sz w:val="21"/>
                      <w:szCs w:val="21"/>
                      <w:lang w:val="en" w:eastAsia="en-US"/>
                    </w:rPr>
                    <w:t>，资源节约集约和高效利用水平</w:t>
                  </w:r>
                  <w:r>
                    <w:rPr>
                      <w:rFonts w:hint="eastAsia" w:ascii="Times New Roman" w:hAnsi="Times New Roman" w:eastAsia="宋体" w:cs="Times New Roman"/>
                      <w:b w:val="0"/>
                      <w:bCs w:val="0"/>
                      <w:color w:val="auto"/>
                      <w:sz w:val="21"/>
                      <w:szCs w:val="21"/>
                      <w:lang w:val="en-US" w:eastAsia="zh-CN"/>
                    </w:rPr>
                    <w:t>进一步</w:t>
                  </w:r>
                  <w:r>
                    <w:rPr>
                      <w:rFonts w:hint="eastAsia" w:ascii="Times New Roman" w:hAnsi="Times New Roman" w:eastAsia="宋体" w:cs="Times New Roman"/>
                      <w:b w:val="0"/>
                      <w:bCs w:val="0"/>
                      <w:color w:val="auto"/>
                      <w:sz w:val="21"/>
                      <w:szCs w:val="21"/>
                      <w:lang w:val="en" w:eastAsia="en-US"/>
                    </w:rPr>
                    <w:t>提升。矿产资源绿色</w:t>
                  </w:r>
                  <w:r>
                    <w:rPr>
                      <w:rFonts w:hint="eastAsia" w:ascii="Times New Roman" w:hAnsi="Times New Roman" w:eastAsia="宋体" w:cs="Times New Roman"/>
                      <w:b w:val="0"/>
                      <w:bCs w:val="0"/>
                      <w:color w:val="auto"/>
                      <w:sz w:val="21"/>
                      <w:szCs w:val="21"/>
                      <w:lang w:val="en-US" w:eastAsia="zh-CN"/>
                    </w:rPr>
                    <w:t>勘查</w:t>
                  </w:r>
                  <w:r>
                    <w:rPr>
                      <w:rFonts w:hint="eastAsia" w:ascii="Times New Roman" w:hAnsi="Times New Roman" w:eastAsia="宋体" w:cs="Times New Roman"/>
                      <w:b w:val="0"/>
                      <w:bCs w:val="0"/>
                      <w:color w:val="auto"/>
                      <w:sz w:val="21"/>
                      <w:szCs w:val="21"/>
                      <w:lang w:val="en" w:eastAsia="en-US"/>
                    </w:rPr>
                    <w:t>开采稳步推进</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 w:eastAsia="en-US"/>
                    </w:rPr>
                    <w:t>绿色发展新格局基本形成。</w:t>
                  </w:r>
                </w:p>
              </w:tc>
              <w:tc>
                <w:tcPr>
                  <w:tcW w:w="1967" w:type="dxa"/>
                  <w:vAlign w:val="center"/>
                </w:tcPr>
                <w:p w14:paraId="021A5AC8">
                  <w:pPr>
                    <w:pStyle w:val="29"/>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本项目位于榆林市佳县朱官寨镇，属于天然气勘探，勘探过程采用电驱动，符合“加强矿产资源勘查程度”、“</w:t>
                  </w:r>
                  <w:r>
                    <w:rPr>
                      <w:rFonts w:hint="eastAsia" w:ascii="Times New Roman" w:hAnsi="Times New Roman" w:eastAsia="宋体" w:cs="Times New Roman"/>
                      <w:b w:val="0"/>
                      <w:bCs w:val="0"/>
                      <w:color w:val="auto"/>
                      <w:sz w:val="21"/>
                      <w:szCs w:val="21"/>
                      <w:lang w:val="en" w:eastAsia="en-US"/>
                    </w:rPr>
                    <w:t>矿产资源绿色</w:t>
                  </w:r>
                  <w:r>
                    <w:rPr>
                      <w:rFonts w:hint="eastAsia" w:ascii="Times New Roman" w:hAnsi="Times New Roman" w:eastAsia="宋体" w:cs="Times New Roman"/>
                      <w:b w:val="0"/>
                      <w:bCs w:val="0"/>
                      <w:color w:val="auto"/>
                      <w:sz w:val="21"/>
                      <w:szCs w:val="21"/>
                      <w:lang w:val="en-US" w:eastAsia="zh-CN"/>
                    </w:rPr>
                    <w:t>勘查</w:t>
                  </w:r>
                  <w:r>
                    <w:rPr>
                      <w:rFonts w:hint="eastAsia" w:ascii="Times New Roman" w:hAnsi="Times New Roman" w:eastAsia="宋体" w:cs="Times New Roman"/>
                      <w:b w:val="0"/>
                      <w:bCs w:val="0"/>
                      <w:color w:val="auto"/>
                      <w:sz w:val="21"/>
                      <w:szCs w:val="21"/>
                      <w:lang w:val="en" w:eastAsia="en-US"/>
                    </w:rPr>
                    <w:t>开采稳步推进</w:t>
                  </w:r>
                  <w:r>
                    <w:rPr>
                      <w:rFonts w:hint="eastAsia" w:cs="Times New Roman"/>
                      <w:color w:val="auto"/>
                      <w:sz w:val="21"/>
                      <w:szCs w:val="21"/>
                      <w:lang w:val="en-US" w:eastAsia="zh-CN"/>
                    </w:rPr>
                    <w:t>”等要求</w:t>
                  </w:r>
                </w:p>
              </w:tc>
              <w:tc>
                <w:tcPr>
                  <w:tcW w:w="441" w:type="dxa"/>
                  <w:vAlign w:val="center"/>
                </w:tcPr>
                <w:p w14:paraId="15E95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ECC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7A2EB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235" w:type="dxa"/>
                  <w:vMerge w:val="continue"/>
                  <w:vAlign w:val="center"/>
                </w:tcPr>
                <w:p w14:paraId="24AA2B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742" w:type="dxa"/>
                  <w:vAlign w:val="center"/>
                </w:tcPr>
                <w:p w14:paraId="24C17AE3">
                  <w:pPr>
                    <w:pStyle w:val="29"/>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cs="Times New Roman"/>
                      <w:b w:val="0"/>
                      <w:bCs w:val="0"/>
                      <w:color w:val="auto"/>
                      <w:sz w:val="21"/>
                      <w:szCs w:val="21"/>
                      <w:lang w:val="en-US" w:eastAsia="zh-CN"/>
                    </w:rPr>
                  </w:pPr>
                  <w:r>
                    <w:rPr>
                      <w:rFonts w:hint="eastAsia" w:ascii="Times New Roman" w:hAnsi="Times New Roman" w:eastAsia="宋体" w:cs="Times New Roman"/>
                      <w:b/>
                      <w:bCs/>
                      <w:color w:val="auto"/>
                      <w:sz w:val="21"/>
                      <w:szCs w:val="21"/>
                      <w:lang w:val="en" w:eastAsia="en-US"/>
                    </w:rPr>
                    <w:t>资源勘查程度进一步提高。</w:t>
                  </w:r>
                  <w:r>
                    <w:rPr>
                      <w:rFonts w:hint="eastAsia" w:ascii="Times New Roman" w:hAnsi="Times New Roman" w:eastAsia="宋体" w:cs="Times New Roman"/>
                      <w:b w:val="0"/>
                      <w:bCs w:val="0"/>
                      <w:color w:val="auto"/>
                      <w:sz w:val="21"/>
                      <w:szCs w:val="21"/>
                      <w:lang w:val="en" w:eastAsia="en-US"/>
                    </w:rPr>
                    <w:t>加</w:t>
                  </w:r>
                  <w:r>
                    <w:rPr>
                      <w:rFonts w:hint="eastAsia" w:ascii="Times New Roman" w:hAnsi="Times New Roman" w:eastAsia="宋体" w:cs="Times New Roman"/>
                      <w:b w:val="0"/>
                      <w:bCs w:val="0"/>
                      <w:color w:val="auto"/>
                      <w:sz w:val="21"/>
                      <w:szCs w:val="21"/>
                      <w:lang w:val="en-US" w:eastAsia="zh-CN"/>
                    </w:rPr>
                    <w:t>强煤炭、天然气、岩盐矿产的勘查评价，增加资源储量，稳步提升资源保障水平</w:t>
                  </w:r>
                  <w:r>
                    <w:rPr>
                      <w:rFonts w:hint="eastAsia" w:ascii="Times New Roman" w:hAnsi="Times New Roman" w:eastAsia="宋体" w:cs="Times New Roman"/>
                      <w:b w:val="0"/>
                      <w:bCs w:val="0"/>
                      <w:color w:val="auto"/>
                      <w:sz w:val="21"/>
                      <w:szCs w:val="21"/>
                      <w:lang w:val="en" w:eastAsia="en-US"/>
                    </w:rPr>
                    <w:t>。</w:t>
                  </w:r>
                </w:p>
              </w:tc>
              <w:tc>
                <w:tcPr>
                  <w:tcW w:w="1967" w:type="dxa"/>
                  <w:vAlign w:val="center"/>
                </w:tcPr>
                <w:p w14:paraId="5117BDD9">
                  <w:pPr>
                    <w:pStyle w:val="29"/>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本项目属于天然气勘探井建设项目</w:t>
                  </w:r>
                </w:p>
              </w:tc>
              <w:tc>
                <w:tcPr>
                  <w:tcW w:w="441" w:type="dxa"/>
                  <w:vAlign w:val="center"/>
                </w:tcPr>
                <w:p w14:paraId="6AD38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46A0972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5、与《钻前工程及井场布置技术要求》符合性分析</w:t>
            </w:r>
          </w:p>
          <w:p w14:paraId="55951F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根据《钻前工程及井场布置技术要求》（SY/T5466-2013）中3.2.2节规定，井口位置应满足“距高压线及其它永久性设施不小于75m，距民宅不小于100m，距铁路、高速公路不小于200m，距学校、医院和大型油库等密集型、高危性场所不小于500m”的规定。根据现场踏勘，项目井口75m范围内无高压线及其它永久性设施，100m范围内无居民住宅，200m范围内无高速公路、铁路，500m范围内无学校、医院和大型油库等人口密集性、高危性场所。项目气探井井口选址符合《钻前工程及井场布置技术要求》（SY/T5466-2013）中3.2.2节规定，具体分析见表1-</w:t>
            </w:r>
            <w:r>
              <w:rPr>
                <w:rFonts w:hint="eastAsia" w:ascii="Times New Roman" w:hAnsi="Times New Roman" w:eastAsia="宋体" w:cs="Times New Roman"/>
                <w:color w:val="auto"/>
                <w:sz w:val="24"/>
                <w:szCs w:val="24"/>
                <w:vertAlign w:val="baseline"/>
                <w:lang w:val="en-US" w:eastAsia="zh-CN"/>
              </w:rPr>
              <w:t>10</w:t>
            </w:r>
            <w:r>
              <w:rPr>
                <w:rFonts w:hint="default" w:ascii="Times New Roman" w:hAnsi="Times New Roman" w:eastAsia="宋体" w:cs="Times New Roman"/>
                <w:color w:val="auto"/>
                <w:sz w:val="24"/>
                <w:szCs w:val="24"/>
                <w:vertAlign w:val="baseline"/>
                <w:lang w:val="en-US" w:eastAsia="zh-CN"/>
              </w:rPr>
              <w:t>。</w:t>
            </w:r>
          </w:p>
          <w:p w14:paraId="349DD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10</w:t>
            </w:r>
            <w:r>
              <w:rPr>
                <w:rFonts w:hint="default" w:ascii="Times New Roman" w:hAnsi="Times New Roman" w:eastAsia="宋体" w:cs="Times New Roman"/>
                <w:b/>
                <w:bCs/>
                <w:color w:val="auto"/>
                <w:sz w:val="21"/>
                <w:szCs w:val="21"/>
                <w:vertAlign w:val="baseline"/>
                <w:lang w:val="en-US" w:eastAsia="zh-CN"/>
              </w:rPr>
              <w:t xml:space="preserve">  钻前工程及井场布置技术要求</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645"/>
              <w:gridCol w:w="3309"/>
              <w:gridCol w:w="915"/>
            </w:tblGrid>
            <w:tr w14:paraId="2A7E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gridSpan w:val="2"/>
                  <w:vAlign w:val="center"/>
                </w:tcPr>
                <w:p w14:paraId="1DDFD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《钻前工程及井场布置技术要求》（SY/T5466-2013）</w:t>
                  </w:r>
                </w:p>
              </w:tc>
              <w:tc>
                <w:tcPr>
                  <w:tcW w:w="2117" w:type="pct"/>
                  <w:vAlign w:val="center"/>
                </w:tcPr>
                <w:p w14:paraId="19371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585" w:type="pct"/>
                  <w:vAlign w:val="center"/>
                </w:tcPr>
                <w:p w14:paraId="42CFC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符合性分析</w:t>
                  </w:r>
                </w:p>
              </w:tc>
            </w:tr>
            <w:tr w14:paraId="5FF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2FEB2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3.1井场选择原则</w:t>
                  </w:r>
                </w:p>
              </w:tc>
              <w:tc>
                <w:tcPr>
                  <w:tcW w:w="1691" w:type="pct"/>
                  <w:vAlign w:val="center"/>
                </w:tcPr>
                <w:p w14:paraId="68A61E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井场应避开滑坡、泥石流等不良地质地段，在河滩、海滩地区应避开讯、潮期进行钻前施工</w:t>
                  </w:r>
                </w:p>
              </w:tc>
              <w:tc>
                <w:tcPr>
                  <w:tcW w:w="2117" w:type="pct"/>
                  <w:vAlign w:val="center"/>
                </w:tcPr>
                <w:p w14:paraId="264B1F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本项目井场选址不属于滑坡、泥石流等不良地段，也不属于河滩地区</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26AD5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FA3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1F6C9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0DF7F8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满足防洪、防喷、防爆、防毒、防冻等安全要求</w:t>
                  </w:r>
                </w:p>
              </w:tc>
              <w:tc>
                <w:tcPr>
                  <w:tcW w:w="2117" w:type="pct"/>
                  <w:vAlign w:val="center"/>
                </w:tcPr>
                <w:p w14:paraId="415A14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本项目选址满足防洪、防喷、防爆、防毒、防冻等安全要求</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24E82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94A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3CB77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3.2井位的确定</w:t>
                  </w:r>
                </w:p>
              </w:tc>
              <w:tc>
                <w:tcPr>
                  <w:tcW w:w="1691" w:type="pct"/>
                  <w:vAlign w:val="center"/>
                </w:tcPr>
                <w:p w14:paraId="4B440F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油、气井井口距高压线及其他永久性设施不小于75m，距民宅不小于100m，距铁路、高速公路不小于200m，距学校、医院和大型油库等人口密集型、高危性场所不小于500m。</w:t>
                  </w:r>
                </w:p>
              </w:tc>
              <w:tc>
                <w:tcPr>
                  <w:tcW w:w="2117" w:type="pct"/>
                  <w:vAlign w:val="center"/>
                </w:tcPr>
                <w:p w14:paraId="708E906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各井场</w:t>
                  </w:r>
                  <w:r>
                    <w:rPr>
                      <w:rFonts w:hint="default" w:ascii="Times New Roman" w:hAnsi="Times New Roman" w:eastAsia="宋体" w:cs="Times New Roman"/>
                      <w:color w:val="auto"/>
                      <w:sz w:val="21"/>
                      <w:szCs w:val="21"/>
                      <w:vertAlign w:val="baseline"/>
                      <w:lang w:val="en-US" w:eastAsia="zh-CN"/>
                    </w:rPr>
                    <w:t>周围75m无高压线及其他永久性设施，100m范围内无民宅，200m范围内无铁路、高速公路，500米范围内无学校、医院和大型油库等人口密集性、高危性场所</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4618A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68A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47504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721A82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在地下矿产采掘区钻井，井筒与采掘坑道、矿井坑道之间的距离不小于100m</w:t>
                  </w:r>
                </w:p>
              </w:tc>
              <w:tc>
                <w:tcPr>
                  <w:tcW w:w="2117" w:type="pct"/>
                  <w:vAlign w:val="center"/>
                </w:tcPr>
                <w:p w14:paraId="51A076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本项目钻井区不是地下矿产采掘区</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53366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779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479E71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5FFAB2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井口距堤坝、水库的位置应根据国家水利部门的有关规定执行</w:t>
                  </w:r>
                </w:p>
              </w:tc>
              <w:tc>
                <w:tcPr>
                  <w:tcW w:w="2117" w:type="pct"/>
                  <w:vAlign w:val="center"/>
                </w:tcPr>
                <w:p w14:paraId="017E854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本项目井口周边不涉及堤坝、水库</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5C53C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33182E5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6、与《陕北油气田开采清洁文明井场验收标准》符合性分析</w:t>
            </w:r>
          </w:p>
          <w:p w14:paraId="3D3BE13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本项目与《陕北油气田开采清洁文明井场验收标准》（陕环办发【2016】31号）符合性分析见下表：</w:t>
            </w:r>
          </w:p>
          <w:p w14:paraId="12835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11</w:t>
            </w:r>
            <w:r>
              <w:rPr>
                <w:rFonts w:hint="default" w:ascii="Times New Roman" w:hAnsi="Times New Roman" w:eastAsia="宋体" w:cs="Times New Roman"/>
                <w:b/>
                <w:bCs/>
                <w:color w:val="auto"/>
                <w:sz w:val="21"/>
                <w:szCs w:val="21"/>
                <w:vertAlign w:val="baseline"/>
                <w:lang w:val="en-US" w:eastAsia="zh-CN"/>
              </w:rPr>
              <w:t xml:space="preserve"> 与《陕北油气田开采清洁文明井场验收标准》符合性分析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3655"/>
              <w:gridCol w:w="2729"/>
              <w:gridCol w:w="706"/>
            </w:tblGrid>
            <w:tr w14:paraId="0850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pct"/>
                  <w:gridSpan w:val="2"/>
                  <w:vAlign w:val="center"/>
                </w:tcPr>
                <w:p w14:paraId="56B82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陕环办发【2016】31号</w:t>
                  </w:r>
                </w:p>
              </w:tc>
              <w:tc>
                <w:tcPr>
                  <w:tcW w:w="1746" w:type="pct"/>
                  <w:vAlign w:val="center"/>
                </w:tcPr>
                <w:p w14:paraId="1059C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452" w:type="pct"/>
                  <w:vAlign w:val="center"/>
                </w:tcPr>
                <w:p w14:paraId="1123E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05A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657610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一、钻探井场</w:t>
                  </w:r>
                </w:p>
              </w:tc>
              <w:tc>
                <w:tcPr>
                  <w:tcW w:w="2339" w:type="pct"/>
                  <w:vAlign w:val="center"/>
                </w:tcPr>
                <w:p w14:paraId="4FA512B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w:t>
                  </w:r>
                  <w:r>
                    <w:rPr>
                      <w:rFonts w:hint="default" w:ascii="Times New Roman" w:hAnsi="Times New Roman" w:eastAsia="宋体" w:cs="Times New Roman"/>
                      <w:color w:val="auto"/>
                      <w:kern w:val="0"/>
                      <w:sz w:val="21"/>
                      <w:szCs w:val="21"/>
                      <w:lang w:val="en-US" w:eastAsia="zh-CN" w:bidi="ar"/>
                    </w:rPr>
                    <w:t>钻井作业的泥浆池和泥浆槽必须采取防渗漏、防外溢措施。泥浆上清液应循环使用或处理达标后回注油层。钻井泥浆应当交由有资质单位处置，岩屑及其他废弃物要进行无害化处理</w:t>
                  </w:r>
                </w:p>
              </w:tc>
              <w:tc>
                <w:tcPr>
                  <w:tcW w:w="1746" w:type="pct"/>
                </w:tcPr>
                <w:p w14:paraId="3206A4F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本项目钻井作业的泥浆罐区、岩屑暂存池等区域进行重点防渗，</w:t>
                  </w:r>
                  <w:r>
                    <w:rPr>
                      <w:rFonts w:hint="eastAsia" w:ascii="Times New Roman" w:hAnsi="Times New Roman" w:eastAsia="宋体" w:cs="Times New Roman"/>
                      <w:color w:val="auto"/>
                      <w:kern w:val="0"/>
                      <w:sz w:val="21"/>
                      <w:szCs w:val="21"/>
                      <w:lang w:val="en-US" w:eastAsia="zh-CN" w:bidi="ar"/>
                    </w:rPr>
                    <w:t>并设置围堰，</w:t>
                  </w:r>
                  <w:r>
                    <w:rPr>
                      <w:rFonts w:hint="default" w:ascii="Times New Roman" w:hAnsi="Times New Roman" w:eastAsia="宋体" w:cs="Times New Roman"/>
                      <w:color w:val="auto"/>
                      <w:kern w:val="0"/>
                      <w:sz w:val="21"/>
                      <w:szCs w:val="21"/>
                      <w:lang w:val="en-US" w:eastAsia="zh-CN" w:bidi="ar"/>
                    </w:rPr>
                    <w:t>围堰整体铺设防渗材料（HDPE膜，</w:t>
                  </w:r>
                  <w:r>
                    <w:rPr>
                      <w:rFonts w:hint="eastAsia" w:ascii="Times New Roman" w:hAnsi="Times New Roman" w:eastAsia="宋体" w:cs="Times New Roman"/>
                      <w:color w:val="auto"/>
                      <w:kern w:val="0"/>
                      <w:sz w:val="21"/>
                      <w:szCs w:val="21"/>
                      <w:lang w:val="en-US" w:eastAsia="zh-CN" w:bidi="ar"/>
                    </w:rPr>
                    <w:t>双层</w:t>
                  </w:r>
                  <w:r>
                    <w:rPr>
                      <w:rFonts w:hint="default" w:ascii="Times New Roman" w:hAnsi="Times New Roman" w:eastAsia="宋体" w:cs="Times New Roman"/>
                      <w:color w:val="auto"/>
                      <w:kern w:val="0"/>
                      <w:sz w:val="21"/>
                      <w:szCs w:val="21"/>
                      <w:lang w:val="en-US" w:eastAsia="zh-CN" w:bidi="ar"/>
                    </w:rPr>
                    <w:t>），HDPE膜敷设面积应适当扩大，覆盖围堰区外延1.0m；泥浆上清液回用于钻井液配液；废弃泥浆、钻井岩屑委托具有相应处置能力的单位处置；废油、含油废棉纱等其它危险废物委托资质单位处置。</w:t>
                  </w:r>
                </w:p>
              </w:tc>
              <w:tc>
                <w:tcPr>
                  <w:tcW w:w="452" w:type="pct"/>
                  <w:vAlign w:val="center"/>
                </w:tcPr>
                <w:p w14:paraId="7992A0BD">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8CA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628EB63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00D1878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w:t>
                  </w:r>
                  <w:r>
                    <w:rPr>
                      <w:rFonts w:hint="default" w:ascii="Times New Roman" w:hAnsi="Times New Roman" w:eastAsia="宋体" w:cs="Times New Roman"/>
                      <w:color w:val="auto"/>
                      <w:kern w:val="0"/>
                      <w:sz w:val="21"/>
                      <w:szCs w:val="21"/>
                      <w:lang w:val="en-US" w:eastAsia="zh-CN" w:bidi="ar"/>
                    </w:rPr>
                    <w:t>钻井作业必须采取防止污油外泄和渗漏等有效措施，污油要及时回收，废弃污油泥应当交由有资质单位处置</w:t>
                  </w:r>
                </w:p>
              </w:tc>
              <w:tc>
                <w:tcPr>
                  <w:tcW w:w="1746" w:type="pct"/>
                  <w:vAlign w:val="center"/>
                </w:tcPr>
                <w:p w14:paraId="6C7BB4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本项目采用水基钻井液，无废弃污油泥产生。</w:t>
                  </w:r>
                </w:p>
              </w:tc>
              <w:tc>
                <w:tcPr>
                  <w:tcW w:w="452" w:type="pct"/>
                  <w:vAlign w:val="center"/>
                </w:tcPr>
                <w:p w14:paraId="2E880F6E">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2BD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01B24DD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2FDA60D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default" w:ascii="Times New Roman" w:hAnsi="Times New Roman" w:eastAsia="宋体" w:cs="Times New Roman"/>
                      <w:color w:val="auto"/>
                      <w:kern w:val="0"/>
                      <w:sz w:val="21"/>
                      <w:szCs w:val="21"/>
                      <w:lang w:val="en-US" w:eastAsia="zh-CN" w:bidi="ar"/>
                    </w:rPr>
                    <w:t>试油（气）作业必须采取防喷、导流等有效措施。试油(气)完成后，应在60日内完成泥浆处置、岩屑固化及善后处理</w:t>
                  </w:r>
                  <w:r>
                    <w:rPr>
                      <w:rFonts w:hint="eastAsia" w:ascii="Times New Roman" w:hAnsi="Times New Roman" w:eastAsia="宋体" w:cs="Times New Roman"/>
                      <w:color w:val="auto"/>
                      <w:kern w:val="0"/>
                      <w:sz w:val="21"/>
                      <w:szCs w:val="21"/>
                      <w:lang w:val="en-US" w:eastAsia="zh-CN" w:bidi="ar"/>
                    </w:rPr>
                    <w:t>。</w:t>
                  </w:r>
                </w:p>
              </w:tc>
              <w:tc>
                <w:tcPr>
                  <w:tcW w:w="1746" w:type="pct"/>
                </w:tcPr>
                <w:p w14:paraId="1D6E1AE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本项目试气作业采取有效的防喷措施。要求企业试气完成后，及时完成泥浆、岩屑等善后处理。</w:t>
                  </w:r>
                </w:p>
              </w:tc>
              <w:tc>
                <w:tcPr>
                  <w:tcW w:w="452" w:type="pct"/>
                  <w:vAlign w:val="center"/>
                </w:tcPr>
                <w:p w14:paraId="4ED1DEEB">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4D29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40E64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三、生态环境修复</w:t>
                  </w:r>
                </w:p>
              </w:tc>
              <w:tc>
                <w:tcPr>
                  <w:tcW w:w="2339" w:type="pct"/>
                  <w:vAlign w:val="center"/>
                </w:tcPr>
                <w:p w14:paraId="0A9E8A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井场的道路两侧和围墙内外宜绿化区域应实现林草覆盖，有效覆盖面积不低于98％</w:t>
                  </w:r>
                  <w:r>
                    <w:rPr>
                      <w:rFonts w:hint="eastAsia" w:ascii="Times New Roman" w:hAnsi="Times New Roman" w:eastAsia="宋体" w:cs="Times New Roman"/>
                      <w:color w:val="auto"/>
                      <w:kern w:val="0"/>
                      <w:sz w:val="21"/>
                      <w:szCs w:val="21"/>
                      <w:lang w:val="en-US" w:eastAsia="zh-CN" w:bidi="ar"/>
                    </w:rPr>
                    <w:t>。</w:t>
                  </w:r>
                </w:p>
              </w:tc>
              <w:tc>
                <w:tcPr>
                  <w:tcW w:w="1746" w:type="pct"/>
                  <w:vMerge w:val="restart"/>
                </w:tcPr>
                <w:p w14:paraId="2B1E944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本项目属于</w:t>
                  </w:r>
                  <w:r>
                    <w:rPr>
                      <w:rFonts w:hint="eastAsia" w:ascii="Times New Roman" w:hAnsi="Times New Roman" w:eastAsia="宋体" w:cs="Times New Roman"/>
                      <w:color w:val="auto"/>
                      <w:kern w:val="0"/>
                      <w:sz w:val="21"/>
                      <w:szCs w:val="21"/>
                      <w:lang w:val="en-US" w:eastAsia="zh-CN" w:bidi="ar"/>
                    </w:rPr>
                    <w:t>评价井钻</w:t>
                  </w:r>
                  <w:r>
                    <w:rPr>
                      <w:rFonts w:hint="default" w:ascii="Times New Roman" w:hAnsi="Times New Roman" w:eastAsia="宋体" w:cs="Times New Roman"/>
                      <w:color w:val="auto"/>
                      <w:kern w:val="0"/>
                      <w:sz w:val="21"/>
                      <w:szCs w:val="21"/>
                      <w:lang w:val="en-US" w:eastAsia="zh-CN" w:bidi="ar"/>
                    </w:rPr>
                    <w:t>井工程，施工期结束后</w:t>
                  </w:r>
                  <w:r>
                    <w:rPr>
                      <w:rFonts w:hint="eastAsia" w:ascii="Times New Roman" w:hAnsi="Times New Roman" w:eastAsia="宋体" w:cs="Times New Roman"/>
                      <w:color w:val="auto"/>
                      <w:kern w:val="0"/>
                      <w:sz w:val="21"/>
                      <w:szCs w:val="21"/>
                      <w:lang w:val="en-US" w:eastAsia="zh-CN" w:bidi="ar"/>
                    </w:rPr>
                    <w:t>。当勘探井不具有开发价值时，采取永久封井，对临时占地恢复原状；当勘探并具有开发价值时，采取临时封井，除预留转成生产井所需的面积外，其他区域恢复原有植被和生态景观，使区域生态景观和谐致。</w:t>
                  </w:r>
                </w:p>
              </w:tc>
              <w:tc>
                <w:tcPr>
                  <w:tcW w:w="452" w:type="pct"/>
                  <w:vAlign w:val="center"/>
                </w:tcPr>
                <w:p w14:paraId="23F5B9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690B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14:paraId="187A7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32F8D9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关闭油（气）井应封堵油（气）层、封闭井口，并同步实施井场复垦还田或植树种草工程措施。</w:t>
                  </w:r>
                </w:p>
              </w:tc>
              <w:tc>
                <w:tcPr>
                  <w:tcW w:w="1746" w:type="pct"/>
                  <w:vMerge w:val="continue"/>
                </w:tcPr>
                <w:p w14:paraId="5424A48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452" w:type="pct"/>
                  <w:vAlign w:val="center"/>
                </w:tcPr>
                <w:p w14:paraId="3F680E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677C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tcPr>
                <w:p w14:paraId="09B3FA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四、清洁文明井场管理</w:t>
                  </w:r>
                </w:p>
              </w:tc>
              <w:tc>
                <w:tcPr>
                  <w:tcW w:w="2339" w:type="pct"/>
                  <w:vAlign w:val="center"/>
                </w:tcPr>
                <w:p w14:paraId="33A2590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井场应做到清洁卫生，无跑、冒、滴、漏现象，场外无油污、无垃圾，杜绝污染物乱堆乱放。</w:t>
                  </w:r>
                </w:p>
              </w:tc>
              <w:tc>
                <w:tcPr>
                  <w:tcW w:w="1746" w:type="pct"/>
                </w:tcPr>
                <w:p w14:paraId="41031D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要求企业在勘探期井场做到清洁卫生，无跑、冒、滴、漏现象，场外无油污、无垃圾，杜绝污染物乱堆乱放。</w:t>
                  </w:r>
                </w:p>
              </w:tc>
              <w:tc>
                <w:tcPr>
                  <w:tcW w:w="452" w:type="pct"/>
                  <w:vAlign w:val="center"/>
                </w:tcPr>
                <w:p w14:paraId="38C2DE7A">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01B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702C51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0D07F3B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按照环境事故应急预案，要对井场操作人员进行应急培训，并储备相应抢险应急物资。</w:t>
                  </w:r>
                </w:p>
              </w:tc>
              <w:tc>
                <w:tcPr>
                  <w:tcW w:w="1746" w:type="pct"/>
                </w:tcPr>
                <w:p w14:paraId="0A1916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企业已设立安全环保科，并针对单井由专人负责，对井场操作人员进行应急培训，并储备相应抢险应急物资。</w:t>
                  </w:r>
                </w:p>
              </w:tc>
              <w:tc>
                <w:tcPr>
                  <w:tcW w:w="452" w:type="pct"/>
                  <w:vAlign w:val="center"/>
                </w:tcPr>
                <w:p w14:paraId="74CF1C04">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bl>
          <w:p w14:paraId="710FAEF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7、与《绿色勘察指南》（T/CMAS0001-2018）符合性分析</w:t>
            </w:r>
          </w:p>
          <w:p w14:paraId="54637FE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本项目与《绿色勘察指南》（T/CMAS0001-2018）符合性分析见表1-12。</w:t>
            </w:r>
          </w:p>
          <w:p w14:paraId="724A4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p w14:paraId="631D9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p w14:paraId="77540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p w14:paraId="6305E8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p w14:paraId="10D7B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表1-12 本项目与《绿色勘察指南》（T/CMAS0001-2018）符合性分析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3668"/>
              <w:gridCol w:w="3109"/>
              <w:gridCol w:w="469"/>
            </w:tblGrid>
            <w:tr w14:paraId="2D33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61F45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347" w:type="pct"/>
                  <w:vAlign w:val="center"/>
                </w:tcPr>
                <w:p w14:paraId="00357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相关条款</w:t>
                  </w:r>
                </w:p>
              </w:tc>
              <w:tc>
                <w:tcPr>
                  <w:tcW w:w="1989" w:type="pct"/>
                  <w:vAlign w:val="center"/>
                </w:tcPr>
                <w:p w14:paraId="41033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300" w:type="pct"/>
                  <w:vAlign w:val="center"/>
                </w:tcPr>
                <w:p w14:paraId="35B27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3D2A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338A4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347" w:type="pct"/>
                  <w:vAlign w:val="center"/>
                </w:tcPr>
                <w:p w14:paraId="23C9ECA9">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施工剥离的适合复垦的表土，应当收集存放管理，作为施工结束后的复垦、复绿用土。宜将开挖的土石用于工程回填、路基建设及边坡填筑。需外运土石应指定位置并规范管理</w:t>
                  </w:r>
                </w:p>
              </w:tc>
              <w:tc>
                <w:tcPr>
                  <w:tcW w:w="1989" w:type="pct"/>
                  <w:vAlign w:val="center"/>
                </w:tcPr>
                <w:p w14:paraId="4FFDF899">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项目施工剥离的表土，收集存放于临时堆土场，作为施工结束后的复垦、复绿用土。开挖的土石用于工程回填。本项目不需要外运土方。</w:t>
                  </w:r>
                </w:p>
              </w:tc>
              <w:tc>
                <w:tcPr>
                  <w:tcW w:w="300" w:type="pct"/>
                  <w:vAlign w:val="center"/>
                </w:tcPr>
                <w:p w14:paraId="6C849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CD8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1EAFC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347" w:type="pct"/>
                  <w:vAlign w:val="center"/>
                </w:tcPr>
                <w:p w14:paraId="3DFC1F0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施工中挖填形成的边坡及土石堆场边坡应做好支护或拦挡，预防崩塌、滑坡、泥石流等地质灾害，尽量减少土石压占土地面积。</w:t>
                  </w:r>
                </w:p>
              </w:tc>
              <w:tc>
                <w:tcPr>
                  <w:tcW w:w="1989" w:type="pct"/>
                  <w:vAlign w:val="center"/>
                </w:tcPr>
                <w:p w14:paraId="622F6FC6">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施工过程中尽量减少土石压占土地面积。挖填形成的边坡及土石堆场边坡做好拦挡，预防各类地质灾害。</w:t>
                  </w:r>
                </w:p>
              </w:tc>
              <w:tc>
                <w:tcPr>
                  <w:tcW w:w="300" w:type="pct"/>
                  <w:vAlign w:val="center"/>
                </w:tcPr>
                <w:p w14:paraId="5B56B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B9C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6F5E2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347" w:type="pct"/>
                  <w:vAlign w:val="center"/>
                </w:tcPr>
                <w:p w14:paraId="0AAD2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统筹规划勘察场地进入通道，充分利用已有可利用的公路、村道等</w:t>
                  </w:r>
                </w:p>
              </w:tc>
              <w:tc>
                <w:tcPr>
                  <w:tcW w:w="1989" w:type="pct"/>
                  <w:vMerge w:val="restart"/>
                  <w:vAlign w:val="center"/>
                </w:tcPr>
                <w:p w14:paraId="0D68B7E0">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项目充分利用已有公路、村道、油区道路等现有道路，不新增临时道路，减少植被破坏。</w:t>
                  </w:r>
                </w:p>
              </w:tc>
              <w:tc>
                <w:tcPr>
                  <w:tcW w:w="300" w:type="pct"/>
                  <w:vAlign w:val="center"/>
                </w:tcPr>
                <w:p w14:paraId="4B77F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C29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B9F1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347" w:type="pct"/>
                  <w:vAlign w:val="center"/>
                </w:tcPr>
                <w:p w14:paraId="2DE3D64F">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在确保安全情况下，道路修筑尽可能减少占用土地、植物移植，以及对水环境和野生动物保护的影响。</w:t>
                  </w:r>
                </w:p>
              </w:tc>
              <w:tc>
                <w:tcPr>
                  <w:tcW w:w="1989" w:type="pct"/>
                  <w:vMerge w:val="continue"/>
                  <w:vAlign w:val="center"/>
                </w:tcPr>
                <w:p w14:paraId="59A40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00" w:type="pct"/>
                  <w:vAlign w:val="center"/>
                </w:tcPr>
                <w:p w14:paraId="70699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8DD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FA14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347" w:type="pct"/>
                  <w:vAlign w:val="center"/>
                </w:tcPr>
                <w:p w14:paraId="4ED89965">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一般应按照现场施工设备、附属设施安装、施工操作、钻进液循环系统、材料物资存放、临建房屋等施工需要，依据现场地形条件进行分区布置，以满足减小环境影响和安全文明施工为原则，严格控制场地平整使用土地面积</w:t>
                  </w:r>
                </w:p>
              </w:tc>
              <w:tc>
                <w:tcPr>
                  <w:tcW w:w="1989" w:type="pct"/>
                  <w:vAlign w:val="center"/>
                </w:tcPr>
                <w:p w14:paraId="1F5416ED">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项目钻探施工场地按要求分区布设，满足安全距离要求同时严格控制占地面积，进行文明施工。</w:t>
                  </w:r>
                </w:p>
              </w:tc>
              <w:tc>
                <w:tcPr>
                  <w:tcW w:w="300" w:type="pct"/>
                  <w:vAlign w:val="center"/>
                </w:tcPr>
                <w:p w14:paraId="72183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41B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4398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2347" w:type="pct"/>
                  <w:vAlign w:val="center"/>
                </w:tcPr>
                <w:p w14:paraId="4F0C9EA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钻探设备安装及其施工操作场地，鼓励优先采用模块化的便携式探矿设备</w:t>
                  </w:r>
                </w:p>
              </w:tc>
              <w:tc>
                <w:tcPr>
                  <w:tcW w:w="1989" w:type="pct"/>
                  <w:vAlign w:val="center"/>
                </w:tcPr>
                <w:p w14:paraId="78B17AFC">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项目钻探设备模块化的便携式探矿设备。</w:t>
                  </w:r>
                </w:p>
              </w:tc>
              <w:tc>
                <w:tcPr>
                  <w:tcW w:w="300" w:type="pct"/>
                  <w:vAlign w:val="center"/>
                </w:tcPr>
                <w:p w14:paraId="1C854F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13A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00B23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2347" w:type="pct"/>
                  <w:vAlign w:val="center"/>
                </w:tcPr>
                <w:p w14:paraId="15C9BC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钻进液循环系统场地，清水池或浆液池及废浆液池可不与钻进施工机场同一场地布置，其开挖容积应按钻孔深度进行计算，不宜小于钻孔容积的2倍</w:t>
                  </w:r>
                </w:p>
              </w:tc>
              <w:tc>
                <w:tcPr>
                  <w:tcW w:w="1989" w:type="pct"/>
                  <w:vAlign w:val="center"/>
                </w:tcPr>
                <w:p w14:paraId="28ACFD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项目采用最新要求的泥浆不落地成套设备，钻井泥浆采用泥浆罐收集并循环使用。</w:t>
                  </w:r>
                </w:p>
              </w:tc>
              <w:tc>
                <w:tcPr>
                  <w:tcW w:w="300" w:type="pct"/>
                  <w:vAlign w:val="center"/>
                </w:tcPr>
                <w:p w14:paraId="76B49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7DE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34DE8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2347" w:type="pct"/>
                  <w:vAlign w:val="center"/>
                </w:tcPr>
                <w:p w14:paraId="271FFAEA">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照附属设备、设施安装及操作使用需求，在最大限度减少环境扰动前提下，依地形分区平整场地</w:t>
                  </w:r>
                </w:p>
              </w:tc>
              <w:tc>
                <w:tcPr>
                  <w:tcW w:w="1989" w:type="pct"/>
                  <w:vAlign w:val="center"/>
                </w:tcPr>
                <w:p w14:paraId="4F360D0C">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岩心棚及材料库、备用管材物资堆场、值班休息房、油料堆场、废弃物资及垃圾场、工地厕所场地等附属设备设施场地按相关要求分区布设。</w:t>
                  </w:r>
                </w:p>
              </w:tc>
              <w:tc>
                <w:tcPr>
                  <w:tcW w:w="300" w:type="pct"/>
                  <w:vAlign w:val="center"/>
                </w:tcPr>
                <w:p w14:paraId="1C74D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985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94BB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2347" w:type="pct"/>
                  <w:vAlign w:val="center"/>
                </w:tcPr>
                <w:p w14:paraId="2E473EC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钻探（钻井）施工场地应设置排水沟，确保现场无低洼积水。若施工机场边坡上方汇水面大或位于冲沟附近，应设置截水沟</w:t>
                  </w:r>
                </w:p>
              </w:tc>
              <w:tc>
                <w:tcPr>
                  <w:tcW w:w="1989" w:type="pct"/>
                  <w:vAlign w:val="center"/>
                </w:tcPr>
                <w:p w14:paraId="7C51AA77">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钻探（钻井）施工场地四周设置截排水沟对雨水进行引流，防止站场水土流失。</w:t>
                  </w:r>
                </w:p>
              </w:tc>
              <w:tc>
                <w:tcPr>
                  <w:tcW w:w="300" w:type="pct"/>
                  <w:vAlign w:val="center"/>
                </w:tcPr>
                <w:p w14:paraId="654AC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E88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141CC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2347" w:type="pct"/>
                  <w:vAlign w:val="center"/>
                </w:tcPr>
                <w:p w14:paraId="20B45239">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主要设备及配套技术应处于国内先进水平。施工设备应具备安、拆快捷、便于搬运，机械化、智能化程度高，施工操作安全简便、劳动强度低、生产效率高，工程质量好、节能、环保等特点。优先采用模块化、轻便化、小型化、集成度高的钻探施工及其配套设备</w:t>
                  </w:r>
                </w:p>
              </w:tc>
              <w:tc>
                <w:tcPr>
                  <w:tcW w:w="1989" w:type="pct"/>
                  <w:vAlign w:val="center"/>
                </w:tcPr>
                <w:p w14:paraId="061FCEAB">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属于模块化、轻便化、小型化、集成度高的设备。且采用先进的泥浆收集循环利用成套设备。均具有机械化、智能化程度高，施工操作安全简便、劳动强度低、生产效率高，工程质量好、节能、环保等特点。</w:t>
                  </w:r>
                </w:p>
              </w:tc>
              <w:tc>
                <w:tcPr>
                  <w:tcW w:w="300" w:type="pct"/>
                  <w:vAlign w:val="center"/>
                </w:tcPr>
                <w:p w14:paraId="5376D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5F8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4962A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w:t>
                  </w:r>
                </w:p>
              </w:tc>
              <w:tc>
                <w:tcPr>
                  <w:tcW w:w="2347" w:type="pct"/>
                  <w:vAlign w:val="center"/>
                </w:tcPr>
                <w:p w14:paraId="7ABE2F7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技术工艺应先进合理，切合勘查施工要求，钻进效率高，质量优，节能减排，安全环保。积极采用定向钻探、绳索取心金刚石钻进、冲击回转钻进、空气潜孔钻进、不提钻换钻头等先进的钻探施工方法及技术工艺。除浅表层开孔外，尽量采用金刚石绳索取心、双层管或三层管钻进技术工艺</w:t>
                  </w:r>
                </w:p>
              </w:tc>
              <w:tc>
                <w:tcPr>
                  <w:tcW w:w="1989" w:type="pct"/>
                  <w:vAlign w:val="center"/>
                </w:tcPr>
                <w:p w14:paraId="6C725BA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钻机及配套钻井设备，钻进效率高，质量优，节能减排，安全环保。</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钻机主要用于岩心勘探的钻机。项目采用金刚石绳索取心钻进工艺，在钻探施工过程的回次钻进中，不用提出全套钻柱(包括外管)、而借助绳索打捞器打捞内管取心，可实现长孔段连续钻进，工艺较为先进。</w:t>
                  </w:r>
                </w:p>
              </w:tc>
              <w:tc>
                <w:tcPr>
                  <w:tcW w:w="300" w:type="pct"/>
                  <w:vAlign w:val="center"/>
                </w:tcPr>
                <w:p w14:paraId="055BC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06E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611B1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w:t>
                  </w:r>
                </w:p>
              </w:tc>
              <w:tc>
                <w:tcPr>
                  <w:tcW w:w="2347" w:type="pct"/>
                  <w:vAlign w:val="center"/>
                </w:tcPr>
                <w:p w14:paraId="2AFCF7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循环液使用泥浆时，应采用无固相或低固相的优质环保浆液。泥浆材料及处理剂具备无毒无害、可自然降解性能，符合环保标准要求。加强循环液的现场使用管理，做好施工中防渗、护壁及净化处理，预防浆液使用中造成地面及地下污染</w:t>
                  </w:r>
                </w:p>
              </w:tc>
              <w:tc>
                <w:tcPr>
                  <w:tcW w:w="1989" w:type="pct"/>
                  <w:vAlign w:val="center"/>
                </w:tcPr>
                <w:p w14:paraId="196C6C8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项目采用水基型钻井液，具有无毒无害、可自然降解的特点，钻井泥浆采用泥浆罐收集并循环利用，要求泥浆不落地。</w:t>
                  </w:r>
                </w:p>
              </w:tc>
              <w:tc>
                <w:tcPr>
                  <w:tcW w:w="300" w:type="pct"/>
                  <w:vAlign w:val="center"/>
                </w:tcPr>
                <w:p w14:paraId="49226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B2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0F13F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c>
                <w:tcPr>
                  <w:tcW w:w="2347" w:type="pct"/>
                  <w:vAlign w:val="center"/>
                </w:tcPr>
                <w:p w14:paraId="63D8BBA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勘查产生的废水可循环利用的应循环利用；对外排放应经沉淀和按规定进行技术处理，按照</w:t>
                  </w:r>
                  <w:r>
                    <w:rPr>
                      <w:rFonts w:hint="default" w:ascii="Times New Roman" w:hAnsi="Times New Roman" w:eastAsia="宋体" w:cs="Times New Roman"/>
                      <w:color w:val="auto"/>
                      <w:kern w:val="0"/>
                      <w:sz w:val="21"/>
                      <w:szCs w:val="21"/>
                      <w:lang w:val="en-US" w:eastAsia="zh-CN" w:bidi="ar"/>
                    </w:rPr>
                    <w:t>GB8978</w:t>
                  </w:r>
                  <w:r>
                    <w:rPr>
                      <w:rFonts w:hint="eastAsia" w:ascii="宋体" w:hAnsi="宋体" w:eastAsia="宋体" w:cs="宋体"/>
                      <w:color w:val="auto"/>
                      <w:kern w:val="0"/>
                      <w:sz w:val="21"/>
                      <w:szCs w:val="21"/>
                      <w:lang w:val="en-US" w:eastAsia="zh-CN" w:bidi="ar"/>
                    </w:rPr>
                    <w:t>标准执行</w:t>
                  </w:r>
                </w:p>
              </w:tc>
              <w:tc>
                <w:tcPr>
                  <w:tcW w:w="1989" w:type="pct"/>
                  <w:vAlign w:val="center"/>
                </w:tcPr>
                <w:p w14:paraId="4D9E4D6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项目泥浆上清液排入地上移动式污水罐，用于配制泥浆，循环使用，洗井废水、压裂返排液排入井场设置的地上废水收集罐，交陕西榆佳环保科技有限公司处理；生活污水排入移动式环保厕所内后清掏用作农肥。</w:t>
                  </w:r>
                </w:p>
              </w:tc>
              <w:tc>
                <w:tcPr>
                  <w:tcW w:w="300" w:type="pct"/>
                  <w:vAlign w:val="center"/>
                </w:tcPr>
                <w:p w14:paraId="44BC5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BAB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4869B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14</w:t>
                  </w:r>
                </w:p>
              </w:tc>
              <w:tc>
                <w:tcPr>
                  <w:tcW w:w="2347" w:type="pct"/>
                  <w:vAlign w:val="center"/>
                </w:tcPr>
                <w:p w14:paraId="2BE3371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油气表层钻井应使用空气钻或清水钻进方式，钻进过程中遇到水层，固井时应避开水层，防止地表水受到污染。油气钻进施工中，如出现孔内泥浆严重漏失及涌水现象，应快速穿越漏失及涌水地层后，及时对漏失及涌水地层孔段采用快干水泥基堵漏材料进行封堵，孔深较浅时，亦可采用套管隔离，预防泥浆对地下水造成污染破坏</w:t>
                  </w:r>
                </w:p>
              </w:tc>
              <w:tc>
                <w:tcPr>
                  <w:tcW w:w="1989" w:type="pct"/>
                  <w:vAlign w:val="center"/>
                </w:tcPr>
                <w:p w14:paraId="035D352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表层钻井使用清水钻，钻进过程中遇到水层，固井时避开水层，防止地表水受到污染。钻进施工中，如出现孔内泥浆严重漏失及涌水现象，应快速穿越漏失及涌水地层后，及时对漏失及涌水地层孔段采用快干水泥基堵漏材料进行封堵，孔深较浅时，亦可采用套管隔离，预防泥浆对地下水造成污染和破坏。</w:t>
                  </w:r>
                </w:p>
              </w:tc>
              <w:tc>
                <w:tcPr>
                  <w:tcW w:w="300" w:type="pct"/>
                  <w:vAlign w:val="center"/>
                </w:tcPr>
                <w:p w14:paraId="22628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F07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37520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2347" w:type="pct"/>
                  <w:vAlign w:val="center"/>
                </w:tcPr>
                <w:p w14:paraId="210F2A7E">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勘查施工道路、场地平整、现场作业应充分考虑到野生动植物保护。勘查机械设备应安装消声装置或场地修隔音设施，降低施工噪音；在有人居住区和野生动物栖息附近，夜间应停止有噪声影响的作业活动</w:t>
                  </w:r>
                </w:p>
              </w:tc>
              <w:tc>
                <w:tcPr>
                  <w:tcW w:w="1989" w:type="pct"/>
                  <w:vAlign w:val="center"/>
                </w:tcPr>
                <w:p w14:paraId="01410FF0">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场地平整、现场作业选用低噪声设备，文明施工，减少占地，做好野生动植物保护的施工宣传。项目钻井和泥浆收集处理成套设备均配备减震基座和减震垫，空气动力设备安装消声装置</w:t>
                  </w:r>
                  <w:r>
                    <w:rPr>
                      <w:rFonts w:hint="eastAsia" w:ascii="Times New Roman" w:hAnsi="Times New Roman" w:eastAsia="宋体" w:cs="Times New Roman"/>
                      <w:color w:val="auto"/>
                      <w:sz w:val="21"/>
                      <w:szCs w:val="21"/>
                      <w:lang w:eastAsia="zh-CN"/>
                    </w:rPr>
                    <w:t>。</w:t>
                  </w:r>
                </w:p>
              </w:tc>
              <w:tc>
                <w:tcPr>
                  <w:tcW w:w="300" w:type="pct"/>
                  <w:vAlign w:val="center"/>
                </w:tcPr>
                <w:p w14:paraId="4C6E43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1B0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51147E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2347" w:type="pct"/>
                  <w:vAlign w:val="center"/>
                </w:tcPr>
                <w:p w14:paraId="6E613B74">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对容易产生粉尘的作业，采取喷雾、洒水等措施最大限度地降低勘查施工作业中产生的粉尘</w:t>
                  </w:r>
                </w:p>
              </w:tc>
              <w:tc>
                <w:tcPr>
                  <w:tcW w:w="1989" w:type="pct"/>
                  <w:vAlign w:val="center"/>
                </w:tcPr>
                <w:p w14:paraId="0FDF2899">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项目土方施工过程中配套洒水车进行洒水抑尘</w:t>
                  </w:r>
                  <w:r>
                    <w:rPr>
                      <w:rFonts w:hint="eastAsia" w:ascii="Times New Roman" w:hAnsi="Times New Roman" w:eastAsia="宋体" w:cs="Times New Roman"/>
                      <w:color w:val="auto"/>
                      <w:sz w:val="21"/>
                      <w:szCs w:val="21"/>
                      <w:lang w:eastAsia="zh-CN"/>
                    </w:rPr>
                    <w:t>。</w:t>
                  </w:r>
                </w:p>
              </w:tc>
              <w:tc>
                <w:tcPr>
                  <w:tcW w:w="300" w:type="pct"/>
                  <w:vAlign w:val="center"/>
                </w:tcPr>
                <w:p w14:paraId="43A36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AD2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3C36E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2347" w:type="pct"/>
                  <w:vAlign w:val="center"/>
                </w:tcPr>
                <w:p w14:paraId="5DA2B124">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采用喷雾、洒水、加设除尘装置等措施处置运输过程中产生的粉尘及其扩散</w:t>
                  </w:r>
                </w:p>
              </w:tc>
              <w:tc>
                <w:tcPr>
                  <w:tcW w:w="1989" w:type="pct"/>
                  <w:vAlign w:val="center"/>
                </w:tcPr>
                <w:p w14:paraId="73592AE8">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项目运输过程中加盖篷布防止扬尘，对运输道路配套洒水车进行洒水抑尘</w:t>
                  </w:r>
                  <w:r>
                    <w:rPr>
                      <w:rFonts w:hint="eastAsia" w:ascii="Times New Roman" w:hAnsi="Times New Roman" w:eastAsia="宋体" w:cs="Times New Roman"/>
                      <w:color w:val="auto"/>
                      <w:sz w:val="21"/>
                      <w:szCs w:val="21"/>
                      <w:lang w:eastAsia="zh-CN"/>
                    </w:rPr>
                    <w:t>。</w:t>
                  </w:r>
                </w:p>
              </w:tc>
              <w:tc>
                <w:tcPr>
                  <w:tcW w:w="300" w:type="pct"/>
                  <w:vAlign w:val="center"/>
                </w:tcPr>
                <w:p w14:paraId="40F9D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132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4F0D02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2347" w:type="pct"/>
                  <w:vAlign w:val="center"/>
                </w:tcPr>
                <w:p w14:paraId="40041631">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勘查过程中，柴油机动力设备应安装尾气净化装置，尾气排放执行国家环保排放标准，不同地区应满足勘查所在地地方相关标准要求</w:t>
                  </w:r>
                </w:p>
              </w:tc>
              <w:tc>
                <w:tcPr>
                  <w:tcW w:w="1989" w:type="pct"/>
                  <w:vAlign w:val="center"/>
                </w:tcPr>
                <w:p w14:paraId="7D49EBAB">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本项目钻井期使用电驱动，不设置柴油发电机，</w:t>
                  </w:r>
                  <w:r>
                    <w:rPr>
                      <w:rFonts w:hint="default" w:ascii="Times New Roman" w:hAnsi="Times New Roman" w:cs="Times New Roman"/>
                      <w:color w:val="auto"/>
                      <w:sz w:val="21"/>
                      <w:szCs w:val="21"/>
                      <w:lang w:val="en-US" w:eastAsia="zh-CN"/>
                    </w:rPr>
                    <w:t>根据《榆林市人民政府关于禁止使用高排放非道路移动机械的通告》要求，项目施工现场</w:t>
                  </w:r>
                  <w:r>
                    <w:rPr>
                      <w:rFonts w:hint="default" w:ascii="Times New Roman" w:hAnsi="Times New Roman" w:cs="Times New Roman"/>
                      <w:color w:val="auto"/>
                      <w:sz w:val="21"/>
                      <w:szCs w:val="21"/>
                    </w:rPr>
                    <w:t>禁止使用高排放非道路移动机械，禁止使用未编码登记挂牌及环保检测不达标的非道路移动机械</w:t>
                  </w:r>
                  <w:r>
                    <w:rPr>
                      <w:rFonts w:hint="eastAsia" w:ascii="Times New Roman" w:hAnsi="Times New Roman" w:eastAsia="宋体" w:cs="Times New Roman"/>
                      <w:color w:val="auto"/>
                      <w:sz w:val="21"/>
                      <w:szCs w:val="21"/>
                      <w:lang w:eastAsia="zh-CN"/>
                    </w:rPr>
                    <w:t>。</w:t>
                  </w:r>
                </w:p>
              </w:tc>
              <w:tc>
                <w:tcPr>
                  <w:tcW w:w="300" w:type="pct"/>
                  <w:vAlign w:val="center"/>
                </w:tcPr>
                <w:p w14:paraId="0748B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BA9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B3556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2347" w:type="pct"/>
                  <w:vAlign w:val="center"/>
                </w:tcPr>
                <w:p w14:paraId="472FCEF9">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施工现场不应燃烧秸秆、衣物及其他产生烟尘、废气污染的物品</w:t>
                  </w:r>
                </w:p>
              </w:tc>
              <w:tc>
                <w:tcPr>
                  <w:tcW w:w="1989" w:type="pct"/>
                  <w:vAlign w:val="center"/>
                </w:tcPr>
                <w:p w14:paraId="2CE4216F">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施工现场按要求不允许燃烧秸秆、衣物及其他产生烟尘、废气污染的物品</w:t>
                  </w:r>
                  <w:r>
                    <w:rPr>
                      <w:rFonts w:hint="eastAsia" w:ascii="Times New Roman" w:hAnsi="Times New Roman" w:eastAsia="宋体" w:cs="Times New Roman"/>
                      <w:color w:val="auto"/>
                      <w:sz w:val="21"/>
                      <w:szCs w:val="21"/>
                      <w:lang w:eastAsia="zh-CN"/>
                    </w:rPr>
                    <w:t>。</w:t>
                  </w:r>
                </w:p>
              </w:tc>
              <w:tc>
                <w:tcPr>
                  <w:tcW w:w="300" w:type="pct"/>
                  <w:vAlign w:val="center"/>
                </w:tcPr>
                <w:p w14:paraId="7E6A7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872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0787B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2347" w:type="pct"/>
                  <w:vAlign w:val="center"/>
                </w:tcPr>
                <w:p w14:paraId="2C8597A9">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废弃物管理按照GB18599执行</w:t>
                  </w:r>
                </w:p>
              </w:tc>
              <w:tc>
                <w:tcPr>
                  <w:tcW w:w="1989" w:type="pct"/>
                  <w:vAlign w:val="center"/>
                </w:tcPr>
                <w:p w14:paraId="52718020">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0"/>
                      <w:sz w:val="21"/>
                      <w:szCs w:val="21"/>
                    </w:rPr>
                    <w:t>项目钻井过程中采取不落地收集措施，废弃泥浆实施固液分离处理，钻井泥浆</w:t>
                  </w:r>
                  <w:r>
                    <w:rPr>
                      <w:rFonts w:hint="eastAsia" w:ascii="Times New Roman" w:hAnsi="Times New Roman" w:cs="Times New Roman"/>
                      <w:snapToGrid w:val="0"/>
                      <w:color w:val="auto"/>
                      <w:kern w:val="0"/>
                      <w:sz w:val="21"/>
                      <w:szCs w:val="21"/>
                      <w:lang w:val="en-US" w:eastAsia="zh-CN"/>
                    </w:rPr>
                    <w:t>和岩屑</w:t>
                  </w:r>
                  <w:r>
                    <w:rPr>
                      <w:rFonts w:hint="default" w:ascii="Times New Roman" w:hAnsi="Times New Roman" w:cs="Times New Roman"/>
                      <w:bCs/>
                      <w:color w:val="auto"/>
                      <w:sz w:val="21"/>
                      <w:szCs w:val="21"/>
                    </w:rPr>
                    <w:t>外运处置</w:t>
                  </w:r>
                  <w:r>
                    <w:rPr>
                      <w:rFonts w:hint="eastAsia" w:ascii="Times New Roman" w:hAnsi="Times New Roman" w:eastAsia="宋体" w:cs="Times New Roman"/>
                      <w:bCs/>
                      <w:color w:val="auto"/>
                      <w:sz w:val="21"/>
                      <w:szCs w:val="21"/>
                      <w:lang w:eastAsia="zh-CN"/>
                    </w:rPr>
                    <w:t>。</w:t>
                  </w:r>
                </w:p>
              </w:tc>
              <w:tc>
                <w:tcPr>
                  <w:tcW w:w="300" w:type="pct"/>
                  <w:vAlign w:val="center"/>
                </w:tcPr>
                <w:p w14:paraId="637C4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E21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1D631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w:t>
                  </w:r>
                </w:p>
              </w:tc>
              <w:tc>
                <w:tcPr>
                  <w:tcW w:w="2347" w:type="pct"/>
                  <w:vAlign w:val="center"/>
                </w:tcPr>
                <w:p w14:paraId="544C6D22">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生活固体废弃物应分类处置，按照GB18485、CJJ17执行</w:t>
                  </w:r>
                </w:p>
              </w:tc>
              <w:tc>
                <w:tcPr>
                  <w:tcW w:w="1989" w:type="pct"/>
                  <w:vAlign w:val="center"/>
                </w:tcPr>
                <w:p w14:paraId="5F168A20">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生活垃圾集中收集后送环卫部门指定地点堆放</w:t>
                  </w:r>
                  <w:r>
                    <w:rPr>
                      <w:rFonts w:hint="eastAsia" w:ascii="Times New Roman" w:hAnsi="Times New Roman" w:eastAsia="宋体" w:cs="Times New Roman"/>
                      <w:color w:val="auto"/>
                      <w:sz w:val="21"/>
                      <w:szCs w:val="21"/>
                      <w:lang w:eastAsia="zh-CN"/>
                    </w:rPr>
                    <w:t>。</w:t>
                  </w:r>
                </w:p>
              </w:tc>
              <w:tc>
                <w:tcPr>
                  <w:tcW w:w="300" w:type="pct"/>
                  <w:vAlign w:val="center"/>
                </w:tcPr>
                <w:p w14:paraId="4CB1A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9F5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402CD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w:t>
                  </w:r>
                </w:p>
              </w:tc>
              <w:tc>
                <w:tcPr>
                  <w:tcW w:w="2347" w:type="pct"/>
                  <w:vAlign w:val="center"/>
                </w:tcPr>
                <w:p w14:paraId="5427428B">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勘查施工区（点）工作结束后，应及时拆除现场施工设备、物资和临时设施，清除现场各类杂物、垃圾及污染物</w:t>
                  </w:r>
                </w:p>
              </w:tc>
              <w:tc>
                <w:tcPr>
                  <w:tcW w:w="1989" w:type="pct"/>
                  <w:vAlign w:val="center"/>
                </w:tcPr>
                <w:p w14:paraId="22E8E014">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项目施工结束后，立即拆除现场施工设备、物资和临时设施，清除现场各类杂物、垃圾及污染物</w:t>
                  </w:r>
                  <w:r>
                    <w:rPr>
                      <w:rFonts w:hint="eastAsia" w:ascii="Times New Roman" w:hAnsi="Times New Roman" w:eastAsia="宋体" w:cs="Times New Roman"/>
                      <w:color w:val="auto"/>
                      <w:sz w:val="21"/>
                      <w:szCs w:val="21"/>
                      <w:lang w:eastAsia="zh-CN"/>
                    </w:rPr>
                    <w:t>。</w:t>
                  </w:r>
                </w:p>
              </w:tc>
              <w:tc>
                <w:tcPr>
                  <w:tcW w:w="300" w:type="pct"/>
                  <w:vAlign w:val="center"/>
                </w:tcPr>
                <w:p w14:paraId="25FCD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4AC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32DD23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w:t>
                  </w:r>
                </w:p>
              </w:tc>
              <w:tc>
                <w:tcPr>
                  <w:tcW w:w="2347" w:type="pct"/>
                  <w:vAlign w:val="center"/>
                </w:tcPr>
                <w:p w14:paraId="1C90990D">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现场的垃圾、油污、废液、沉渣及其它固体废物应进行分类清理、收集，按照GB18599等相关规定进行焚烧、消毒、沉淀、固化等处理</w:t>
                  </w:r>
                </w:p>
              </w:tc>
              <w:tc>
                <w:tcPr>
                  <w:tcW w:w="1989" w:type="pct"/>
                  <w:vAlign w:val="center"/>
                </w:tcPr>
                <w:p w14:paraId="18A0F470">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项目产生的落地油及时回收，保证落地油回收率能够达到100%；废机油等危险废物严格执行国家和本省的有关规定，进行收集、贮存、利用和处置，施工结束后，交给有</w:t>
                  </w:r>
                  <w:r>
                    <w:rPr>
                      <w:rFonts w:hint="eastAsia" w:ascii="Times New Roman" w:hAnsi="Times New Roman" w:eastAsia="宋体" w:cs="Times New Roman"/>
                      <w:color w:val="auto"/>
                      <w:sz w:val="21"/>
                      <w:szCs w:val="21"/>
                      <w:lang w:val="en-US" w:eastAsia="zh-CN"/>
                    </w:rPr>
                    <w:t>资质</w:t>
                  </w:r>
                  <w:r>
                    <w:rPr>
                      <w:rFonts w:hint="default" w:ascii="Times New Roman" w:hAnsi="Times New Roman" w:cs="Times New Roman"/>
                      <w:color w:val="auto"/>
                      <w:sz w:val="21"/>
                      <w:szCs w:val="21"/>
                    </w:rPr>
                    <w:t>的单位进行处置</w:t>
                  </w:r>
                  <w:r>
                    <w:rPr>
                      <w:rFonts w:hint="eastAsia" w:ascii="Times New Roman" w:hAnsi="Times New Roman" w:eastAsia="宋体" w:cs="Times New Roman"/>
                      <w:color w:val="auto"/>
                      <w:sz w:val="21"/>
                      <w:szCs w:val="21"/>
                      <w:lang w:eastAsia="zh-CN"/>
                    </w:rPr>
                    <w:t>。</w:t>
                  </w:r>
                </w:p>
              </w:tc>
              <w:tc>
                <w:tcPr>
                  <w:tcW w:w="300" w:type="pct"/>
                  <w:vAlign w:val="center"/>
                </w:tcPr>
                <w:p w14:paraId="67959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F84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763DB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c>
                <w:tcPr>
                  <w:tcW w:w="2347" w:type="pct"/>
                  <w:vAlign w:val="center"/>
                </w:tcPr>
                <w:p w14:paraId="15009D7A">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对于现场不能处置的污染物，应外运到专业处理场处理</w:t>
                  </w:r>
                </w:p>
              </w:tc>
              <w:tc>
                <w:tcPr>
                  <w:tcW w:w="1989" w:type="pct"/>
                  <w:vAlign w:val="center"/>
                </w:tcPr>
                <w:p w14:paraId="0DF14B44">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项目危险废物委托有资质单位外运处置；废钻井泥浆、岩屑进行不落地收集，井场配备地上移动收集设施，并委托</w:t>
                  </w:r>
                  <w:r>
                    <w:rPr>
                      <w:rFonts w:hint="eastAsia" w:ascii="Times New Roman" w:hAnsi="Times New Roman" w:eastAsia="宋体" w:cs="Times New Roman"/>
                      <w:b w:val="0"/>
                      <w:bCs w:val="0"/>
                      <w:color w:val="auto"/>
                      <w:sz w:val="21"/>
                      <w:szCs w:val="21"/>
                      <w:vertAlign w:val="baseline"/>
                      <w:lang w:val="en-US" w:eastAsia="zh-CN"/>
                    </w:rPr>
                    <w:t>陕西德禾鑫盛环保科技有限公司</w:t>
                  </w:r>
                  <w:r>
                    <w:rPr>
                      <w:rFonts w:hint="default" w:ascii="Times New Roman" w:hAnsi="Times New Roman" w:cs="Times New Roman"/>
                      <w:color w:val="auto"/>
                      <w:sz w:val="21"/>
                      <w:szCs w:val="21"/>
                    </w:rPr>
                    <w:t>进行处置；生活垃圾收集后送环卫部门指定地点堆放。</w:t>
                  </w:r>
                </w:p>
              </w:tc>
              <w:tc>
                <w:tcPr>
                  <w:tcW w:w="300" w:type="pct"/>
                  <w:vAlign w:val="center"/>
                </w:tcPr>
                <w:p w14:paraId="1A385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781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32F11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2347" w:type="pct"/>
                  <w:vAlign w:val="center"/>
                </w:tcPr>
                <w:p w14:paraId="7129CF3F">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场地恢复平整应根据恢复治理设计要求，结合现场情况，尽可能按原始地形地貌平整。难以复原的地段，应按恢复治理设计场地平整标高进行平整，尽可能与自然环境相协调</w:t>
                  </w:r>
                </w:p>
              </w:tc>
              <w:tc>
                <w:tcPr>
                  <w:tcW w:w="1989" w:type="pct"/>
                  <w:vAlign w:val="center"/>
                </w:tcPr>
                <w:p w14:paraId="69C23AD9">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评价要求项目施工结束后，对不具有利用价值的勘探井进行永久封井，</w:t>
                  </w:r>
                  <w:r>
                    <w:rPr>
                      <w:rFonts w:hint="eastAsia" w:ascii="Times New Roman" w:hAnsi="Times New Roman" w:cs="Times New Roman"/>
                      <w:color w:val="auto"/>
                      <w:sz w:val="21"/>
                      <w:szCs w:val="21"/>
                      <w:lang w:val="en-US" w:eastAsia="zh-CN"/>
                    </w:rPr>
                    <w:t>临时占地</w:t>
                  </w:r>
                  <w:r>
                    <w:rPr>
                      <w:rFonts w:hint="default" w:ascii="Times New Roman" w:hAnsi="Times New Roman" w:cs="Times New Roman"/>
                      <w:color w:val="auto"/>
                      <w:sz w:val="21"/>
                      <w:szCs w:val="21"/>
                    </w:rPr>
                    <w:t>恢复原土地类型</w:t>
                  </w:r>
                  <w:r>
                    <w:rPr>
                      <w:rFonts w:hint="eastAsia" w:ascii="Times New Roman" w:hAnsi="Times New Roman" w:eastAsia="宋体" w:cs="Times New Roman"/>
                      <w:color w:val="auto"/>
                      <w:sz w:val="21"/>
                      <w:szCs w:val="21"/>
                      <w:lang w:eastAsia="zh-CN"/>
                    </w:rPr>
                    <w:t>。</w:t>
                  </w:r>
                </w:p>
              </w:tc>
              <w:tc>
                <w:tcPr>
                  <w:tcW w:w="300" w:type="pct"/>
                  <w:vAlign w:val="center"/>
                </w:tcPr>
                <w:p w14:paraId="0C26C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B76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6841B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w:t>
                  </w:r>
                </w:p>
              </w:tc>
              <w:tc>
                <w:tcPr>
                  <w:tcW w:w="2347" w:type="pct"/>
                  <w:vAlign w:val="center"/>
                </w:tcPr>
                <w:p w14:paraId="2524C9F6">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钻探及其他施工现场场地平整中，应彻底清除场地上污染物。废浆，废液应进行固化处理，深埋于开挖的坑、池底部，上部回填无污染的土壤</w:t>
                  </w:r>
                </w:p>
              </w:tc>
              <w:tc>
                <w:tcPr>
                  <w:tcW w:w="1989" w:type="pct"/>
                  <w:vAlign w:val="center"/>
                </w:tcPr>
                <w:p w14:paraId="1A4A86B7">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项目采用泥浆不落地工艺，废弃钻井泥浆和岩屑进行收集后，委托外运处置</w:t>
                  </w:r>
                  <w:r>
                    <w:rPr>
                      <w:rFonts w:hint="eastAsia" w:ascii="Times New Roman" w:hAnsi="Times New Roman" w:eastAsia="宋体" w:cs="Times New Roman"/>
                      <w:color w:val="auto"/>
                      <w:sz w:val="21"/>
                      <w:szCs w:val="21"/>
                      <w:lang w:eastAsia="zh-CN"/>
                    </w:rPr>
                    <w:t>。</w:t>
                  </w:r>
                </w:p>
              </w:tc>
              <w:tc>
                <w:tcPr>
                  <w:tcW w:w="300" w:type="pct"/>
                  <w:vAlign w:val="center"/>
                </w:tcPr>
                <w:p w14:paraId="1CF23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83C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C6EA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27</w:t>
                  </w:r>
                </w:p>
              </w:tc>
              <w:tc>
                <w:tcPr>
                  <w:tcW w:w="2347" w:type="pct"/>
                  <w:vAlign w:val="center"/>
                </w:tcPr>
                <w:p w14:paraId="32BEE9DF">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钻探现场应严格按照地质设计要求认真做好封孔工作，保证封孔质量，孔口用水泥砂浆树立规范的标志桩</w:t>
                  </w:r>
                </w:p>
              </w:tc>
              <w:tc>
                <w:tcPr>
                  <w:tcW w:w="1989" w:type="pct"/>
                  <w:vAlign w:val="center"/>
                </w:tcPr>
                <w:p w14:paraId="344F26D6">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项目已提出封井要求，建设单位应根据相关要求认真做好封孔工作，保证封孔质量，孔口用水泥砂浆树立规范的标志桩</w:t>
                  </w:r>
                  <w:r>
                    <w:rPr>
                      <w:rFonts w:hint="eastAsia" w:ascii="Times New Roman" w:hAnsi="Times New Roman" w:eastAsia="宋体" w:cs="Times New Roman"/>
                      <w:color w:val="auto"/>
                      <w:sz w:val="21"/>
                      <w:szCs w:val="21"/>
                      <w:lang w:eastAsia="zh-CN"/>
                    </w:rPr>
                    <w:t>。</w:t>
                  </w:r>
                </w:p>
              </w:tc>
              <w:tc>
                <w:tcPr>
                  <w:tcW w:w="300" w:type="pct"/>
                  <w:vAlign w:val="center"/>
                </w:tcPr>
                <w:p w14:paraId="1A180E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6EA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5326F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w:t>
                  </w:r>
                </w:p>
              </w:tc>
              <w:tc>
                <w:tcPr>
                  <w:tcW w:w="2347" w:type="pct"/>
                  <w:vAlign w:val="center"/>
                </w:tcPr>
                <w:p w14:paraId="491E443C">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施工道路及临建场地根据设计恢复地类及保留需求进行平整</w:t>
                  </w:r>
                </w:p>
              </w:tc>
              <w:tc>
                <w:tcPr>
                  <w:tcW w:w="1989" w:type="pct"/>
                  <w:vAlign w:val="center"/>
                </w:tcPr>
                <w:p w14:paraId="3B8B225E">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项目施工便道依托井场周边已有道路</w:t>
                  </w:r>
                  <w:r>
                    <w:rPr>
                      <w:rFonts w:hint="default" w:ascii="Times New Roman" w:hAnsi="Times New Roman" w:cs="Times New Roman"/>
                      <w:color w:val="auto"/>
                      <w:sz w:val="21"/>
                      <w:szCs w:val="21"/>
                    </w:rPr>
                    <w:t>，若永久封井，占用的临时用地进行恢复原土地类型</w:t>
                  </w:r>
                  <w:r>
                    <w:rPr>
                      <w:rFonts w:hint="eastAsia" w:ascii="Times New Roman" w:hAnsi="Times New Roman" w:eastAsia="宋体" w:cs="Times New Roman"/>
                      <w:color w:val="auto"/>
                      <w:sz w:val="21"/>
                      <w:szCs w:val="21"/>
                      <w:lang w:eastAsia="zh-CN"/>
                    </w:rPr>
                    <w:t>。</w:t>
                  </w:r>
                </w:p>
              </w:tc>
              <w:tc>
                <w:tcPr>
                  <w:tcW w:w="300" w:type="pct"/>
                  <w:vAlign w:val="center"/>
                </w:tcPr>
                <w:p w14:paraId="5B250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6C9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778C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w:t>
                  </w:r>
                </w:p>
              </w:tc>
              <w:tc>
                <w:tcPr>
                  <w:tcW w:w="2347" w:type="pct"/>
                  <w:vAlign w:val="center"/>
                </w:tcPr>
                <w:p w14:paraId="624D64C1">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场地的覆土厚度及土质应符合恢复地类的复绿设计及相关行业的规范标准要求</w:t>
                  </w:r>
                </w:p>
              </w:tc>
              <w:tc>
                <w:tcPr>
                  <w:tcW w:w="1989" w:type="pct"/>
                  <w:vAlign w:val="center"/>
                </w:tcPr>
                <w:p w14:paraId="14B50896">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项目要求场地的覆土厚度及土质必须</w:t>
                  </w:r>
                  <w:r>
                    <w:rPr>
                      <w:rFonts w:hint="eastAsia" w:ascii="Times New Roman" w:hAnsi="Times New Roman" w:eastAsia="宋体" w:cs="Times New Roman"/>
                      <w:color w:val="auto"/>
                      <w:sz w:val="21"/>
                      <w:szCs w:val="21"/>
                      <w:lang w:val="en-US" w:eastAsia="zh-CN"/>
                    </w:rPr>
                    <w:t>符合</w:t>
                  </w:r>
                  <w:r>
                    <w:rPr>
                      <w:rFonts w:hint="default" w:ascii="Times New Roman" w:hAnsi="Times New Roman" w:cs="Times New Roman"/>
                      <w:color w:val="auto"/>
                      <w:sz w:val="21"/>
                      <w:szCs w:val="21"/>
                    </w:rPr>
                    <w:t>相关规范标准要求</w:t>
                  </w:r>
                  <w:r>
                    <w:rPr>
                      <w:rFonts w:hint="eastAsia" w:ascii="Times New Roman" w:hAnsi="Times New Roman" w:eastAsia="宋体" w:cs="Times New Roman"/>
                      <w:color w:val="auto"/>
                      <w:sz w:val="21"/>
                      <w:szCs w:val="21"/>
                      <w:lang w:eastAsia="zh-CN"/>
                    </w:rPr>
                    <w:t>。</w:t>
                  </w:r>
                </w:p>
              </w:tc>
              <w:tc>
                <w:tcPr>
                  <w:tcW w:w="300" w:type="pct"/>
                  <w:vAlign w:val="center"/>
                </w:tcPr>
                <w:p w14:paraId="77119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CA3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62797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p>
              </w:tc>
              <w:tc>
                <w:tcPr>
                  <w:tcW w:w="2347" w:type="pct"/>
                  <w:vAlign w:val="center"/>
                </w:tcPr>
                <w:p w14:paraId="10092A31">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仅压占未挖损及污染的场地，可采取深翻，松土、培土等方式，满足相关规定和设计恢复治理要求</w:t>
                  </w:r>
                </w:p>
              </w:tc>
              <w:tc>
                <w:tcPr>
                  <w:tcW w:w="1989" w:type="pct"/>
                  <w:vAlign w:val="center"/>
                </w:tcPr>
                <w:p w14:paraId="72000B8C">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项目仅压占未挖损及污染的场地，要求采取深翻，松土、培土等方式</w:t>
                  </w:r>
                  <w:r>
                    <w:rPr>
                      <w:rFonts w:hint="eastAsia" w:eastAsia="宋体" w:cs="宋体"/>
                      <w:color w:val="auto"/>
                      <w:sz w:val="21"/>
                      <w:szCs w:val="21"/>
                      <w:lang w:eastAsia="zh-CN" w:bidi="ar"/>
                    </w:rPr>
                    <w:t>。</w:t>
                  </w:r>
                </w:p>
              </w:tc>
              <w:tc>
                <w:tcPr>
                  <w:tcW w:w="300" w:type="pct"/>
                  <w:vAlign w:val="center"/>
                </w:tcPr>
                <w:p w14:paraId="69069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33F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0007C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2347" w:type="pct"/>
                  <w:vAlign w:val="center"/>
                </w:tcPr>
                <w:p w14:paraId="1F4C5BA7">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草地复绿，一般采用播撒方式培植，草种应适应当地生长并与原草地环境协调。</w:t>
                  </w:r>
                  <w:r>
                    <w:rPr>
                      <w:rFonts w:hint="eastAsia" w:ascii="Times New Roman" w:hAnsi="Times New Roman" w:cs="Times New Roman"/>
                      <w:color w:val="auto"/>
                      <w:sz w:val="21"/>
                      <w:szCs w:val="21"/>
                      <w:lang w:eastAsia="zh-CN"/>
                    </w:rPr>
                    <w:t>草地</w:t>
                  </w:r>
                  <w:r>
                    <w:rPr>
                      <w:rFonts w:hint="default" w:ascii="Times New Roman" w:hAnsi="Times New Roman" w:cs="Times New Roman"/>
                      <w:color w:val="auto"/>
                      <w:sz w:val="21"/>
                      <w:szCs w:val="21"/>
                    </w:rPr>
                    <w:t>复绿，林木品种适合当地生长，应结合当地居民及社会经济发展及环境的协调要求，林木的种植施工应符合相关行业规程及规范标准。耕地复垦，经现场深翻、松土及覆土后，应满足当地农作物耕种条件</w:t>
                  </w:r>
                </w:p>
              </w:tc>
              <w:tc>
                <w:tcPr>
                  <w:tcW w:w="1989" w:type="pct"/>
                  <w:vAlign w:val="center"/>
                </w:tcPr>
                <w:p w14:paraId="6252F2D4">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highlight w:val="none"/>
                      <w:lang w:val="en-US" w:eastAsia="zh-CN" w:bidi="ar"/>
                    </w:rPr>
                    <w:t>项目临时占地类型主要为林地和耕地、园地，施工结束后，永久封井时，生态恢复根据原有占地类型和</w:t>
                  </w:r>
                  <w:r>
                    <w:rPr>
                      <w:rFonts w:hint="eastAsia" w:cs="宋体"/>
                      <w:color w:val="auto"/>
                      <w:sz w:val="21"/>
                      <w:szCs w:val="21"/>
                      <w:highlight w:val="none"/>
                      <w:lang w:bidi="ar"/>
                    </w:rPr>
                    <w:t>环境条件，</w:t>
                  </w:r>
                  <w:r>
                    <w:rPr>
                      <w:rFonts w:hint="eastAsia" w:cs="宋体"/>
                      <w:color w:val="auto"/>
                      <w:sz w:val="21"/>
                      <w:szCs w:val="21"/>
                      <w:highlight w:val="none"/>
                      <w:lang w:val="en-US" w:eastAsia="zh-CN" w:bidi="ar"/>
                    </w:rPr>
                    <w:t>林地和草地</w:t>
                  </w:r>
                  <w:r>
                    <w:rPr>
                      <w:rFonts w:hint="eastAsia" w:cs="宋体"/>
                      <w:color w:val="auto"/>
                      <w:sz w:val="21"/>
                      <w:szCs w:val="21"/>
                      <w:highlight w:val="none"/>
                      <w:lang w:bidi="ar"/>
                    </w:rPr>
                    <w:t>选择当地土著种和优势种进行</w:t>
                  </w:r>
                  <w:r>
                    <w:rPr>
                      <w:rFonts w:hint="eastAsia" w:cs="宋体"/>
                      <w:color w:val="auto"/>
                      <w:sz w:val="21"/>
                      <w:szCs w:val="21"/>
                      <w:highlight w:val="none"/>
                      <w:lang w:val="en-US" w:eastAsia="zh-CN" w:bidi="ar"/>
                    </w:rPr>
                    <w:t>植被</w:t>
                  </w:r>
                  <w:r>
                    <w:rPr>
                      <w:rFonts w:hint="eastAsia" w:cs="宋体"/>
                      <w:color w:val="auto"/>
                      <w:sz w:val="21"/>
                      <w:szCs w:val="21"/>
                      <w:highlight w:val="none"/>
                      <w:lang w:bidi="ar"/>
                    </w:rPr>
                    <w:t>恢复，并需符合相关行业规程及规范标准</w:t>
                  </w:r>
                  <w:r>
                    <w:rPr>
                      <w:rFonts w:hint="eastAsia" w:eastAsia="宋体" w:cs="宋体"/>
                      <w:color w:val="auto"/>
                      <w:sz w:val="21"/>
                      <w:szCs w:val="21"/>
                      <w:highlight w:val="none"/>
                      <w:lang w:eastAsia="zh-CN" w:bidi="ar"/>
                    </w:rPr>
                    <w:t>。</w:t>
                  </w:r>
                </w:p>
              </w:tc>
              <w:tc>
                <w:tcPr>
                  <w:tcW w:w="300" w:type="pct"/>
                  <w:vAlign w:val="center"/>
                </w:tcPr>
                <w:p w14:paraId="4EC88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F35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162F4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w:t>
                  </w:r>
                </w:p>
              </w:tc>
              <w:tc>
                <w:tcPr>
                  <w:tcW w:w="2347" w:type="pct"/>
                  <w:vAlign w:val="center"/>
                </w:tcPr>
                <w:p w14:paraId="50166A60">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复垦复绿施工中，应做好环境恢复治理工程的维护管理。在工程质保期及植被恢复养护期间，应对损坏或检查不合格的工程进行修补和返工处理</w:t>
                  </w:r>
                </w:p>
              </w:tc>
              <w:tc>
                <w:tcPr>
                  <w:tcW w:w="1989" w:type="pct"/>
                  <w:vAlign w:val="center"/>
                </w:tcPr>
                <w:p w14:paraId="4F49E97E">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项目在进行生态恢复过程中应严格按照生态恢复治理方案进行维护管理，定期对恢复达不到要求的工程进行返工处理</w:t>
                  </w:r>
                  <w:r>
                    <w:rPr>
                      <w:rFonts w:hint="eastAsia" w:eastAsia="宋体" w:cs="宋体"/>
                      <w:color w:val="auto"/>
                      <w:sz w:val="21"/>
                      <w:szCs w:val="21"/>
                      <w:lang w:eastAsia="zh-CN" w:bidi="ar"/>
                    </w:rPr>
                    <w:t>。</w:t>
                  </w:r>
                </w:p>
              </w:tc>
              <w:tc>
                <w:tcPr>
                  <w:tcW w:w="300" w:type="pct"/>
                  <w:vAlign w:val="center"/>
                </w:tcPr>
                <w:p w14:paraId="342D7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8E9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529F6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w:t>
                  </w:r>
                </w:p>
              </w:tc>
              <w:tc>
                <w:tcPr>
                  <w:tcW w:w="2347" w:type="pct"/>
                  <w:vAlign w:val="center"/>
                </w:tcPr>
                <w:p w14:paraId="19EFEDBC">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恢复治理工作应达到现场无污染破坏痕迹，生态恢复良好，环境协调</w:t>
                  </w:r>
                </w:p>
              </w:tc>
              <w:tc>
                <w:tcPr>
                  <w:tcW w:w="1989" w:type="pct"/>
                  <w:vAlign w:val="center"/>
                </w:tcPr>
                <w:p w14:paraId="5D283C65">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评价要求永久封井场地恢复达到现场无污染破坏痕迹</w:t>
                  </w:r>
                  <w:r>
                    <w:rPr>
                      <w:rFonts w:hint="eastAsia" w:ascii="Times New Roman" w:hAnsi="Times New Roman" w:eastAsia="宋体" w:cs="Times New Roman"/>
                      <w:color w:val="auto"/>
                      <w:sz w:val="21"/>
                      <w:szCs w:val="21"/>
                      <w:lang w:eastAsia="zh-CN"/>
                    </w:rPr>
                    <w:t>。</w:t>
                  </w:r>
                </w:p>
              </w:tc>
              <w:tc>
                <w:tcPr>
                  <w:tcW w:w="300" w:type="pct"/>
                  <w:vAlign w:val="center"/>
                </w:tcPr>
                <w:p w14:paraId="1C07AA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9E4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65205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w:t>
                  </w:r>
                </w:p>
              </w:tc>
              <w:tc>
                <w:tcPr>
                  <w:tcW w:w="2347" w:type="pct"/>
                  <w:vAlign w:val="center"/>
                </w:tcPr>
                <w:p w14:paraId="40D75F89">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推进智能化建设，采用信息技术、网络技术、控制技术、智能技术，实现勘查投资决策、工作部署和现场管信息化、智能化</w:t>
                  </w:r>
                </w:p>
              </w:tc>
              <w:tc>
                <w:tcPr>
                  <w:tcW w:w="1989" w:type="pct"/>
                  <w:vAlign w:val="center"/>
                </w:tcPr>
                <w:p w14:paraId="1023B4DE">
                  <w:pPr>
                    <w:pStyle w:val="30"/>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项目勘探采用信息技术、网络技术、控制技术、智能技术进行钻探，实现现场管信息化、智能化</w:t>
                  </w:r>
                  <w:r>
                    <w:rPr>
                      <w:rFonts w:hint="eastAsia" w:ascii="Times New Roman" w:hAnsi="Times New Roman" w:eastAsia="宋体" w:cs="Times New Roman"/>
                      <w:color w:val="auto"/>
                      <w:sz w:val="21"/>
                      <w:szCs w:val="21"/>
                      <w:lang w:eastAsia="zh-CN"/>
                    </w:rPr>
                    <w:t>。</w:t>
                  </w:r>
                </w:p>
              </w:tc>
              <w:tc>
                <w:tcPr>
                  <w:tcW w:w="300" w:type="pct"/>
                  <w:vAlign w:val="center"/>
                </w:tcPr>
                <w:p w14:paraId="33CD6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389D1DF9">
            <w:pPr>
              <w:jc w:val="both"/>
              <w:rPr>
                <w:rFonts w:hint="default" w:ascii="Times New Roman" w:hAnsi="Times New Roman" w:eastAsia="宋体" w:cs="Times New Roman"/>
                <w:color w:val="auto"/>
                <w:sz w:val="21"/>
                <w:szCs w:val="21"/>
                <w:vertAlign w:val="baseline"/>
                <w:lang w:val="en-US" w:eastAsia="zh-CN"/>
              </w:rPr>
            </w:pPr>
          </w:p>
          <w:p w14:paraId="55E1112E">
            <w:pPr>
              <w:jc w:val="both"/>
              <w:rPr>
                <w:rFonts w:hint="default" w:ascii="Times New Roman" w:hAnsi="Times New Roman" w:eastAsia="宋体" w:cs="Times New Roman"/>
                <w:color w:val="auto"/>
                <w:sz w:val="21"/>
                <w:szCs w:val="21"/>
                <w:vertAlign w:val="baseline"/>
                <w:lang w:val="en-US" w:eastAsia="zh-CN"/>
              </w:rPr>
            </w:pPr>
          </w:p>
          <w:p w14:paraId="05F6F935">
            <w:pPr>
              <w:jc w:val="both"/>
              <w:rPr>
                <w:rFonts w:hint="default" w:ascii="Times New Roman" w:hAnsi="Times New Roman" w:eastAsia="宋体" w:cs="Times New Roman"/>
                <w:color w:val="auto"/>
                <w:sz w:val="21"/>
                <w:szCs w:val="21"/>
                <w:vertAlign w:val="baseline"/>
                <w:lang w:val="en-US" w:eastAsia="zh-CN"/>
              </w:rPr>
            </w:pPr>
          </w:p>
          <w:p w14:paraId="6DD8CF5C">
            <w:pPr>
              <w:jc w:val="both"/>
              <w:rPr>
                <w:rFonts w:hint="default" w:ascii="Times New Roman" w:hAnsi="Times New Roman" w:eastAsia="宋体" w:cs="Times New Roman"/>
                <w:color w:val="auto"/>
                <w:sz w:val="21"/>
                <w:szCs w:val="21"/>
                <w:vertAlign w:val="baseline"/>
                <w:lang w:val="en-US" w:eastAsia="zh-CN"/>
              </w:rPr>
            </w:pPr>
          </w:p>
          <w:p w14:paraId="16B9B681">
            <w:pPr>
              <w:jc w:val="both"/>
              <w:rPr>
                <w:rFonts w:hint="default" w:ascii="Times New Roman" w:hAnsi="Times New Roman" w:eastAsia="宋体" w:cs="Times New Roman"/>
                <w:color w:val="auto"/>
                <w:sz w:val="21"/>
                <w:szCs w:val="21"/>
                <w:vertAlign w:val="baseline"/>
                <w:lang w:val="en-US" w:eastAsia="zh-CN"/>
              </w:rPr>
            </w:pPr>
          </w:p>
          <w:p w14:paraId="7FAFBFEF">
            <w:pPr>
              <w:jc w:val="both"/>
              <w:rPr>
                <w:rFonts w:hint="default" w:ascii="Times New Roman" w:hAnsi="Times New Roman" w:eastAsia="宋体" w:cs="Times New Roman"/>
                <w:color w:val="auto"/>
                <w:sz w:val="21"/>
                <w:szCs w:val="21"/>
                <w:vertAlign w:val="baseline"/>
                <w:lang w:val="en-US" w:eastAsia="zh-CN"/>
              </w:rPr>
            </w:pPr>
          </w:p>
          <w:p w14:paraId="7FCA0305">
            <w:pPr>
              <w:jc w:val="both"/>
              <w:rPr>
                <w:rFonts w:hint="default" w:ascii="Times New Roman" w:hAnsi="Times New Roman" w:eastAsia="宋体" w:cs="Times New Roman"/>
                <w:color w:val="auto"/>
                <w:sz w:val="21"/>
                <w:szCs w:val="21"/>
                <w:vertAlign w:val="baseline"/>
                <w:lang w:val="en-US" w:eastAsia="zh-CN"/>
              </w:rPr>
            </w:pPr>
          </w:p>
          <w:p w14:paraId="1D882645">
            <w:pPr>
              <w:jc w:val="both"/>
              <w:rPr>
                <w:rFonts w:hint="default" w:ascii="Times New Roman" w:hAnsi="Times New Roman" w:eastAsia="宋体" w:cs="Times New Roman"/>
                <w:color w:val="auto"/>
                <w:sz w:val="21"/>
                <w:szCs w:val="21"/>
                <w:vertAlign w:val="baseline"/>
                <w:lang w:val="en-US" w:eastAsia="zh-CN"/>
              </w:rPr>
            </w:pPr>
          </w:p>
          <w:p w14:paraId="4CA4FF5E">
            <w:pPr>
              <w:pStyle w:val="2"/>
              <w:rPr>
                <w:rFonts w:hint="default" w:ascii="Times New Roman" w:hAnsi="Times New Roman" w:eastAsia="宋体" w:cs="Times New Roman"/>
                <w:color w:val="auto"/>
                <w:sz w:val="21"/>
                <w:szCs w:val="21"/>
                <w:vertAlign w:val="baseline"/>
                <w:lang w:val="en-US" w:eastAsia="zh-CN"/>
              </w:rPr>
            </w:pPr>
          </w:p>
          <w:p w14:paraId="746393A2">
            <w:pPr>
              <w:rPr>
                <w:rFonts w:hint="default"/>
                <w:color w:val="auto"/>
                <w:lang w:val="en-US" w:eastAsia="zh-CN"/>
              </w:rPr>
            </w:pPr>
          </w:p>
          <w:p w14:paraId="7F02CF51">
            <w:pPr>
              <w:jc w:val="both"/>
              <w:rPr>
                <w:rFonts w:hint="default" w:ascii="Times New Roman" w:hAnsi="Times New Roman" w:eastAsia="宋体" w:cs="Times New Roman"/>
                <w:color w:val="auto"/>
                <w:sz w:val="21"/>
                <w:szCs w:val="21"/>
                <w:vertAlign w:val="baseline"/>
                <w:lang w:val="en-US" w:eastAsia="zh-CN"/>
              </w:rPr>
            </w:pPr>
          </w:p>
        </w:tc>
      </w:tr>
    </w:tbl>
    <w:p w14:paraId="6B898A34">
      <w:pP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br w:type="page"/>
      </w:r>
    </w:p>
    <w:p w14:paraId="50F77721">
      <w:pPr>
        <w:numPr>
          <w:ilvl w:val="0"/>
          <w:numId w:val="4"/>
        </w:numPr>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建设内容</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616"/>
      </w:tblGrid>
      <w:tr w14:paraId="7903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1" w:hRule="atLeast"/>
        </w:trPr>
        <w:tc>
          <w:tcPr>
            <w:tcW w:w="672" w:type="dxa"/>
            <w:vAlign w:val="center"/>
          </w:tcPr>
          <w:p w14:paraId="305066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地理位置</w:t>
            </w:r>
          </w:p>
        </w:tc>
        <w:tc>
          <w:tcPr>
            <w:tcW w:w="8616" w:type="dxa"/>
            <w:vAlign w:val="center"/>
          </w:tcPr>
          <w:p w14:paraId="09C73B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ascii="Times New Roman" w:hAnsi="Times New Roman" w:eastAsia="宋体" w:cs="Times New Roman"/>
                <w:b w:val="0"/>
                <w:bCs w:val="0"/>
                <w:color w:val="auto"/>
                <w:sz w:val="24"/>
                <w:szCs w:val="24"/>
                <w:vertAlign w:val="baseline"/>
                <w:lang w:val="en-US" w:eastAsia="zh-CN"/>
              </w:rPr>
              <w:t>在佳县朱官寨镇新建6</w:t>
            </w:r>
            <w:r>
              <w:rPr>
                <w:rFonts w:hint="default" w:ascii="Times New Roman" w:hAnsi="Times New Roman" w:eastAsia="宋体" w:cs="Times New Roman"/>
                <w:b w:val="0"/>
                <w:bCs w:val="0"/>
                <w:color w:val="auto"/>
                <w:sz w:val="24"/>
                <w:szCs w:val="24"/>
                <w:vertAlign w:val="baseline"/>
                <w:lang w:val="en-US" w:eastAsia="zh-CN"/>
              </w:rPr>
              <w:t>口</w:t>
            </w:r>
            <w:r>
              <w:rPr>
                <w:rFonts w:hint="eastAsia" w:ascii="Times New Roman" w:hAnsi="Times New Roman" w:eastAsia="宋体" w:cs="Times New Roman"/>
                <w:b w:val="0"/>
                <w:bCs w:val="0"/>
                <w:color w:val="auto"/>
                <w:sz w:val="24"/>
                <w:szCs w:val="24"/>
                <w:vertAlign w:val="baseline"/>
                <w:lang w:val="en-US" w:eastAsia="zh-CN"/>
              </w:rPr>
              <w:t>天然气评价井，</w:t>
            </w:r>
            <w:r>
              <w:rPr>
                <w:rFonts w:hint="eastAsia" w:ascii="Times New Roman" w:hAnsi="Times New Roman" w:eastAsia="宋体" w:cs="Times New Roman"/>
                <w:b w:val="0"/>
                <w:bCs w:val="0"/>
                <w:color w:val="auto"/>
                <w:sz w:val="24"/>
                <w:szCs w:val="24"/>
                <w:highlight w:val="none"/>
                <w:vertAlign w:val="baseline"/>
                <w:lang w:val="en-US" w:eastAsia="zh-CN"/>
              </w:rPr>
              <w:t>临时</w:t>
            </w:r>
            <w:r>
              <w:rPr>
                <w:rFonts w:hint="default" w:ascii="Times New Roman" w:hAnsi="Times New Roman" w:eastAsia="宋体" w:cs="Times New Roman"/>
                <w:b w:val="0"/>
                <w:bCs w:val="0"/>
                <w:color w:val="auto"/>
                <w:sz w:val="24"/>
                <w:szCs w:val="24"/>
                <w:highlight w:val="none"/>
                <w:vertAlign w:val="baseline"/>
                <w:lang w:val="en-US" w:eastAsia="zh-CN"/>
              </w:rPr>
              <w:t>占地面积为</w:t>
            </w:r>
            <w:r>
              <w:rPr>
                <w:rFonts w:hint="eastAsia" w:ascii="Times New Roman" w:hAnsi="Times New Roman" w:eastAsia="宋体" w:cs="Times New Roman"/>
                <w:b w:val="0"/>
                <w:bCs w:val="0"/>
                <w:color w:val="auto"/>
                <w:sz w:val="24"/>
                <w:szCs w:val="24"/>
                <w:highlight w:val="none"/>
                <w:vertAlign w:val="baseline"/>
                <w:lang w:val="en-US" w:eastAsia="zh-CN"/>
              </w:rPr>
              <w:t>67428</w:t>
            </w:r>
            <w:r>
              <w:rPr>
                <w:rFonts w:hint="default" w:ascii="Times New Roman" w:hAnsi="Times New Roman" w:eastAsia="宋体" w:cs="Times New Roman"/>
                <w:b w:val="0"/>
                <w:bCs w:val="0"/>
                <w:color w:val="auto"/>
                <w:sz w:val="24"/>
                <w:szCs w:val="24"/>
                <w:highlight w:val="none"/>
                <w:vertAlign w:val="baseline"/>
                <w:lang w:val="en-US" w:eastAsia="zh-CN"/>
              </w:rPr>
              <w:t>m²</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根据榆林市投资项目选址“一张图”控制线数据，</w:t>
            </w:r>
            <w:r>
              <w:rPr>
                <w:rFonts w:hint="default" w:ascii="Times New Roman" w:hAnsi="Times New Roman" w:eastAsia="宋体" w:cs="Times New Roman"/>
                <w:b w:val="0"/>
                <w:bCs w:val="0"/>
                <w:color w:val="auto"/>
                <w:sz w:val="24"/>
                <w:szCs w:val="24"/>
                <w:highlight w:val="none"/>
                <w:vertAlign w:val="baseline"/>
                <w:lang w:val="en-US" w:eastAsia="zh-CN"/>
              </w:rPr>
              <w:t>占地类型为</w:t>
            </w:r>
            <w:r>
              <w:rPr>
                <w:rFonts w:hint="eastAsia" w:ascii="Times New Roman" w:hAnsi="Times New Roman" w:eastAsia="宋体" w:cs="Times New Roman"/>
                <w:b w:val="0"/>
                <w:bCs w:val="0"/>
                <w:color w:val="auto"/>
                <w:sz w:val="24"/>
                <w:szCs w:val="24"/>
                <w:highlight w:val="none"/>
                <w:vertAlign w:val="baseline"/>
                <w:lang w:val="en-US" w:eastAsia="zh-CN"/>
              </w:rPr>
              <w:t>林地、耕地、园地，</w:t>
            </w:r>
            <w:r>
              <w:rPr>
                <w:rFonts w:hint="default" w:ascii="Times New Roman" w:hAnsi="Times New Roman" w:eastAsia="宋体" w:cs="Times New Roman"/>
                <w:b w:val="0"/>
                <w:bCs w:val="0"/>
                <w:color w:val="auto"/>
                <w:sz w:val="24"/>
                <w:szCs w:val="24"/>
                <w:vertAlign w:val="baseline"/>
                <w:lang w:val="en-US" w:eastAsia="zh-CN"/>
              </w:rPr>
              <w:t>不涉及基本农田。探井基本信息见表2-1，项目地理位置见附图。</w:t>
            </w:r>
          </w:p>
          <w:p w14:paraId="06C01759">
            <w:pPr>
              <w:spacing w:line="240" w:lineRule="auto"/>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表2-1探井基本信息</w:t>
            </w:r>
          </w:p>
          <w:tbl>
            <w:tblPr>
              <w:tblStyle w:val="21"/>
              <w:tblW w:w="4988"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407"/>
              <w:gridCol w:w="640"/>
              <w:gridCol w:w="875"/>
              <w:gridCol w:w="1153"/>
              <w:gridCol w:w="967"/>
              <w:gridCol w:w="773"/>
              <w:gridCol w:w="1006"/>
              <w:gridCol w:w="1127"/>
            </w:tblGrid>
            <w:tr w14:paraId="69E800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restart"/>
                  <w:noWrap w:val="0"/>
                  <w:vAlign w:val="center"/>
                </w:tcPr>
                <w:p w14:paraId="364FDB72">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40" w:type="pct"/>
                  <w:vMerge w:val="restart"/>
                  <w:noWrap w:val="0"/>
                  <w:vAlign w:val="center"/>
                </w:tcPr>
                <w:p w14:paraId="5FFF9CD8">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井号</w:t>
                  </w:r>
                </w:p>
              </w:tc>
              <w:tc>
                <w:tcPr>
                  <w:tcW w:w="382" w:type="pct"/>
                  <w:vMerge w:val="restart"/>
                  <w:noWrap w:val="0"/>
                  <w:vAlign w:val="center"/>
                </w:tcPr>
                <w:p w14:paraId="0702EAC9">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井型</w:t>
                  </w:r>
                </w:p>
              </w:tc>
              <w:tc>
                <w:tcPr>
                  <w:tcW w:w="522" w:type="pct"/>
                  <w:vMerge w:val="restart"/>
                  <w:noWrap w:val="0"/>
                  <w:vAlign w:val="center"/>
                </w:tcPr>
                <w:p w14:paraId="07335B91">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井深</w:t>
                  </w:r>
                </w:p>
                <w:p w14:paraId="1A5ABF36">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p>
              </w:tc>
              <w:tc>
                <w:tcPr>
                  <w:tcW w:w="1265" w:type="pct"/>
                  <w:gridSpan w:val="2"/>
                  <w:noWrap w:val="0"/>
                  <w:vAlign w:val="center"/>
                </w:tcPr>
                <w:p w14:paraId="62306C77">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探井中心点坐标</w:t>
                  </w:r>
                </w:p>
              </w:tc>
              <w:tc>
                <w:tcPr>
                  <w:tcW w:w="461" w:type="pct"/>
                  <w:vMerge w:val="restart"/>
                  <w:noWrap w:val="0"/>
                  <w:vAlign w:val="center"/>
                </w:tcPr>
                <w:p w14:paraId="6B9756B4">
                  <w:pPr>
                    <w:spacing w:line="240" w:lineRule="auto"/>
                    <w:ind w:firstLine="0" w:firstLineChars="0"/>
                    <w:contextualSpacing/>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占地类型</w:t>
                  </w:r>
                </w:p>
              </w:tc>
              <w:tc>
                <w:tcPr>
                  <w:tcW w:w="600" w:type="pct"/>
                  <w:vMerge w:val="restart"/>
                  <w:noWrap w:val="0"/>
                  <w:vAlign w:val="center"/>
                </w:tcPr>
                <w:p w14:paraId="71A449D8">
                  <w:pPr>
                    <w:spacing w:line="240" w:lineRule="auto"/>
                    <w:ind w:firstLine="0" w:firstLineChars="0"/>
                    <w:contextualSpacing/>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占地面积（m²）</w:t>
                  </w:r>
                </w:p>
              </w:tc>
              <w:tc>
                <w:tcPr>
                  <w:tcW w:w="672" w:type="pct"/>
                  <w:vMerge w:val="restart"/>
                  <w:noWrap w:val="0"/>
                  <w:vAlign w:val="center"/>
                </w:tcPr>
                <w:p w14:paraId="49AE103F">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地理位置</w:t>
                  </w:r>
                </w:p>
              </w:tc>
            </w:tr>
            <w:tr w14:paraId="6087ED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noWrap w:val="0"/>
                  <w:vAlign w:val="center"/>
                </w:tcPr>
                <w:p w14:paraId="430C93AD">
                  <w:pPr>
                    <w:spacing w:line="240" w:lineRule="auto"/>
                    <w:ind w:firstLine="0" w:firstLineChars="0"/>
                    <w:jc w:val="center"/>
                    <w:rPr>
                      <w:rFonts w:hint="default" w:ascii="Times New Roman" w:hAnsi="Times New Roman" w:cs="Times New Roman"/>
                      <w:color w:val="auto"/>
                      <w:sz w:val="21"/>
                      <w:szCs w:val="21"/>
                    </w:rPr>
                  </w:pPr>
                </w:p>
              </w:tc>
              <w:tc>
                <w:tcPr>
                  <w:tcW w:w="840" w:type="pct"/>
                  <w:vMerge w:val="continue"/>
                  <w:noWrap w:val="0"/>
                  <w:vAlign w:val="center"/>
                </w:tcPr>
                <w:p w14:paraId="2AE5343C">
                  <w:pPr>
                    <w:spacing w:line="240" w:lineRule="auto"/>
                    <w:ind w:firstLine="0" w:firstLineChars="0"/>
                    <w:jc w:val="center"/>
                    <w:rPr>
                      <w:rFonts w:hint="default" w:ascii="Times New Roman" w:hAnsi="Times New Roman" w:cs="Times New Roman"/>
                      <w:color w:val="auto"/>
                      <w:sz w:val="21"/>
                      <w:szCs w:val="21"/>
                    </w:rPr>
                  </w:pPr>
                </w:p>
              </w:tc>
              <w:tc>
                <w:tcPr>
                  <w:tcW w:w="382" w:type="pct"/>
                  <w:vMerge w:val="continue"/>
                  <w:noWrap w:val="0"/>
                  <w:vAlign w:val="center"/>
                </w:tcPr>
                <w:p w14:paraId="6B682CF6">
                  <w:pPr>
                    <w:spacing w:line="240" w:lineRule="auto"/>
                    <w:ind w:firstLine="0" w:firstLineChars="0"/>
                    <w:jc w:val="center"/>
                    <w:rPr>
                      <w:rFonts w:hint="default" w:ascii="Times New Roman" w:hAnsi="Times New Roman" w:cs="Times New Roman"/>
                      <w:color w:val="auto"/>
                      <w:sz w:val="21"/>
                      <w:szCs w:val="21"/>
                    </w:rPr>
                  </w:pPr>
                </w:p>
              </w:tc>
              <w:tc>
                <w:tcPr>
                  <w:tcW w:w="522" w:type="pct"/>
                  <w:vMerge w:val="continue"/>
                  <w:noWrap w:val="0"/>
                  <w:vAlign w:val="center"/>
                </w:tcPr>
                <w:p w14:paraId="723AFEBD">
                  <w:pPr>
                    <w:spacing w:line="240" w:lineRule="auto"/>
                    <w:ind w:firstLine="0" w:firstLineChars="0"/>
                    <w:jc w:val="center"/>
                    <w:rPr>
                      <w:rFonts w:hint="default" w:ascii="Times New Roman" w:hAnsi="Times New Roman" w:cs="Times New Roman"/>
                      <w:color w:val="auto"/>
                      <w:sz w:val="21"/>
                      <w:szCs w:val="21"/>
                    </w:rPr>
                  </w:pPr>
                </w:p>
              </w:tc>
              <w:tc>
                <w:tcPr>
                  <w:tcW w:w="688" w:type="pct"/>
                  <w:noWrap w:val="0"/>
                  <w:vAlign w:val="center"/>
                </w:tcPr>
                <w:p w14:paraId="30E71EBB">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577" w:type="pct"/>
                  <w:noWrap w:val="0"/>
                  <w:vAlign w:val="center"/>
                </w:tcPr>
                <w:p w14:paraId="01B8C5A7">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461" w:type="pct"/>
                  <w:vMerge w:val="continue"/>
                  <w:noWrap w:val="0"/>
                  <w:vAlign w:val="center"/>
                </w:tcPr>
                <w:p w14:paraId="2AAA818D">
                  <w:pPr>
                    <w:spacing w:line="240" w:lineRule="auto"/>
                    <w:ind w:firstLine="0" w:firstLineChars="0"/>
                    <w:jc w:val="center"/>
                    <w:rPr>
                      <w:rFonts w:hint="default" w:ascii="Times New Roman" w:hAnsi="Times New Roman" w:cs="Times New Roman"/>
                      <w:color w:val="auto"/>
                      <w:sz w:val="21"/>
                      <w:szCs w:val="21"/>
                    </w:rPr>
                  </w:pPr>
                </w:p>
              </w:tc>
              <w:tc>
                <w:tcPr>
                  <w:tcW w:w="600" w:type="pct"/>
                  <w:vMerge w:val="continue"/>
                  <w:noWrap w:val="0"/>
                  <w:vAlign w:val="center"/>
                </w:tcPr>
                <w:p w14:paraId="5D4725C1">
                  <w:pPr>
                    <w:spacing w:line="240" w:lineRule="auto"/>
                    <w:ind w:firstLine="0" w:firstLineChars="0"/>
                    <w:jc w:val="center"/>
                    <w:rPr>
                      <w:rFonts w:hint="default" w:ascii="Times New Roman" w:hAnsi="Times New Roman" w:cs="Times New Roman"/>
                      <w:color w:val="auto"/>
                      <w:sz w:val="21"/>
                      <w:szCs w:val="21"/>
                    </w:rPr>
                  </w:pPr>
                </w:p>
              </w:tc>
              <w:tc>
                <w:tcPr>
                  <w:tcW w:w="672" w:type="pct"/>
                  <w:vMerge w:val="continue"/>
                  <w:noWrap w:val="0"/>
                  <w:vAlign w:val="center"/>
                </w:tcPr>
                <w:p w14:paraId="21FDA9F8">
                  <w:pPr>
                    <w:spacing w:line="240" w:lineRule="auto"/>
                    <w:ind w:firstLine="0" w:firstLineChars="0"/>
                    <w:jc w:val="center"/>
                    <w:rPr>
                      <w:rFonts w:hint="default" w:ascii="Times New Roman" w:hAnsi="Times New Roman" w:cs="Times New Roman"/>
                      <w:color w:val="auto"/>
                      <w:sz w:val="21"/>
                      <w:szCs w:val="21"/>
                    </w:rPr>
                  </w:pPr>
                </w:p>
              </w:tc>
            </w:tr>
            <w:tr w14:paraId="54E4FA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2ADDD3F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40" w:type="pct"/>
                  <w:noWrap w:val="0"/>
                  <w:vAlign w:val="center"/>
                </w:tcPr>
                <w:p w14:paraId="4434AF38">
                  <w:pPr>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u w:val="none"/>
                      <w:vertAlign w:val="baseline"/>
                      <w:lang w:val="en-US" w:eastAsia="zh-CN"/>
                    </w:rPr>
                    <w:t>米107-6MX</w:t>
                  </w:r>
                </w:p>
              </w:tc>
              <w:tc>
                <w:tcPr>
                  <w:tcW w:w="382" w:type="pct"/>
                  <w:shd w:val="clear" w:color="auto" w:fill="auto"/>
                  <w:noWrap w:val="0"/>
                  <w:vAlign w:val="center"/>
                </w:tcPr>
                <w:p w14:paraId="28816288">
                  <w:pPr>
                    <w:widowControl/>
                    <w:spacing w:line="240" w:lineRule="auto"/>
                    <w:ind w:firstLine="0" w:firstLineChars="0"/>
                    <w:jc w:val="center"/>
                    <w:textAlignment w:val="center"/>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lang w:val="en-US" w:eastAsia="zh-CN" w:bidi="ar-SA"/>
                    </w:rPr>
                    <w:t>直井</w:t>
                  </w:r>
                </w:p>
              </w:tc>
              <w:tc>
                <w:tcPr>
                  <w:tcW w:w="522" w:type="pct"/>
                  <w:noWrap w:val="0"/>
                  <w:vAlign w:val="center"/>
                </w:tcPr>
                <w:p w14:paraId="581836D1">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2730</w:t>
                  </w:r>
                </w:p>
              </w:tc>
              <w:tc>
                <w:tcPr>
                  <w:tcW w:w="688" w:type="pct"/>
                  <w:noWrap w:val="0"/>
                  <w:vAlign w:val="center"/>
                </w:tcPr>
                <w:p w14:paraId="4A26FEE9">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37431100</w:t>
                  </w:r>
                </w:p>
              </w:tc>
              <w:tc>
                <w:tcPr>
                  <w:tcW w:w="577" w:type="pct"/>
                  <w:noWrap w:val="0"/>
                  <w:vAlign w:val="center"/>
                </w:tcPr>
                <w:p w14:paraId="55D95DB2">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4224113</w:t>
                  </w:r>
                </w:p>
              </w:tc>
              <w:tc>
                <w:tcPr>
                  <w:tcW w:w="461" w:type="pct"/>
                  <w:noWrap w:val="0"/>
                  <w:vAlign w:val="center"/>
                </w:tcPr>
                <w:p w14:paraId="2EBAB76B">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园地</w:t>
                  </w:r>
                </w:p>
              </w:tc>
              <w:tc>
                <w:tcPr>
                  <w:tcW w:w="600" w:type="pct"/>
                  <w:noWrap w:val="0"/>
                  <w:vAlign w:val="center"/>
                </w:tcPr>
                <w:p w14:paraId="4868B4EB">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9215</w:t>
                  </w:r>
                </w:p>
              </w:tc>
              <w:tc>
                <w:tcPr>
                  <w:tcW w:w="672" w:type="pct"/>
                  <w:noWrap w:val="0"/>
                  <w:vAlign w:val="center"/>
                </w:tcPr>
                <w:p w14:paraId="35337EAE">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元峁村</w:t>
                  </w:r>
                </w:p>
              </w:tc>
            </w:tr>
            <w:tr w14:paraId="4E643E5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372C6A9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840" w:type="pct"/>
                  <w:noWrap w:val="0"/>
                  <w:vAlign w:val="center"/>
                </w:tcPr>
                <w:p w14:paraId="579293D7">
                  <w:pPr>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u w:val="none"/>
                      <w:vertAlign w:val="baseline"/>
                      <w:lang w:val="en-US" w:eastAsia="zh-CN"/>
                    </w:rPr>
                    <w:t>米107-10MX</w:t>
                  </w:r>
                </w:p>
              </w:tc>
              <w:tc>
                <w:tcPr>
                  <w:tcW w:w="382" w:type="pct"/>
                  <w:shd w:val="clear" w:color="auto" w:fill="auto"/>
                  <w:noWrap w:val="0"/>
                  <w:vAlign w:val="center"/>
                </w:tcPr>
                <w:p w14:paraId="5292263E">
                  <w:pPr>
                    <w:widowControl/>
                    <w:spacing w:line="240" w:lineRule="auto"/>
                    <w:ind w:firstLine="0" w:firstLineChars="0"/>
                    <w:jc w:val="center"/>
                    <w:textAlignment w:val="center"/>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lang w:val="en-US" w:eastAsia="zh-CN" w:bidi="ar-SA"/>
                    </w:rPr>
                    <w:t>直井</w:t>
                  </w:r>
                </w:p>
              </w:tc>
              <w:tc>
                <w:tcPr>
                  <w:tcW w:w="522" w:type="pct"/>
                  <w:noWrap w:val="0"/>
                  <w:vAlign w:val="center"/>
                </w:tcPr>
                <w:p w14:paraId="662BE5C2">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2800</w:t>
                  </w:r>
                </w:p>
              </w:tc>
              <w:tc>
                <w:tcPr>
                  <w:tcW w:w="688" w:type="pct"/>
                  <w:noWrap w:val="0"/>
                  <w:vAlign w:val="center"/>
                </w:tcPr>
                <w:p w14:paraId="2CF2D0BD">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37431735</w:t>
                  </w:r>
                </w:p>
              </w:tc>
              <w:tc>
                <w:tcPr>
                  <w:tcW w:w="577" w:type="pct"/>
                  <w:noWrap w:val="0"/>
                  <w:vAlign w:val="center"/>
                </w:tcPr>
                <w:p w14:paraId="4D7F7E6C">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4221990</w:t>
                  </w:r>
                </w:p>
              </w:tc>
              <w:tc>
                <w:tcPr>
                  <w:tcW w:w="461" w:type="pct"/>
                  <w:noWrap w:val="0"/>
                  <w:vAlign w:val="center"/>
                </w:tcPr>
                <w:p w14:paraId="26F23CC7">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林地、草地</w:t>
                  </w:r>
                </w:p>
              </w:tc>
              <w:tc>
                <w:tcPr>
                  <w:tcW w:w="600" w:type="pct"/>
                  <w:noWrap w:val="0"/>
                  <w:vAlign w:val="center"/>
                </w:tcPr>
                <w:p w14:paraId="39D7850A">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8859</w:t>
                  </w:r>
                </w:p>
              </w:tc>
              <w:tc>
                <w:tcPr>
                  <w:tcW w:w="672" w:type="pct"/>
                  <w:noWrap w:val="0"/>
                  <w:vAlign w:val="center"/>
                </w:tcPr>
                <w:p w14:paraId="26C7DFEB">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磨家川村</w:t>
                  </w:r>
                </w:p>
              </w:tc>
            </w:tr>
            <w:tr w14:paraId="1EC673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330203D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840" w:type="pct"/>
                  <w:noWrap w:val="0"/>
                  <w:vAlign w:val="center"/>
                </w:tcPr>
                <w:p w14:paraId="79C041B4">
                  <w:pPr>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u w:val="none"/>
                      <w:vertAlign w:val="baseline"/>
                      <w:lang w:val="en-US" w:eastAsia="zh-CN"/>
                    </w:rPr>
                    <w:t>米107-11M</w:t>
                  </w:r>
                </w:p>
              </w:tc>
              <w:tc>
                <w:tcPr>
                  <w:tcW w:w="382" w:type="pct"/>
                  <w:shd w:val="clear" w:color="auto" w:fill="auto"/>
                  <w:noWrap w:val="0"/>
                  <w:vAlign w:val="center"/>
                </w:tcPr>
                <w:p w14:paraId="56E40B66">
                  <w:pPr>
                    <w:widowControl/>
                    <w:spacing w:line="240" w:lineRule="auto"/>
                    <w:ind w:firstLine="0" w:firstLineChars="0"/>
                    <w:jc w:val="center"/>
                    <w:textAlignment w:val="center"/>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lang w:val="en-US" w:eastAsia="zh-CN" w:bidi="ar-SA"/>
                    </w:rPr>
                    <w:t>直井</w:t>
                  </w:r>
                </w:p>
              </w:tc>
              <w:tc>
                <w:tcPr>
                  <w:tcW w:w="522" w:type="pct"/>
                  <w:noWrap w:val="0"/>
                  <w:vAlign w:val="center"/>
                </w:tcPr>
                <w:p w14:paraId="017E2C6C">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2960</w:t>
                  </w:r>
                </w:p>
              </w:tc>
              <w:tc>
                <w:tcPr>
                  <w:tcW w:w="688" w:type="pct"/>
                  <w:noWrap w:val="0"/>
                  <w:vAlign w:val="center"/>
                </w:tcPr>
                <w:p w14:paraId="45D4DCEA">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37436271</w:t>
                  </w:r>
                </w:p>
              </w:tc>
              <w:tc>
                <w:tcPr>
                  <w:tcW w:w="577" w:type="pct"/>
                  <w:noWrap w:val="0"/>
                  <w:vAlign w:val="center"/>
                </w:tcPr>
                <w:p w14:paraId="0948F5F0">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4221619</w:t>
                  </w:r>
                </w:p>
              </w:tc>
              <w:tc>
                <w:tcPr>
                  <w:tcW w:w="461" w:type="pct"/>
                  <w:noWrap w:val="0"/>
                  <w:vAlign w:val="center"/>
                </w:tcPr>
                <w:p w14:paraId="373EAED4">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林地</w:t>
                  </w:r>
                </w:p>
              </w:tc>
              <w:tc>
                <w:tcPr>
                  <w:tcW w:w="600" w:type="pct"/>
                  <w:noWrap w:val="0"/>
                  <w:vAlign w:val="center"/>
                </w:tcPr>
                <w:p w14:paraId="4C426FC1">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16200</w:t>
                  </w:r>
                </w:p>
              </w:tc>
              <w:tc>
                <w:tcPr>
                  <w:tcW w:w="672" w:type="pct"/>
                  <w:noWrap w:val="0"/>
                  <w:vAlign w:val="center"/>
                </w:tcPr>
                <w:p w14:paraId="44BA94B1">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石家坂村</w:t>
                  </w:r>
                </w:p>
              </w:tc>
            </w:tr>
            <w:tr w14:paraId="594430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174F3A2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840" w:type="pct"/>
                  <w:noWrap w:val="0"/>
                  <w:vAlign w:val="center"/>
                </w:tcPr>
                <w:p w14:paraId="6E37F82A">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米107-12M</w:t>
                  </w:r>
                </w:p>
              </w:tc>
              <w:tc>
                <w:tcPr>
                  <w:tcW w:w="382" w:type="pct"/>
                  <w:shd w:val="clear" w:color="auto" w:fill="auto"/>
                  <w:noWrap w:val="0"/>
                  <w:vAlign w:val="center"/>
                </w:tcPr>
                <w:p w14:paraId="41F0B848">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直井</w:t>
                  </w:r>
                </w:p>
              </w:tc>
              <w:tc>
                <w:tcPr>
                  <w:tcW w:w="522" w:type="pct"/>
                  <w:noWrap w:val="0"/>
                  <w:vAlign w:val="center"/>
                </w:tcPr>
                <w:p w14:paraId="693D07A0">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2700</w:t>
                  </w:r>
                </w:p>
              </w:tc>
              <w:tc>
                <w:tcPr>
                  <w:tcW w:w="688" w:type="pct"/>
                  <w:noWrap w:val="0"/>
                  <w:vAlign w:val="center"/>
                </w:tcPr>
                <w:p w14:paraId="4B676FF3">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37440747</w:t>
                  </w:r>
                </w:p>
              </w:tc>
              <w:tc>
                <w:tcPr>
                  <w:tcW w:w="577" w:type="pct"/>
                  <w:noWrap w:val="0"/>
                  <w:vAlign w:val="center"/>
                </w:tcPr>
                <w:p w14:paraId="1B44C107">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4223865</w:t>
                  </w:r>
                </w:p>
              </w:tc>
              <w:tc>
                <w:tcPr>
                  <w:tcW w:w="461" w:type="pct"/>
                  <w:noWrap w:val="0"/>
                  <w:vAlign w:val="center"/>
                </w:tcPr>
                <w:p w14:paraId="104F117E">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园地、林地、草地</w:t>
                  </w:r>
                </w:p>
              </w:tc>
              <w:tc>
                <w:tcPr>
                  <w:tcW w:w="600" w:type="pct"/>
                  <w:noWrap w:val="0"/>
                  <w:vAlign w:val="center"/>
                </w:tcPr>
                <w:p w14:paraId="76FAD6A9">
                  <w:pPr>
                    <w:widowControl/>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10354</w:t>
                  </w:r>
                </w:p>
              </w:tc>
              <w:tc>
                <w:tcPr>
                  <w:tcW w:w="672" w:type="pct"/>
                  <w:noWrap w:val="0"/>
                  <w:vAlign w:val="center"/>
                </w:tcPr>
                <w:p w14:paraId="1F342EC2">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冯家佗佬村</w:t>
                  </w:r>
                </w:p>
              </w:tc>
            </w:tr>
            <w:tr w14:paraId="489B6FF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66DD6BF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840" w:type="pct"/>
                  <w:noWrap w:val="0"/>
                  <w:vAlign w:val="center"/>
                </w:tcPr>
                <w:p w14:paraId="7594FF83">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米107-15M</w:t>
                  </w:r>
                </w:p>
              </w:tc>
              <w:tc>
                <w:tcPr>
                  <w:tcW w:w="382" w:type="pct"/>
                  <w:shd w:val="clear" w:color="auto" w:fill="auto"/>
                  <w:noWrap w:val="0"/>
                  <w:vAlign w:val="center"/>
                </w:tcPr>
                <w:p w14:paraId="05FE1F80">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直井</w:t>
                  </w:r>
                </w:p>
              </w:tc>
              <w:tc>
                <w:tcPr>
                  <w:tcW w:w="522" w:type="pct"/>
                  <w:noWrap w:val="0"/>
                  <w:vAlign w:val="center"/>
                </w:tcPr>
                <w:p w14:paraId="4111443D">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2780</w:t>
                  </w:r>
                </w:p>
              </w:tc>
              <w:tc>
                <w:tcPr>
                  <w:tcW w:w="688" w:type="pct"/>
                  <w:noWrap w:val="0"/>
                  <w:vAlign w:val="center"/>
                </w:tcPr>
                <w:p w14:paraId="36A5662F">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37429120</w:t>
                  </w:r>
                </w:p>
              </w:tc>
              <w:tc>
                <w:tcPr>
                  <w:tcW w:w="577" w:type="pct"/>
                  <w:noWrap w:val="0"/>
                  <w:vAlign w:val="center"/>
                </w:tcPr>
                <w:p w14:paraId="6DA533A5">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4219966</w:t>
                  </w:r>
                </w:p>
              </w:tc>
              <w:tc>
                <w:tcPr>
                  <w:tcW w:w="461" w:type="pct"/>
                  <w:noWrap w:val="0"/>
                  <w:vAlign w:val="center"/>
                </w:tcPr>
                <w:p w14:paraId="6A1ED1E3">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园地、草地</w:t>
                  </w:r>
                </w:p>
              </w:tc>
              <w:tc>
                <w:tcPr>
                  <w:tcW w:w="600" w:type="pct"/>
                  <w:noWrap w:val="0"/>
                  <w:vAlign w:val="center"/>
                </w:tcPr>
                <w:p w14:paraId="488380BF">
                  <w:pPr>
                    <w:widowControl/>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11200</w:t>
                  </w:r>
                </w:p>
              </w:tc>
              <w:tc>
                <w:tcPr>
                  <w:tcW w:w="672" w:type="pct"/>
                  <w:noWrap w:val="0"/>
                  <w:vAlign w:val="center"/>
                </w:tcPr>
                <w:p w14:paraId="3A0AEB66">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刘仓弧村</w:t>
                  </w:r>
                </w:p>
              </w:tc>
            </w:tr>
            <w:tr w14:paraId="5EC0B1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379E758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840" w:type="pct"/>
                  <w:noWrap w:val="0"/>
                  <w:vAlign w:val="center"/>
                </w:tcPr>
                <w:p w14:paraId="0A6C9095">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米107-34M</w:t>
                  </w:r>
                </w:p>
              </w:tc>
              <w:tc>
                <w:tcPr>
                  <w:tcW w:w="382" w:type="pct"/>
                  <w:shd w:val="clear" w:color="auto" w:fill="auto"/>
                  <w:noWrap w:val="0"/>
                  <w:vAlign w:val="center"/>
                </w:tcPr>
                <w:p w14:paraId="21B51042">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直井</w:t>
                  </w:r>
                </w:p>
              </w:tc>
              <w:tc>
                <w:tcPr>
                  <w:tcW w:w="522" w:type="pct"/>
                  <w:noWrap w:val="0"/>
                  <w:vAlign w:val="center"/>
                </w:tcPr>
                <w:p w14:paraId="36BCF780">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2880</w:t>
                  </w:r>
                </w:p>
              </w:tc>
              <w:tc>
                <w:tcPr>
                  <w:tcW w:w="688" w:type="pct"/>
                  <w:noWrap w:val="0"/>
                  <w:vAlign w:val="center"/>
                </w:tcPr>
                <w:p w14:paraId="0907B32F">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37430282</w:t>
                  </w:r>
                </w:p>
              </w:tc>
              <w:tc>
                <w:tcPr>
                  <w:tcW w:w="577" w:type="pct"/>
                  <w:noWrap w:val="0"/>
                  <w:vAlign w:val="center"/>
                </w:tcPr>
                <w:p w14:paraId="498E7E71">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4225720</w:t>
                  </w:r>
                </w:p>
              </w:tc>
              <w:tc>
                <w:tcPr>
                  <w:tcW w:w="461" w:type="pct"/>
                  <w:noWrap w:val="0"/>
                  <w:vAlign w:val="center"/>
                </w:tcPr>
                <w:p w14:paraId="3596E0B0">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耕地、林地、草地</w:t>
                  </w:r>
                </w:p>
              </w:tc>
              <w:tc>
                <w:tcPr>
                  <w:tcW w:w="600" w:type="pct"/>
                  <w:noWrap w:val="0"/>
                  <w:vAlign w:val="center"/>
                </w:tcPr>
                <w:p w14:paraId="5E8D0147">
                  <w:pPr>
                    <w:widowControl/>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11600</w:t>
                  </w:r>
                </w:p>
              </w:tc>
              <w:tc>
                <w:tcPr>
                  <w:tcW w:w="672" w:type="pct"/>
                  <w:noWrap w:val="0"/>
                  <w:vAlign w:val="center"/>
                </w:tcPr>
                <w:p w14:paraId="5D41E40A">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元郎村</w:t>
                  </w:r>
                </w:p>
              </w:tc>
            </w:tr>
          </w:tbl>
          <w:p w14:paraId="31A995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p>
        </w:tc>
      </w:tr>
      <w:tr w14:paraId="141C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Align w:val="center"/>
          </w:tcPr>
          <w:p w14:paraId="658DE44D">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项目组成及规模</w:t>
            </w:r>
          </w:p>
        </w:tc>
        <w:tc>
          <w:tcPr>
            <w:tcW w:w="8616" w:type="dxa"/>
            <w:vAlign w:val="center"/>
          </w:tcPr>
          <w:p w14:paraId="30135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一、项目建设背景</w:t>
            </w:r>
          </w:p>
          <w:p w14:paraId="6D985C20">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天然气是优质高效的可再生能源，积极开发利用天然气，可以有效减少常规能源尤其是煤炭资源的消耗，对于优化城市能源结构，提高人民的生活质量，建设生态文明社会，促进可持续发展具有重要的意义</w:t>
            </w:r>
            <w:bookmarkStart w:id="1" w:name="_GoBack"/>
            <w:bookmarkEnd w:id="1"/>
            <w:r>
              <w:rPr>
                <w:rFonts w:hint="eastAsia" w:ascii="Times New Roman" w:hAnsi="Times New Roman" w:cs="Times New Roman"/>
                <w:color w:val="auto"/>
                <w:sz w:val="24"/>
                <w:lang w:val="en-US" w:eastAsia="zh-CN"/>
              </w:rPr>
              <w:t>。在天然气开发过程中，勘探工作旨在为后期的开发建设提供科技依据。按照勘探阶段、勘探程序以及勘探目的，可将探井划分为地质井、参数井、预探井、评价井等。</w:t>
            </w:r>
          </w:p>
          <w:p w14:paraId="75FD4B7E">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w:t>
            </w:r>
            <w:r>
              <w:rPr>
                <w:rFonts w:hint="default" w:ascii="Times New Roman" w:hAnsi="Times New Roman" w:eastAsia="宋体" w:cs="Times New Roman"/>
                <w:b w:val="0"/>
                <w:bCs w:val="0"/>
                <w:color w:val="auto"/>
                <w:sz w:val="24"/>
                <w:szCs w:val="24"/>
                <w:vertAlign w:val="baseline"/>
                <w:lang w:val="en-US" w:eastAsia="zh-CN"/>
              </w:rPr>
              <w:t>位于中国石油天然气股份有限公司长庆油田分公司矿权范围内，</w:t>
            </w:r>
            <w:r>
              <w:rPr>
                <w:rFonts w:hint="default" w:ascii="Times New Roman" w:hAnsi="Times New Roman" w:eastAsia="宋体" w:cs="Times New Roman"/>
                <w:b w:val="0"/>
                <w:bCs w:val="0"/>
                <w:color w:val="auto"/>
                <w:sz w:val="24"/>
                <w:szCs w:val="24"/>
                <w:highlight w:val="none"/>
                <w:vertAlign w:val="baseline"/>
                <w:lang w:val="en-US" w:eastAsia="zh-CN"/>
              </w:rPr>
              <w:t>中国石油天然气股份有限公司已取得《陕西鄂尔多斯盆地米脂气田天然气开采采矿许可证》（证号：</w:t>
            </w:r>
            <w:r>
              <w:rPr>
                <w:rFonts w:hint="eastAsia" w:ascii="Times New Roman" w:hAnsi="Times New Roman" w:eastAsia="宋体" w:cs="Times New Roman"/>
                <w:b w:val="0"/>
                <w:bCs w:val="0"/>
                <w:color w:val="auto"/>
                <w:sz w:val="24"/>
                <w:szCs w:val="24"/>
                <w:highlight w:val="none"/>
                <w:vertAlign w:val="baseline"/>
                <w:lang w:val="en-US" w:eastAsia="zh-CN"/>
              </w:rPr>
              <w:t>C1</w:t>
            </w:r>
            <w:r>
              <w:rPr>
                <w:rFonts w:hint="default" w:ascii="Times New Roman" w:hAnsi="Times New Roman" w:eastAsia="宋体" w:cs="Times New Roman"/>
                <w:b w:val="0"/>
                <w:bCs w:val="0"/>
                <w:color w:val="auto"/>
                <w:sz w:val="24"/>
                <w:szCs w:val="24"/>
                <w:highlight w:val="none"/>
                <w:vertAlign w:val="baseline"/>
                <w:lang w:val="en-US" w:eastAsia="zh-CN"/>
              </w:rPr>
              <w:t>000002022081318000407）</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《陕西鄂尔多斯盆地</w:t>
            </w:r>
            <w:r>
              <w:rPr>
                <w:rFonts w:hint="eastAsia" w:ascii="Times New Roman" w:hAnsi="Times New Roman" w:eastAsia="宋体" w:cs="Times New Roman"/>
                <w:b w:val="0"/>
                <w:bCs w:val="0"/>
                <w:color w:val="auto"/>
                <w:sz w:val="24"/>
                <w:szCs w:val="24"/>
                <w:highlight w:val="none"/>
                <w:vertAlign w:val="baseline"/>
                <w:lang w:val="en-US" w:eastAsia="zh-CN"/>
              </w:rPr>
              <w:t>神木气田米38区天然气开采</w:t>
            </w:r>
            <w:r>
              <w:rPr>
                <w:rFonts w:hint="default" w:ascii="Times New Roman" w:hAnsi="Times New Roman" w:eastAsia="宋体" w:cs="Times New Roman"/>
                <w:b w:val="0"/>
                <w:bCs w:val="0"/>
                <w:color w:val="auto"/>
                <w:sz w:val="24"/>
                <w:szCs w:val="24"/>
                <w:highlight w:val="none"/>
                <w:vertAlign w:val="baseline"/>
                <w:lang w:val="en-US" w:eastAsia="zh-CN"/>
              </w:rPr>
              <w:t>采矿许可证》（证号：</w:t>
            </w:r>
            <w:r>
              <w:rPr>
                <w:rFonts w:hint="eastAsia" w:ascii="Times New Roman" w:hAnsi="Times New Roman" w:eastAsia="宋体" w:cs="Times New Roman"/>
                <w:b w:val="0"/>
                <w:bCs w:val="0"/>
                <w:color w:val="auto"/>
                <w:sz w:val="24"/>
                <w:szCs w:val="24"/>
                <w:highlight w:val="none"/>
                <w:vertAlign w:val="baseline"/>
                <w:lang w:val="en-US" w:eastAsia="zh-CN"/>
              </w:rPr>
              <w:t>C10000020101318000067</w:t>
            </w:r>
            <w:r>
              <w:rPr>
                <w:rFonts w:hint="default" w:ascii="Times New Roman" w:hAnsi="Times New Roman" w:eastAsia="宋体" w:cs="Times New Roman"/>
                <w:b w:val="0"/>
                <w:bCs w:val="0"/>
                <w:color w:val="auto"/>
                <w:sz w:val="24"/>
                <w:szCs w:val="24"/>
                <w:highlight w:val="none"/>
                <w:vertAlign w:val="baseline"/>
                <w:lang w:val="en-US" w:eastAsia="zh-CN"/>
              </w:rPr>
              <w:t>），勘察范围包含本项目井场。</w:t>
            </w:r>
          </w:p>
          <w:p w14:paraId="26306717">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vertAlign w:val="baseline"/>
                <w:lang w:val="en-US" w:eastAsia="zh-CN"/>
              </w:rPr>
              <w:t>本项目属于天然气评价井建设工程，选址位于</w:t>
            </w:r>
            <w:r>
              <w:rPr>
                <w:rFonts w:hint="default" w:ascii="Times New Roman" w:hAnsi="Times New Roman" w:eastAsia="宋体" w:cs="Times New Roman"/>
                <w:b w:val="0"/>
                <w:bCs w:val="0"/>
                <w:color w:val="auto"/>
                <w:sz w:val="24"/>
                <w:szCs w:val="24"/>
                <w:highlight w:val="none"/>
                <w:vertAlign w:val="baseline"/>
                <w:lang w:val="en-US" w:eastAsia="zh-CN"/>
              </w:rPr>
              <w:t>陕西鄂尔多斯盆地米脂气田、神木气田米38区天然气开采范围内</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color w:val="auto"/>
                <w:sz w:val="24"/>
                <w:szCs w:val="24"/>
              </w:rPr>
              <w:t>属于长庆油田分公司第二采气厂的负责范围，第二采气厂于2024年取得榆林市生态环境局关于《长庆油田分公司第二采气厂2024年产能建设工程环境影响报告书》的批复（榆政环发〔2024〕110号），第二采气厂下辖气田截至2023年底，已建成气井2317口、井场586座；天然气处理厂6座、采出水回注井14口、集气站57座、增压站4座、清管站12座；集气干线25条，总长约521.3km；集气支线45条，总长约576.6km；外输管线5条，总长约342.5km，同时配套建设采气管线、注醇管线、注水管线、站场道路等配套工程及设施，基本实现了天然气密闭集输。2024年拟新建集气站2座，钻试返排液处理站1座，改扩建站场18座；部署井场186座（含新、扩建井场），拟新钻采气井479口。第二采气厂2024产能环评中本项目所在气田主要开发上古气，层位主要有山西组山2、石盒子组盒8等。</w:t>
            </w:r>
          </w:p>
          <w:p w14:paraId="4E618DC2">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sz w:val="24"/>
                <w:szCs w:val="24"/>
              </w:rPr>
              <w:t>根据建设单位提供资料，本次天然气探井不在第二采气厂2024年陕西区域新建及扩建天然气井场部署计划内，属于</w:t>
            </w:r>
            <w:r>
              <w:rPr>
                <w:rFonts w:hint="default" w:ascii="Times New Roman" w:hAnsi="Times New Roman" w:eastAsia="宋体" w:cs="Times New Roman"/>
                <w:color w:val="auto"/>
                <w:sz w:val="24"/>
                <w:szCs w:val="24"/>
                <w:lang w:val="en-US" w:eastAsia="zh-CN"/>
              </w:rPr>
              <w:t>新层位勘探</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highlight w:val="none"/>
                <w:lang w:val="en-US" w:eastAsia="zh-CN"/>
              </w:rPr>
              <w:t>本次新建6口气井</w:t>
            </w:r>
            <w:r>
              <w:rPr>
                <w:rFonts w:hint="default" w:ascii="Times New Roman" w:hAnsi="Times New Roman" w:eastAsia="宋体" w:cs="Times New Roman"/>
                <w:b w:val="0"/>
                <w:color w:val="auto"/>
                <w:sz w:val="24"/>
                <w:szCs w:val="24"/>
                <w:highlight w:val="none"/>
                <w:lang w:val="en-US" w:eastAsia="zh-CN"/>
              </w:rPr>
              <w:t>旨在现有气田区域内</w:t>
            </w:r>
            <w:r>
              <w:rPr>
                <w:rFonts w:hint="default" w:ascii="Times New Roman" w:hAnsi="Times New Roman" w:eastAsia="宋体" w:cs="Times New Roman"/>
                <w:color w:val="auto"/>
                <w:sz w:val="24"/>
                <w:highlight w:val="none"/>
              </w:rPr>
              <w:t>寻找新的适合开发的</w:t>
            </w:r>
            <w:r>
              <w:rPr>
                <w:rFonts w:hint="default" w:ascii="Times New Roman" w:hAnsi="Times New Roman" w:eastAsia="宋体" w:cs="Times New Roman"/>
                <w:color w:val="auto"/>
                <w:sz w:val="24"/>
                <w:highlight w:val="none"/>
                <w:lang w:val="en-US" w:eastAsia="zh-CN"/>
              </w:rPr>
              <w:t>气藏</w:t>
            </w:r>
            <w:r>
              <w:rPr>
                <w:rFonts w:hint="default" w:ascii="Times New Roman" w:hAnsi="Times New Roman" w:eastAsia="宋体" w:cs="Times New Roman"/>
                <w:color w:val="auto"/>
                <w:sz w:val="24"/>
                <w:highlight w:val="none"/>
              </w:rPr>
              <w:t>层位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为气田后续产能建设提供决策依据，</w:t>
            </w:r>
            <w:r>
              <w:rPr>
                <w:rFonts w:hint="default" w:ascii="Times New Roman" w:hAnsi="Times New Roman" w:eastAsia="宋体" w:cs="Times New Roman"/>
                <w:color w:val="auto"/>
                <w:sz w:val="24"/>
                <w:szCs w:val="24"/>
              </w:rPr>
              <w:t>新层位未确定产能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本项目6口评价井</w:t>
            </w:r>
            <w:r>
              <w:rPr>
                <w:rFonts w:hint="eastAsia" w:ascii="Times New Roman" w:hAnsi="Times New Roman" w:eastAsia="宋体" w:cs="Times New Roman"/>
                <w:color w:val="auto"/>
                <w:sz w:val="24"/>
                <w:szCs w:val="24"/>
                <w:lang w:val="en-US" w:eastAsia="zh-CN"/>
              </w:rPr>
              <w:t>分布于朱官寨镇各个村，</w:t>
            </w:r>
            <w:r>
              <w:rPr>
                <w:rFonts w:hint="default" w:ascii="Times New Roman" w:hAnsi="Times New Roman" w:eastAsia="宋体" w:cs="Times New Roman"/>
                <w:color w:val="auto"/>
                <w:sz w:val="24"/>
                <w:szCs w:val="24"/>
                <w:lang w:val="en-US" w:eastAsia="zh-CN"/>
              </w:rPr>
              <w:t>井口之间最近距离为1820米，</w:t>
            </w:r>
            <w:r>
              <w:rPr>
                <w:rFonts w:hint="eastAsia" w:ascii="Times New Roman" w:hAnsi="Times New Roman" w:eastAsia="宋体" w:cs="Times New Roman"/>
                <w:color w:val="auto"/>
                <w:sz w:val="24"/>
                <w:szCs w:val="24"/>
                <w:lang w:val="en-US" w:eastAsia="zh-CN"/>
              </w:rPr>
              <w:t>探井工程能够较好的反映朱官寨镇天然气分布情况</w:t>
            </w:r>
            <w:r>
              <w:rPr>
                <w:rFonts w:hint="default" w:ascii="Times New Roman" w:hAnsi="Times New Roman" w:eastAsia="宋体" w:cs="Times New Roman"/>
                <w:b w:val="0"/>
                <w:bCs w:val="0"/>
                <w:color w:val="auto"/>
                <w:sz w:val="24"/>
                <w:szCs w:val="24"/>
                <w:highlight w:val="none"/>
                <w:vertAlign w:val="baseline"/>
                <w:lang w:val="en-US" w:eastAsia="zh-CN"/>
              </w:rPr>
              <w:t>。本项目周边已有探井为米107-4、米107-10，均属于上古层。</w:t>
            </w:r>
          </w:p>
          <w:p w14:paraId="7F4E28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ascii="宋体" w:hAnsi="宋体" w:eastAsia="宋体" w:cs="宋体"/>
                <w:color w:val="auto"/>
                <w:sz w:val="24"/>
                <w:szCs w:val="24"/>
              </w:rPr>
              <w:t>根据现场踏勘，目前项目未动工，正在办理前期手续。</w:t>
            </w:r>
            <w:r>
              <w:rPr>
                <w:rFonts w:hint="default" w:ascii="Times New Roman" w:hAnsi="Times New Roman" w:eastAsia="宋体" w:cs="Times New Roman"/>
                <w:b w:val="0"/>
                <w:bCs w:val="0"/>
                <w:color w:val="auto"/>
                <w:sz w:val="24"/>
                <w:szCs w:val="24"/>
                <w:vertAlign w:val="baseline"/>
                <w:lang w:val="en-US" w:eastAsia="zh-CN"/>
              </w:rPr>
              <w:t>若测试具有工业产能，</w:t>
            </w:r>
            <w:r>
              <w:rPr>
                <w:rFonts w:hint="eastAsia" w:ascii="Times New Roman" w:hAnsi="Times New Roman" w:eastAsia="宋体" w:cs="Times New Roman"/>
                <w:b w:val="0"/>
                <w:bCs w:val="0"/>
                <w:color w:val="auto"/>
                <w:sz w:val="24"/>
                <w:szCs w:val="24"/>
                <w:vertAlign w:val="baseline"/>
                <w:lang w:val="en-US" w:eastAsia="zh-CN"/>
              </w:rPr>
              <w:t>另行履行相关产能环保手续</w:t>
            </w:r>
            <w:r>
              <w:rPr>
                <w:rFonts w:hint="default" w:ascii="Times New Roman" w:hAnsi="Times New Roman" w:eastAsia="宋体" w:cs="Times New Roman"/>
                <w:b w:val="0"/>
                <w:bCs w:val="0"/>
                <w:color w:val="auto"/>
                <w:sz w:val="24"/>
                <w:szCs w:val="24"/>
                <w:vertAlign w:val="baseline"/>
                <w:lang w:val="en-US" w:eastAsia="zh-CN"/>
              </w:rPr>
              <w:t>后期交由区块所属中国石油天然气股份有限公司长庆油田分公司</w:t>
            </w:r>
            <w:r>
              <w:rPr>
                <w:rFonts w:hint="eastAsia" w:ascii="Times New Roman" w:hAnsi="Times New Roman" w:eastAsia="宋体" w:cs="Times New Roman"/>
                <w:b w:val="0"/>
                <w:bCs w:val="0"/>
                <w:color w:val="auto"/>
                <w:sz w:val="24"/>
                <w:szCs w:val="24"/>
                <w:vertAlign w:val="baseline"/>
                <w:lang w:val="en-US" w:eastAsia="zh-CN"/>
              </w:rPr>
              <w:t>第二采气厂</w:t>
            </w:r>
            <w:r>
              <w:rPr>
                <w:rFonts w:hint="default" w:ascii="Times New Roman" w:hAnsi="Times New Roman" w:eastAsia="宋体" w:cs="Times New Roman"/>
                <w:b w:val="0"/>
                <w:bCs w:val="0"/>
                <w:color w:val="auto"/>
                <w:sz w:val="24"/>
                <w:szCs w:val="24"/>
                <w:vertAlign w:val="baseline"/>
                <w:lang w:val="en-US" w:eastAsia="zh-CN"/>
              </w:rPr>
              <w:t>进行井场建设。</w:t>
            </w:r>
          </w:p>
          <w:p w14:paraId="7888B4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二、项目建设内容及规模</w:t>
            </w:r>
          </w:p>
          <w:p w14:paraId="4446D3A3">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本项目新建天然气</w:t>
            </w:r>
            <w:r>
              <w:rPr>
                <w:rFonts w:hint="eastAsia" w:ascii="Times New Roman" w:hAnsi="Times New Roman" w:cs="Times New Roman"/>
                <w:color w:val="auto"/>
                <w:lang w:val="en-US" w:eastAsia="zh-CN"/>
              </w:rPr>
              <w:t>评价</w:t>
            </w:r>
            <w:r>
              <w:rPr>
                <w:rFonts w:hint="default" w:ascii="Times New Roman" w:hAnsi="Times New Roman" w:cs="Times New Roman"/>
                <w:color w:val="auto"/>
                <w:lang w:val="en-US" w:eastAsia="zh-CN"/>
              </w:rPr>
              <w:t>井</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口，井型为直井，</w:t>
            </w:r>
            <w:r>
              <w:rPr>
                <w:rFonts w:hint="eastAsia" w:ascii="Times New Roman" w:hAnsi="Times New Roman" w:cs="Times New Roman"/>
                <w:color w:val="auto"/>
                <w:lang w:val="en-US" w:eastAsia="zh-CN"/>
              </w:rPr>
              <w:t>米107-6MX完井深度为2730米，</w:t>
            </w:r>
            <w:r>
              <w:rPr>
                <w:rFonts w:hint="default" w:ascii="Times New Roman" w:hAnsi="Times New Roman" w:cs="Times New Roman"/>
                <w:color w:val="auto"/>
                <w:highlight w:val="none"/>
                <w:lang w:val="en-US" w:eastAsia="zh-CN"/>
              </w:rPr>
              <w:t>目的层为</w:t>
            </w:r>
            <w:r>
              <w:rPr>
                <w:rFonts w:hint="eastAsia" w:ascii="Times New Roman" w:hAnsi="Times New Roman" w:cs="Times New Roman"/>
                <w:color w:val="auto"/>
                <w:highlight w:val="none"/>
                <w:lang w:val="en-US" w:eastAsia="zh-CN"/>
              </w:rPr>
              <w:t>二叠系下统太原组</w:t>
            </w:r>
            <w:r>
              <w:rPr>
                <w:rFonts w:hint="eastAsia" w:ascii="Times New Roman" w:hAnsi="Times New Roman" w:cs="Times New Roman"/>
                <w:color w:val="auto"/>
                <w:lang w:val="en-US" w:eastAsia="zh-CN"/>
              </w:rPr>
              <w:t>；米107-10MX完井深度为2800米，</w:t>
            </w:r>
            <w:r>
              <w:rPr>
                <w:rFonts w:hint="default" w:ascii="Times New Roman" w:hAnsi="Times New Roman" w:cs="Times New Roman"/>
                <w:color w:val="auto"/>
                <w:highlight w:val="none"/>
                <w:lang w:val="en-US" w:eastAsia="zh-CN"/>
              </w:rPr>
              <w:t>目的层为</w:t>
            </w:r>
            <w:r>
              <w:rPr>
                <w:rFonts w:hint="eastAsia" w:ascii="Times New Roman" w:hAnsi="Times New Roman" w:cs="Times New Roman"/>
                <w:color w:val="auto"/>
                <w:highlight w:val="none"/>
                <w:lang w:val="en-US" w:eastAsia="zh-CN"/>
              </w:rPr>
              <w:t>石炭系上统本溪组</w:t>
            </w:r>
            <w:r>
              <w:rPr>
                <w:rFonts w:hint="eastAsia" w:ascii="Times New Roman" w:hAnsi="Times New Roman" w:cs="Times New Roman"/>
                <w:color w:val="auto"/>
                <w:lang w:val="en-US" w:eastAsia="zh-CN"/>
              </w:rPr>
              <w:t>；米107-11M完井深度为2960米，</w:t>
            </w:r>
            <w:r>
              <w:rPr>
                <w:rFonts w:hint="default" w:ascii="Times New Roman" w:hAnsi="Times New Roman" w:cs="Times New Roman"/>
                <w:color w:val="auto"/>
                <w:highlight w:val="none"/>
                <w:lang w:val="en-US" w:eastAsia="zh-CN"/>
              </w:rPr>
              <w:t>目的层为</w:t>
            </w:r>
            <w:r>
              <w:rPr>
                <w:rFonts w:hint="eastAsia" w:ascii="Times New Roman" w:hAnsi="Times New Roman" w:cs="Times New Roman"/>
                <w:color w:val="auto"/>
                <w:highlight w:val="none"/>
                <w:lang w:val="en-US" w:eastAsia="zh-CN"/>
              </w:rPr>
              <w:t>石炭系上统本溪组；</w:t>
            </w:r>
            <w:r>
              <w:rPr>
                <w:rFonts w:hint="eastAsia" w:ascii="Times New Roman" w:hAnsi="Times New Roman" w:cs="Times New Roman"/>
                <w:color w:val="auto"/>
                <w:lang w:val="en-US" w:eastAsia="zh-CN"/>
              </w:rPr>
              <w:t>107-12M完井深度为2700米，目的层为</w:t>
            </w:r>
            <w:r>
              <w:rPr>
                <w:rFonts w:hint="eastAsia" w:ascii="Times New Roman" w:hAnsi="Times New Roman" w:cs="Times New Roman"/>
                <w:color w:val="auto"/>
                <w:highlight w:val="none"/>
                <w:lang w:val="en-US" w:eastAsia="zh-CN"/>
              </w:rPr>
              <w:t>二叠系下统太原组；</w:t>
            </w:r>
            <w:r>
              <w:rPr>
                <w:rFonts w:hint="eastAsia" w:ascii="Times New Roman" w:hAnsi="Times New Roman" w:cs="Times New Roman"/>
                <w:color w:val="auto"/>
                <w:lang w:val="en-US" w:eastAsia="zh-CN"/>
              </w:rPr>
              <w:t>107-15M完井深度为2780米，目的层为</w:t>
            </w:r>
            <w:r>
              <w:rPr>
                <w:rFonts w:hint="eastAsia" w:ascii="Times New Roman" w:hAnsi="Times New Roman" w:cs="Times New Roman"/>
                <w:color w:val="auto"/>
                <w:highlight w:val="none"/>
                <w:lang w:val="en-US" w:eastAsia="zh-CN"/>
              </w:rPr>
              <w:t>二叠系下统太原组；</w:t>
            </w:r>
            <w:r>
              <w:rPr>
                <w:rFonts w:hint="eastAsia" w:ascii="Times New Roman" w:hAnsi="Times New Roman" w:cs="Times New Roman"/>
                <w:color w:val="auto"/>
                <w:lang w:val="en-US" w:eastAsia="zh-CN"/>
              </w:rPr>
              <w:t>107-34M完井深度为2880米，</w:t>
            </w:r>
            <w:r>
              <w:rPr>
                <w:rFonts w:hint="default" w:ascii="Times New Roman" w:hAnsi="Times New Roman" w:cs="Times New Roman"/>
                <w:color w:val="auto"/>
                <w:highlight w:val="none"/>
                <w:lang w:val="en-US" w:eastAsia="zh-CN"/>
              </w:rPr>
              <w:t>目的层为</w:t>
            </w:r>
            <w:r>
              <w:rPr>
                <w:rFonts w:hint="eastAsia" w:ascii="Times New Roman" w:hAnsi="Times New Roman" w:cs="Times New Roman"/>
                <w:color w:val="auto"/>
                <w:highlight w:val="none"/>
                <w:lang w:val="en-US" w:eastAsia="zh-CN"/>
              </w:rPr>
              <w:t>石炭系上统本溪组</w:t>
            </w:r>
            <w:r>
              <w:rPr>
                <w:rFonts w:hint="default" w:ascii="Times New Roman" w:hAnsi="Times New Roman" w:cs="Times New Roman"/>
                <w:color w:val="auto"/>
                <w:lang w:val="en-US" w:eastAsia="zh-CN"/>
              </w:rPr>
              <w:t>。井场按照《钻前工程及井场布置技术要求》（SY/T5466-2013）进行设计建设。</w:t>
            </w:r>
          </w:p>
          <w:p w14:paraId="153B005A">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建设内容包括钻前工程（建设内容主要为</w:t>
            </w:r>
            <w:r>
              <w:rPr>
                <w:rFonts w:hint="eastAsia" w:ascii="Times New Roman" w:hAnsi="Times New Roman" w:cs="Times New Roman"/>
                <w:color w:val="auto"/>
                <w:lang w:val="en-US" w:eastAsia="zh-CN"/>
              </w:rPr>
              <w:t>新建进场道路、</w:t>
            </w:r>
            <w:r>
              <w:rPr>
                <w:rFonts w:hint="default" w:ascii="Times New Roman" w:hAnsi="Times New Roman" w:cs="Times New Roman"/>
                <w:color w:val="auto"/>
                <w:lang w:val="en-US" w:eastAsia="zh-CN"/>
              </w:rPr>
              <w:t>井场修建和平整、修建设备基础、泥浆罐、污水罐、临时办公生活区等）、钻井工程（建设内容主要为钻井、测井、录井、固井等）、完井测试（主要包括完井作业和油气测试，洗井、射孔、压裂、</w:t>
            </w:r>
            <w:r>
              <w:rPr>
                <w:rFonts w:hint="eastAsia" w:ascii="Times New Roman" w:hAnsi="Times New Roman" w:cs="Times New Roman"/>
                <w:color w:val="auto"/>
                <w:lang w:val="en-US" w:eastAsia="zh-CN"/>
              </w:rPr>
              <w:t>试气</w:t>
            </w:r>
            <w:r>
              <w:rPr>
                <w:rFonts w:hint="default" w:ascii="Times New Roman" w:hAnsi="Times New Roman" w:cs="Times New Roman"/>
                <w:color w:val="auto"/>
                <w:lang w:val="en-US" w:eastAsia="zh-CN"/>
              </w:rPr>
              <w:t>等）及封井作业。项目测井方式为电测井，不涉及放射性源的使用。</w:t>
            </w:r>
          </w:p>
          <w:p w14:paraId="7B198E87">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本次评价仅对勘探过程中对环境的影响进行分析，不包括天然气开采、采气生产站外管道建设评价。</w:t>
            </w:r>
          </w:p>
          <w:p w14:paraId="3D6B9B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表2-2 项目组成及建设内容一览表</w:t>
            </w:r>
          </w:p>
          <w:tbl>
            <w:tblPr>
              <w:tblStyle w:val="22"/>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426"/>
              <w:gridCol w:w="1247"/>
              <w:gridCol w:w="6036"/>
            </w:tblGrid>
            <w:tr w14:paraId="50B2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14:paraId="7CA274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1586" w:type="dxa"/>
                  <w:gridSpan w:val="2"/>
                  <w:vAlign w:val="center"/>
                </w:tcPr>
                <w:p w14:paraId="03A6F6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6118" w:type="dxa"/>
                  <w:vAlign w:val="center"/>
                </w:tcPr>
                <w:p w14:paraId="2E79D5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工程内容</w:t>
                  </w:r>
                </w:p>
              </w:tc>
            </w:tr>
            <w:tr w14:paraId="3139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14:paraId="26A0B5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主体工程</w:t>
                  </w:r>
                </w:p>
              </w:tc>
              <w:tc>
                <w:tcPr>
                  <w:tcW w:w="337" w:type="dxa"/>
                  <w:vMerge w:val="restart"/>
                  <w:vAlign w:val="center"/>
                </w:tcPr>
                <w:p w14:paraId="138E3E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w:t>
                  </w:r>
                </w:p>
              </w:tc>
              <w:tc>
                <w:tcPr>
                  <w:tcW w:w="1249" w:type="dxa"/>
                  <w:vAlign w:val="center"/>
                </w:tcPr>
                <w:p w14:paraId="23E14D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w:t>
                  </w:r>
                </w:p>
              </w:tc>
              <w:tc>
                <w:tcPr>
                  <w:tcW w:w="6118" w:type="dxa"/>
                  <w:vAlign w:val="center"/>
                </w:tcPr>
                <w:p w14:paraId="2383FF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包括机房、钻台、井口，主要进行钻井活动及完井测试，采用常规钻井工艺，钻井为直井，</w:t>
                  </w:r>
                  <w:r>
                    <w:rPr>
                      <w:rFonts w:hint="eastAsia" w:ascii="Times New Roman" w:hAnsi="Times New Roman" w:eastAsia="宋体" w:cs="Times New Roman"/>
                      <w:b w:val="0"/>
                      <w:bCs w:val="0"/>
                      <w:color w:val="auto"/>
                      <w:sz w:val="21"/>
                      <w:szCs w:val="21"/>
                      <w:vertAlign w:val="baseline"/>
                      <w:lang w:val="en-US" w:eastAsia="zh-CN"/>
                    </w:rPr>
                    <w:t>钻井深度介于2700-3000m之间，</w:t>
                  </w:r>
                  <w:r>
                    <w:rPr>
                      <w:rFonts w:hint="default" w:ascii="Times New Roman" w:hAnsi="Times New Roman" w:eastAsia="宋体" w:cs="Times New Roman"/>
                      <w:b w:val="0"/>
                      <w:bCs w:val="0"/>
                      <w:color w:val="auto"/>
                      <w:sz w:val="21"/>
                      <w:szCs w:val="21"/>
                      <w:vertAlign w:val="baseline"/>
                      <w:lang w:val="en-US" w:eastAsia="zh-CN"/>
                    </w:rPr>
                    <w:t>主要进行探勘天然气储藏情况。钻井过程包括下套管和固井等作业，当钻至目的层后完井测试。主要布置钻机、井架、底座、天车、绞车、游动滑车等钻井设备，以及钻井控制系统、井控制装置。</w:t>
                  </w:r>
                </w:p>
              </w:tc>
            </w:tr>
            <w:tr w14:paraId="6715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E7960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268DBA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49" w:type="dxa"/>
                  <w:vAlign w:val="center"/>
                </w:tcPr>
                <w:p w14:paraId="2B431E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w:t>
                  </w:r>
                </w:p>
              </w:tc>
              <w:tc>
                <w:tcPr>
                  <w:tcW w:w="6118" w:type="dxa"/>
                  <w:vAlign w:val="center"/>
                </w:tcPr>
                <w:p w14:paraId="39F4AF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泥浆循环系统紧邻钻井区，主要包括钻井液振动筛、真空除气器、除砂除泥一体机、液气分离器、搅拌器、砂浆、泥浆罐、岩屑罐等，通过泥浆循环系统实现泥浆与岩屑的分离，本项目为水基钻井泥浆</w:t>
                  </w:r>
                  <w:r>
                    <w:rPr>
                      <w:rFonts w:hint="eastAsia" w:ascii="Times New Roman" w:hAnsi="Times New Roman" w:eastAsia="宋体" w:cs="Times New Roman"/>
                      <w:b w:val="0"/>
                      <w:bCs w:val="0"/>
                      <w:color w:val="auto"/>
                      <w:sz w:val="21"/>
                      <w:szCs w:val="21"/>
                      <w:vertAlign w:val="baseline"/>
                      <w:lang w:val="en-US" w:eastAsia="zh-CN"/>
                    </w:rPr>
                    <w:t>。</w:t>
                  </w:r>
                </w:p>
              </w:tc>
            </w:tr>
            <w:tr w14:paraId="2F16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446665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16E627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49" w:type="dxa"/>
                  <w:vAlign w:val="center"/>
                </w:tcPr>
                <w:p w14:paraId="60340C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放喷池</w:t>
                  </w:r>
                </w:p>
              </w:tc>
              <w:tc>
                <w:tcPr>
                  <w:tcW w:w="6118" w:type="dxa"/>
                  <w:vAlign w:val="center"/>
                </w:tcPr>
                <w:p w14:paraId="4D7F71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设置1具</w:t>
                  </w:r>
                  <w:r>
                    <w:rPr>
                      <w:rFonts w:hint="eastAsia" w:ascii="Times New Roman" w:hAnsi="Times New Roman" w:eastAsia="宋体" w:cs="Times New Roman"/>
                      <w:b w:val="0"/>
                      <w:bCs w:val="0"/>
                      <w:color w:val="auto"/>
                      <w:sz w:val="21"/>
                      <w:szCs w:val="21"/>
                      <w:vertAlign w:val="baseline"/>
                      <w:lang w:val="en-US" w:eastAsia="zh-CN"/>
                    </w:rPr>
                    <w:t>10.6</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放喷池</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天然气</w:t>
                  </w:r>
                  <w:r>
                    <w:rPr>
                      <w:rFonts w:hint="default" w:ascii="Times New Roman" w:hAnsi="Times New Roman" w:eastAsia="宋体" w:cs="Times New Roman"/>
                      <w:b w:val="0"/>
                      <w:bCs w:val="0"/>
                      <w:color w:val="auto"/>
                      <w:sz w:val="21"/>
                      <w:szCs w:val="21"/>
                      <w:vertAlign w:val="baseline"/>
                      <w:lang w:val="en-US" w:eastAsia="zh-CN"/>
                    </w:rPr>
                    <w:t>经管线引至放散管</w:t>
                  </w:r>
                  <w:r>
                    <w:rPr>
                      <w:rFonts w:hint="eastAsia" w:ascii="Times New Roman" w:hAnsi="Times New Roman" w:eastAsia="宋体" w:cs="Times New Roman"/>
                      <w:b w:val="0"/>
                      <w:bCs w:val="0"/>
                      <w:color w:val="auto"/>
                      <w:sz w:val="21"/>
                      <w:szCs w:val="21"/>
                      <w:vertAlign w:val="baseline"/>
                      <w:lang w:val="en-US" w:eastAsia="zh-CN"/>
                    </w:rPr>
                    <w:t>后点火放喷，放喷口设置，放喷池</w:t>
                  </w:r>
                  <w:r>
                    <w:rPr>
                      <w:rFonts w:hint="default" w:ascii="Times New Roman" w:hAnsi="Times New Roman" w:eastAsia="宋体" w:cs="Times New Roman"/>
                      <w:b w:val="0"/>
                      <w:bCs w:val="0"/>
                      <w:color w:val="auto"/>
                      <w:sz w:val="21"/>
                      <w:szCs w:val="21"/>
                      <w:vertAlign w:val="baseline"/>
                      <w:lang w:val="en-US" w:eastAsia="zh-CN"/>
                    </w:rPr>
                    <w:t>井场内下风向，</w:t>
                  </w:r>
                  <w:r>
                    <w:rPr>
                      <w:rFonts w:hint="eastAsia" w:ascii="Times New Roman" w:hAnsi="Times New Roman" w:eastAsia="宋体" w:cs="Times New Roman"/>
                      <w:b w:val="0"/>
                      <w:bCs w:val="0"/>
                      <w:color w:val="auto"/>
                      <w:sz w:val="21"/>
                      <w:szCs w:val="21"/>
                      <w:vertAlign w:val="baseline"/>
                      <w:lang w:val="en-US" w:eastAsia="zh-CN"/>
                    </w:rPr>
                    <w:t>放喷口</w:t>
                  </w:r>
                  <w:r>
                    <w:rPr>
                      <w:rFonts w:hint="default" w:ascii="Times New Roman" w:hAnsi="Times New Roman" w:eastAsia="宋体" w:cs="Times New Roman"/>
                      <w:b w:val="0"/>
                      <w:bCs w:val="0"/>
                      <w:color w:val="auto"/>
                      <w:sz w:val="21"/>
                      <w:szCs w:val="21"/>
                      <w:vertAlign w:val="baseline"/>
                      <w:lang w:val="en-US" w:eastAsia="zh-CN"/>
                    </w:rPr>
                    <w:t>安装防喷器和控制装置；井下安装压力传感装置和事故报警器；组织员工应急培训、应急演练、设置井口防喷器组</w:t>
                  </w:r>
                  <w:r>
                    <w:rPr>
                      <w:rFonts w:hint="eastAsia" w:ascii="Times New Roman" w:hAnsi="Times New Roman" w:eastAsia="宋体" w:cs="Times New Roman"/>
                      <w:b w:val="0"/>
                      <w:bCs w:val="0"/>
                      <w:color w:val="auto"/>
                      <w:sz w:val="21"/>
                      <w:szCs w:val="21"/>
                      <w:vertAlign w:val="baseline"/>
                      <w:lang w:val="en-US" w:eastAsia="zh-CN"/>
                    </w:rPr>
                    <w:t>、点火装置（距离地面高度约为0.5m）</w:t>
                  </w:r>
                  <w:r>
                    <w:rPr>
                      <w:rFonts w:hint="default" w:ascii="Times New Roman" w:hAnsi="Times New Roman" w:eastAsia="宋体" w:cs="Times New Roman"/>
                      <w:b w:val="0"/>
                      <w:bCs w:val="0"/>
                      <w:color w:val="auto"/>
                      <w:sz w:val="21"/>
                      <w:szCs w:val="21"/>
                      <w:vertAlign w:val="baseline"/>
                      <w:lang w:val="en-US" w:eastAsia="zh-CN"/>
                    </w:rPr>
                    <w:t>、放喷管线、灭火器、铁锹及沙袋、临时土围堰。</w:t>
                  </w:r>
                </w:p>
              </w:tc>
            </w:tr>
            <w:tr w14:paraId="6E71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14:paraId="65E935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1586" w:type="dxa"/>
                  <w:gridSpan w:val="2"/>
                  <w:vAlign w:val="center"/>
                </w:tcPr>
                <w:p w14:paraId="2869D3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井口基础</w:t>
                  </w:r>
                </w:p>
              </w:tc>
              <w:tc>
                <w:tcPr>
                  <w:tcW w:w="6118" w:type="dxa"/>
                  <w:vAlign w:val="center"/>
                </w:tcPr>
                <w:p w14:paraId="62992D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加固井口，方便其他配套设施安装</w:t>
                  </w:r>
                  <w:r>
                    <w:rPr>
                      <w:rFonts w:hint="eastAsia" w:ascii="Times New Roman" w:hAnsi="Times New Roman" w:eastAsia="宋体" w:cs="Times New Roman"/>
                      <w:b w:val="0"/>
                      <w:bCs w:val="0"/>
                      <w:color w:val="auto"/>
                      <w:sz w:val="21"/>
                      <w:szCs w:val="21"/>
                      <w:vertAlign w:val="baseline"/>
                      <w:lang w:val="en-US" w:eastAsia="zh-CN"/>
                    </w:rPr>
                    <w:t>。</w:t>
                  </w:r>
                </w:p>
              </w:tc>
            </w:tr>
            <w:tr w14:paraId="4D57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BCA62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1D6920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生活区</w:t>
                  </w:r>
                </w:p>
              </w:tc>
              <w:tc>
                <w:tcPr>
                  <w:tcW w:w="6118" w:type="dxa"/>
                  <w:vAlign w:val="center"/>
                </w:tcPr>
                <w:p w14:paraId="429E3A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米107-6MX生活区位于井场西南侧约230m处，面积约为1200m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；米107-10MX生活区位于井场东南侧约67m处，面积约为1200m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；米107-11M生活区位于井场西北侧约194米处，面积约为1200m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；米107-12M生活区位于井场东北侧约141米处，面积约为1400m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；米107-15M生活区位于井场西南侧约597米处，面积约为1600m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；米107-34M生活区位于井场北侧约345米处，面积约为1200m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r>
            <w:tr w14:paraId="297D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35C3DB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61E190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临时进场道路</w:t>
                  </w:r>
                </w:p>
              </w:tc>
              <w:tc>
                <w:tcPr>
                  <w:tcW w:w="6118" w:type="dxa"/>
                  <w:vAlign w:val="center"/>
                </w:tcPr>
                <w:p w14:paraId="0CE000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米107-6MX进场道路长度为89米；米107-10MX、米107-11M、米107-15M、米107-34M依托现有道路；米107-12M进场道路长度为25米</w:t>
                  </w:r>
                </w:p>
              </w:tc>
            </w:tr>
            <w:tr w14:paraId="6602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044345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restart"/>
                  <w:vAlign w:val="center"/>
                </w:tcPr>
                <w:p w14:paraId="79B38C8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宋体"/>
                      <w:color w:val="auto"/>
                      <w:lang w:val="en-US" w:eastAsia="zh-CN"/>
                    </w:rPr>
                  </w:pPr>
                  <w:r>
                    <w:rPr>
                      <w:rFonts w:hint="default" w:ascii="Times New Roman" w:hAnsi="Times New Roman" w:cs="Times New Roman"/>
                      <w:color w:val="auto"/>
                      <w:sz w:val="21"/>
                      <w:szCs w:val="21"/>
                      <w:lang w:val="en-US" w:eastAsia="zh-CN"/>
                    </w:rPr>
                    <w:t>临时堆场</w:t>
                  </w:r>
                </w:p>
              </w:tc>
              <w:tc>
                <w:tcPr>
                  <w:tcW w:w="1249" w:type="dxa"/>
                  <w:vAlign w:val="center"/>
                </w:tcPr>
                <w:p w14:paraId="3F832B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u w:val="none"/>
                      <w:vertAlign w:val="baseline"/>
                      <w:lang w:val="en-US" w:eastAsia="zh-CN"/>
                    </w:rPr>
                    <w:t>米107-6MX</w:t>
                  </w:r>
                </w:p>
              </w:tc>
              <w:tc>
                <w:tcPr>
                  <w:tcW w:w="6118" w:type="dxa"/>
                  <w:vAlign w:val="center"/>
                </w:tcPr>
                <w:p w14:paraId="55B1739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宋体"/>
                      <w:color w:val="auto"/>
                      <w:lang w:val="en-US" w:eastAsia="zh-CN"/>
                    </w:rPr>
                  </w:pP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3000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3E92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5201D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4A4ED69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1249" w:type="dxa"/>
                  <w:vAlign w:val="center"/>
                </w:tcPr>
                <w:p w14:paraId="3BF595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u w:val="none"/>
                      <w:vertAlign w:val="baseline"/>
                      <w:lang w:val="en-US" w:eastAsia="zh-CN"/>
                    </w:rPr>
                    <w:t>米107-10MX</w:t>
                  </w:r>
                </w:p>
              </w:tc>
              <w:tc>
                <w:tcPr>
                  <w:tcW w:w="6118" w:type="dxa"/>
                  <w:vAlign w:val="center"/>
                </w:tcPr>
                <w:p w14:paraId="00887D8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2800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34C3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7B6CB9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78C18421">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1249" w:type="dxa"/>
                  <w:vAlign w:val="center"/>
                </w:tcPr>
                <w:p w14:paraId="3E254C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u w:val="none"/>
                      <w:vertAlign w:val="baseline"/>
                      <w:lang w:val="en-US" w:eastAsia="zh-CN"/>
                    </w:rPr>
                    <w:t>米107-11M</w:t>
                  </w:r>
                </w:p>
              </w:tc>
              <w:tc>
                <w:tcPr>
                  <w:tcW w:w="6118" w:type="dxa"/>
                  <w:vAlign w:val="center"/>
                </w:tcPr>
                <w:p w14:paraId="517A742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1800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3200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358B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D88F0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6ACBAD8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1249" w:type="dxa"/>
                  <w:vAlign w:val="center"/>
                </w:tcPr>
                <w:p w14:paraId="4B60E8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u w:val="none"/>
                      <w:vertAlign w:val="baseline"/>
                      <w:lang w:val="en-US" w:eastAsia="zh-CN"/>
                    </w:rPr>
                    <w:t>米107-12M</w:t>
                  </w:r>
                </w:p>
              </w:tc>
              <w:tc>
                <w:tcPr>
                  <w:tcW w:w="6118" w:type="dxa"/>
                  <w:vAlign w:val="center"/>
                </w:tcPr>
                <w:p w14:paraId="50617BB6">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1300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3200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0BFF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AFD52A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17565A0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1249" w:type="dxa"/>
                  <w:vAlign w:val="center"/>
                </w:tcPr>
                <w:p w14:paraId="7BE58A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u w:val="none"/>
                      <w:vertAlign w:val="baseline"/>
                      <w:lang w:val="en-US" w:eastAsia="zh-CN"/>
                    </w:rPr>
                    <w:t>米107-15M</w:t>
                  </w:r>
                </w:p>
              </w:tc>
              <w:tc>
                <w:tcPr>
                  <w:tcW w:w="6118" w:type="dxa"/>
                  <w:vAlign w:val="center"/>
                </w:tcPr>
                <w:p w14:paraId="139B3126">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1500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3200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7317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363B15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45D4897A">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1249" w:type="dxa"/>
                  <w:vAlign w:val="center"/>
                </w:tcPr>
                <w:p w14:paraId="3E001B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u w:val="none"/>
                      <w:vertAlign w:val="baseline"/>
                      <w:lang w:val="en-US" w:eastAsia="zh-CN"/>
                    </w:rPr>
                    <w:t>米107-34M</w:t>
                  </w:r>
                </w:p>
              </w:tc>
              <w:tc>
                <w:tcPr>
                  <w:tcW w:w="6118" w:type="dxa"/>
                  <w:vAlign w:val="center"/>
                </w:tcPr>
                <w:p w14:paraId="1BCF4E2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1500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3200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2638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14AB60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75D01A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物料区</w:t>
                  </w:r>
                </w:p>
              </w:tc>
              <w:tc>
                <w:tcPr>
                  <w:tcW w:w="6118" w:type="dxa"/>
                  <w:shd w:val="clear" w:color="auto" w:fill="auto"/>
                  <w:vAlign w:val="center"/>
                </w:tcPr>
                <w:p w14:paraId="034F39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单</w:t>
                  </w:r>
                  <w:r>
                    <w:rPr>
                      <w:rFonts w:hint="eastAsia" w:ascii="Times New Roman" w:hAnsi="Times New Roman" w:eastAsia="宋体" w:cs="Times New Roman"/>
                      <w:b w:val="0"/>
                      <w:bCs w:val="0"/>
                      <w:color w:val="auto"/>
                      <w:sz w:val="21"/>
                      <w:szCs w:val="21"/>
                      <w:vertAlign w:val="baseline"/>
                      <w:lang w:val="en-US" w:eastAsia="zh-CN"/>
                    </w:rPr>
                    <w:t>井场</w:t>
                  </w:r>
                  <w:r>
                    <w:rPr>
                      <w:rFonts w:hint="default" w:ascii="Times New Roman" w:hAnsi="Times New Roman" w:eastAsia="宋体" w:cs="Times New Roman"/>
                      <w:b w:val="0"/>
                      <w:bCs w:val="0"/>
                      <w:color w:val="auto"/>
                      <w:sz w:val="21"/>
                      <w:szCs w:val="21"/>
                      <w:vertAlign w:val="baseline"/>
                      <w:lang w:val="en-US" w:eastAsia="zh-CN"/>
                    </w:rPr>
                    <w:t>物料区占地面积</w:t>
                  </w:r>
                  <w:r>
                    <w:rPr>
                      <w:rFonts w:hint="eastAsia" w:ascii="Times New Roman" w:hAnsi="Times New Roman" w:eastAsia="宋体" w:cs="Times New Roman"/>
                      <w:b w:val="0"/>
                      <w:bCs w:val="0"/>
                      <w:color w:val="auto"/>
                      <w:sz w:val="21"/>
                      <w:szCs w:val="21"/>
                      <w:vertAlign w:val="baseline"/>
                      <w:lang w:val="en-US" w:eastAsia="zh-CN"/>
                    </w:rPr>
                    <w:t>6</w:t>
                  </w:r>
                  <w:r>
                    <w:rPr>
                      <w:rFonts w:hint="default" w:ascii="Times New Roman" w:hAnsi="Times New Roman" w:eastAsia="宋体" w:cs="Times New Roman"/>
                      <w:b w:val="0"/>
                      <w:bCs w:val="0"/>
                      <w:color w:val="auto"/>
                      <w:sz w:val="21"/>
                      <w:szCs w:val="21"/>
                      <w:vertAlign w:val="baseline"/>
                      <w:lang w:val="en-US" w:eastAsia="zh-CN"/>
                    </w:rPr>
                    <w:t>00m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cs="Times New Roman"/>
                      <w:color w:val="auto"/>
                      <w:sz w:val="21"/>
                      <w:szCs w:val="21"/>
                      <w:lang w:val="en-US" w:eastAsia="zh-CN"/>
                    </w:rPr>
                    <w:t>主要设有综合房、修理房、发电机房、井控房、</w:t>
                  </w:r>
                  <w:r>
                    <w:rPr>
                      <w:rFonts w:hint="eastAsia" w:ascii="Times New Roman" w:hAnsi="Times New Roman" w:cs="Times New Roman"/>
                      <w:color w:val="auto"/>
                      <w:sz w:val="21"/>
                      <w:szCs w:val="21"/>
                      <w:lang w:val="en-US" w:eastAsia="zh-CN"/>
                    </w:rPr>
                    <w:t>临时停车场</w:t>
                  </w:r>
                  <w:r>
                    <w:rPr>
                      <w:rFonts w:hint="default" w:ascii="Times New Roman" w:hAnsi="Times New Roman" w:cs="Times New Roman"/>
                      <w:color w:val="auto"/>
                      <w:sz w:val="21"/>
                      <w:szCs w:val="21"/>
                      <w:lang w:val="en-US" w:eastAsia="zh-CN"/>
                    </w:rPr>
                    <w:t>等</w:t>
                  </w:r>
                  <w:r>
                    <w:rPr>
                      <w:rFonts w:hint="eastAsia" w:ascii="Times New Roman" w:hAnsi="Times New Roman" w:cs="Times New Roman"/>
                      <w:color w:val="auto"/>
                      <w:sz w:val="21"/>
                      <w:szCs w:val="21"/>
                      <w:lang w:val="en-US" w:eastAsia="zh-CN"/>
                    </w:rPr>
                    <w:t>。</w:t>
                  </w:r>
                </w:p>
              </w:tc>
            </w:tr>
            <w:tr w14:paraId="4176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14:paraId="728B67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储运工程</w:t>
                  </w:r>
                </w:p>
              </w:tc>
              <w:tc>
                <w:tcPr>
                  <w:tcW w:w="1586" w:type="dxa"/>
                  <w:gridSpan w:val="2"/>
                  <w:vAlign w:val="center"/>
                </w:tcPr>
                <w:p w14:paraId="5EDB1A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储罐</w:t>
                  </w:r>
                </w:p>
              </w:tc>
              <w:tc>
                <w:tcPr>
                  <w:tcW w:w="6118" w:type="dxa"/>
                  <w:vAlign w:val="center"/>
                </w:tcPr>
                <w:p w14:paraId="1A3926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每个井场均设置2个75m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洗井废水罐、3个75m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压裂返排液罐、</w:t>
                  </w:r>
                  <w:r>
                    <w:rPr>
                      <w:rFonts w:hint="default" w:ascii="Times New Roman" w:hAnsi="Times New Roman" w:eastAsia="宋体" w:cs="Times New Roman"/>
                      <w:b w:val="0"/>
                      <w:bCs w:val="0"/>
                      <w:color w:val="auto"/>
                      <w:sz w:val="21"/>
                      <w:szCs w:val="21"/>
                      <w:highlight w:val="none"/>
                      <w:vertAlign w:val="baseline"/>
                      <w:lang w:val="en-US" w:eastAsia="zh-CN"/>
                    </w:rPr>
                    <w:t>3个100m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移动式泥饼和岩屑收集罐、1个10.6m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放喷废液收集罐</w:t>
                  </w:r>
                  <w:r>
                    <w:rPr>
                      <w:rFonts w:hint="eastAsia" w:ascii="Times New Roman" w:hAnsi="Times New Roman" w:eastAsia="宋体" w:cs="Times New Roman"/>
                      <w:b w:val="0"/>
                      <w:bCs w:val="0"/>
                      <w:color w:val="auto"/>
                      <w:sz w:val="21"/>
                      <w:szCs w:val="21"/>
                      <w:vertAlign w:val="baseline"/>
                      <w:lang w:val="en-US" w:eastAsia="zh-CN"/>
                    </w:rPr>
                    <w:t>、7个50m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泥浆循环罐</w:t>
                  </w:r>
                  <w:r>
                    <w:rPr>
                      <w:rFonts w:hint="default" w:ascii="Times New Roman" w:hAnsi="Times New Roman" w:eastAsia="宋体" w:cs="Times New Roman"/>
                      <w:b w:val="0"/>
                      <w:bCs w:val="0"/>
                      <w:color w:val="auto"/>
                      <w:sz w:val="21"/>
                      <w:szCs w:val="21"/>
                      <w:vertAlign w:val="baseline"/>
                      <w:lang w:val="en-US" w:eastAsia="zh-CN"/>
                    </w:rPr>
                    <w:t>，储罐区按照重点防渗区要求进行防渗处理。</w:t>
                  </w:r>
                </w:p>
              </w:tc>
            </w:tr>
            <w:tr w14:paraId="732E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14:paraId="0A0B2C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公用工程</w:t>
                  </w:r>
                </w:p>
              </w:tc>
              <w:tc>
                <w:tcPr>
                  <w:tcW w:w="1586" w:type="dxa"/>
                  <w:gridSpan w:val="2"/>
                  <w:vAlign w:val="center"/>
                </w:tcPr>
                <w:p w14:paraId="075F3A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供水</w:t>
                  </w:r>
                </w:p>
              </w:tc>
              <w:tc>
                <w:tcPr>
                  <w:tcW w:w="6118" w:type="dxa"/>
                  <w:vAlign w:val="center"/>
                </w:tcPr>
                <w:p w14:paraId="77AB64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生产用水采用水罐车拉运至井场，生活用水采用桶装水</w:t>
                  </w:r>
                  <w:r>
                    <w:rPr>
                      <w:rFonts w:hint="eastAsia" w:ascii="Times New Roman" w:hAnsi="Times New Roman" w:eastAsia="宋体" w:cs="Times New Roman"/>
                      <w:b w:val="0"/>
                      <w:bCs w:val="0"/>
                      <w:color w:val="auto"/>
                      <w:sz w:val="21"/>
                      <w:szCs w:val="21"/>
                      <w:vertAlign w:val="baseline"/>
                      <w:lang w:val="en-US" w:eastAsia="zh-CN"/>
                    </w:rPr>
                    <w:t>。</w:t>
                  </w:r>
                </w:p>
              </w:tc>
            </w:tr>
            <w:tr w14:paraId="0F5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93B6D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42630CC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供电</w:t>
                  </w:r>
                </w:p>
              </w:tc>
              <w:tc>
                <w:tcPr>
                  <w:tcW w:w="6118" w:type="dxa"/>
                  <w:vAlign w:val="center"/>
                </w:tcPr>
                <w:p w14:paraId="73D1AF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接入市政电网供电。</w:t>
                  </w:r>
                </w:p>
              </w:tc>
            </w:tr>
            <w:tr w14:paraId="31F4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86" w:type="dxa"/>
                  <w:vMerge w:val="continue"/>
                  <w:vAlign w:val="center"/>
                </w:tcPr>
                <w:p w14:paraId="55E5C1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5C5C4A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排水</w:t>
                  </w:r>
                </w:p>
              </w:tc>
              <w:tc>
                <w:tcPr>
                  <w:tcW w:w="6118" w:type="dxa"/>
                  <w:vAlign w:val="center"/>
                </w:tcPr>
                <w:p w14:paraId="761786DE">
                  <w:pPr>
                    <w:keepNext w:val="0"/>
                    <w:keepLines w:val="0"/>
                    <w:widowControl/>
                    <w:suppressLineNumbers w:val="0"/>
                    <w:jc w:val="left"/>
                    <w:rPr>
                      <w:rFonts w:hint="default" w:ascii="Times New Roman" w:hAnsi="Times New Roman" w:eastAsia="宋体" w:cs="Times New Roman"/>
                      <w:b w:val="0"/>
                      <w:bCs w:val="0"/>
                      <w:color w:val="auto"/>
                      <w:sz w:val="21"/>
                      <w:szCs w:val="21"/>
                      <w:vertAlign w:val="baseline"/>
                      <w:lang w:val="en-US" w:eastAsia="zh-CN"/>
                    </w:rPr>
                  </w:pPr>
                  <w:r>
                    <w:rPr>
                      <w:color w:val="auto"/>
                      <w:sz w:val="21"/>
                      <w:szCs w:val="21"/>
                    </w:rPr>
                    <w:t>项目采取</w:t>
                  </w:r>
                  <w:r>
                    <w:rPr>
                      <w:rFonts w:hint="eastAsia"/>
                      <w:color w:val="auto"/>
                      <w:sz w:val="21"/>
                      <w:szCs w:val="21"/>
                    </w:rPr>
                    <w:t>清污</w:t>
                  </w:r>
                  <w:r>
                    <w:rPr>
                      <w:color w:val="auto"/>
                      <w:sz w:val="21"/>
                      <w:szCs w:val="21"/>
                    </w:rPr>
                    <w:t>分流制，生产废水</w:t>
                  </w:r>
                  <w:r>
                    <w:rPr>
                      <w:rFonts w:hint="eastAsia" w:eastAsia="宋体"/>
                      <w:color w:val="auto"/>
                      <w:sz w:val="21"/>
                      <w:szCs w:val="21"/>
                      <w:lang w:val="en-US" w:eastAsia="zh-CN"/>
                    </w:rPr>
                    <w:t>交陕西榆佳环保科技有限公司处置</w:t>
                  </w:r>
                  <w:r>
                    <w:rPr>
                      <w:color w:val="auto"/>
                      <w:sz w:val="21"/>
                      <w:szCs w:val="21"/>
                    </w:rPr>
                    <w:t>；场地内设环保厕所，定期清掏外运肥田。</w:t>
                  </w:r>
                </w:p>
              </w:tc>
            </w:tr>
            <w:tr w14:paraId="1A59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14:paraId="2BB015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337" w:type="dxa"/>
                  <w:vMerge w:val="restart"/>
                  <w:vAlign w:val="center"/>
                </w:tcPr>
                <w:p w14:paraId="2F60B2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1249" w:type="dxa"/>
                  <w:vAlign w:val="center"/>
                </w:tcPr>
                <w:p w14:paraId="667579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施工扬尘</w:t>
                  </w:r>
                </w:p>
              </w:tc>
              <w:tc>
                <w:tcPr>
                  <w:tcW w:w="6118" w:type="dxa"/>
                  <w:vAlign w:val="center"/>
                </w:tcPr>
                <w:p w14:paraId="156CD6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井场设置施工围挡，洒水抑尘，表土及建材堆放设置挡板并采用篷布遮盖，施工运输车辆采用密闭措施</w:t>
                  </w:r>
                  <w:r>
                    <w:rPr>
                      <w:rFonts w:hint="eastAsia" w:ascii="Times New Roman" w:hAnsi="Times New Roman" w:eastAsia="宋体" w:cs="Times New Roman"/>
                      <w:b w:val="0"/>
                      <w:bCs w:val="0"/>
                      <w:color w:val="auto"/>
                      <w:sz w:val="21"/>
                      <w:szCs w:val="21"/>
                      <w:vertAlign w:val="baseline"/>
                      <w:lang w:val="en-US" w:eastAsia="zh-CN"/>
                    </w:rPr>
                    <w:t>。</w:t>
                  </w:r>
                </w:p>
              </w:tc>
            </w:tr>
            <w:tr w14:paraId="0BBC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3935D1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6AB76C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49" w:type="dxa"/>
                  <w:vAlign w:val="center"/>
                </w:tcPr>
                <w:p w14:paraId="249552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测试废气</w:t>
                  </w:r>
                </w:p>
              </w:tc>
              <w:tc>
                <w:tcPr>
                  <w:tcW w:w="6118" w:type="dxa"/>
                  <w:vAlign w:val="center"/>
                </w:tcPr>
                <w:p w14:paraId="7A597D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每个井场均</w:t>
                  </w:r>
                  <w:r>
                    <w:rPr>
                      <w:rFonts w:hint="default" w:ascii="Times New Roman" w:hAnsi="Times New Roman" w:eastAsia="宋体" w:cs="Times New Roman"/>
                      <w:b w:val="0"/>
                      <w:bCs w:val="0"/>
                      <w:color w:val="auto"/>
                      <w:sz w:val="21"/>
                      <w:szCs w:val="21"/>
                      <w:highlight w:val="none"/>
                      <w:vertAlign w:val="baseline"/>
                      <w:lang w:val="en-US" w:eastAsia="zh-CN"/>
                    </w:rPr>
                    <w:t>设置</w:t>
                  </w:r>
                  <w:r>
                    <w:rPr>
                      <w:rFonts w:hint="eastAsia" w:ascii="Times New Roman" w:hAnsi="Times New Roman" w:eastAsia="宋体" w:cs="Times New Roman"/>
                      <w:b w:val="0"/>
                      <w:bCs w:val="0"/>
                      <w:color w:val="auto"/>
                      <w:sz w:val="21"/>
                      <w:szCs w:val="21"/>
                      <w:highlight w:val="none"/>
                      <w:vertAlign w:val="baseline"/>
                      <w:lang w:val="en-US" w:eastAsia="zh-CN"/>
                    </w:rPr>
                    <w:t>放喷池1</w:t>
                  </w:r>
                  <w:r>
                    <w:rPr>
                      <w:rFonts w:hint="default" w:ascii="Times New Roman" w:hAnsi="Times New Roman" w:eastAsia="宋体" w:cs="Times New Roman"/>
                      <w:b w:val="0"/>
                      <w:bCs w:val="0"/>
                      <w:color w:val="auto"/>
                      <w:sz w:val="21"/>
                      <w:szCs w:val="21"/>
                      <w:highlight w:val="none"/>
                      <w:vertAlign w:val="baseline"/>
                      <w:lang w:val="en-US" w:eastAsia="zh-CN"/>
                    </w:rPr>
                    <w:t>座，测试放喷及事故放喷的天然气经专用放喷管线引至</w:t>
                  </w:r>
                  <w:r>
                    <w:rPr>
                      <w:rFonts w:hint="eastAsia" w:ascii="Times New Roman" w:hAnsi="Times New Roman" w:eastAsia="宋体" w:cs="Times New Roman"/>
                      <w:b w:val="0"/>
                      <w:bCs w:val="0"/>
                      <w:color w:val="auto"/>
                      <w:sz w:val="21"/>
                      <w:szCs w:val="21"/>
                      <w:highlight w:val="none"/>
                      <w:vertAlign w:val="baseline"/>
                      <w:lang w:val="en-US" w:eastAsia="zh-CN"/>
                    </w:rPr>
                    <w:t>放喷池</w:t>
                  </w:r>
                  <w:r>
                    <w:rPr>
                      <w:rFonts w:hint="default" w:ascii="Times New Roman" w:hAnsi="Times New Roman" w:eastAsia="宋体" w:cs="Times New Roman"/>
                      <w:b w:val="0"/>
                      <w:bCs w:val="0"/>
                      <w:color w:val="auto"/>
                      <w:sz w:val="21"/>
                      <w:szCs w:val="21"/>
                      <w:highlight w:val="none"/>
                      <w:vertAlign w:val="baseline"/>
                      <w:lang w:val="en-US" w:eastAsia="zh-CN"/>
                    </w:rPr>
                    <w:t>后，</w:t>
                  </w:r>
                  <w:r>
                    <w:rPr>
                      <w:rFonts w:hint="eastAsia" w:ascii="Times New Roman" w:hAnsi="Times New Roman" w:eastAsia="宋体" w:cs="Times New Roman"/>
                      <w:b w:val="0"/>
                      <w:bCs w:val="0"/>
                      <w:color w:val="auto"/>
                      <w:sz w:val="21"/>
                      <w:szCs w:val="21"/>
                      <w:highlight w:val="none"/>
                      <w:vertAlign w:val="baseline"/>
                      <w:lang w:val="en-US" w:eastAsia="zh-CN"/>
                    </w:rPr>
                    <w:t>燃烧排放</w:t>
                  </w:r>
                  <w:r>
                    <w:rPr>
                      <w:rFonts w:hint="default" w:ascii="Times New Roman" w:hAnsi="Times New Roman" w:eastAsia="宋体" w:cs="Times New Roman"/>
                      <w:b w:val="0"/>
                      <w:bCs w:val="0"/>
                      <w:color w:val="auto"/>
                      <w:sz w:val="21"/>
                      <w:szCs w:val="21"/>
                      <w:highlight w:val="none"/>
                      <w:vertAlign w:val="baseline"/>
                      <w:lang w:val="en-US" w:eastAsia="zh-CN"/>
                    </w:rPr>
                    <w:t>。</w:t>
                  </w:r>
                </w:p>
              </w:tc>
            </w:tr>
            <w:tr w14:paraId="18AA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0B39CE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restart"/>
                  <w:vAlign w:val="center"/>
                </w:tcPr>
                <w:p w14:paraId="0893EA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w:t>
                  </w:r>
                </w:p>
              </w:tc>
              <w:tc>
                <w:tcPr>
                  <w:tcW w:w="1249" w:type="dxa"/>
                  <w:vAlign w:val="center"/>
                </w:tcPr>
                <w:p w14:paraId="42B42E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w:t>
                  </w:r>
                </w:p>
              </w:tc>
              <w:tc>
                <w:tcPr>
                  <w:tcW w:w="6118" w:type="dxa"/>
                  <w:vAlign w:val="center"/>
                </w:tcPr>
                <w:p w14:paraId="5BF5EA38">
                  <w:pPr>
                    <w:keepNext w:val="0"/>
                    <w:keepLines w:val="0"/>
                    <w:widowControl/>
                    <w:suppressLineNumbers w:val="0"/>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钻井废水经泥浆水循环系统处理后优先作为钻井液配水回用，钻井结束后，不能回用的钻井废水委托</w:t>
                  </w:r>
                  <w:r>
                    <w:rPr>
                      <w:rFonts w:hint="eastAsia" w:cs="Times New Roman"/>
                      <w:color w:val="auto"/>
                      <w:sz w:val="21"/>
                      <w:szCs w:val="21"/>
                      <w:lang w:val="en-US" w:eastAsia="zh-CN"/>
                    </w:rPr>
                    <w:t>陕西榆佳环保科技有限公司</w:t>
                  </w:r>
                  <w:r>
                    <w:rPr>
                      <w:rFonts w:hint="eastAsia" w:ascii="Times New Roman" w:hAnsi="Times New Roman" w:eastAsia="宋体" w:cs="Times New Roman"/>
                      <w:b w:val="0"/>
                      <w:bCs w:val="0"/>
                      <w:color w:val="auto"/>
                      <w:sz w:val="21"/>
                      <w:szCs w:val="21"/>
                      <w:vertAlign w:val="baseline"/>
                      <w:lang w:val="en-US" w:eastAsia="zh-CN"/>
                    </w:rPr>
                    <w:t>外运处理。</w:t>
                  </w:r>
                </w:p>
              </w:tc>
            </w:tr>
            <w:tr w14:paraId="714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0700F6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092C17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49" w:type="dxa"/>
                  <w:vAlign w:val="center"/>
                </w:tcPr>
                <w:p w14:paraId="639ECB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w:t>
                  </w:r>
                </w:p>
              </w:tc>
              <w:tc>
                <w:tcPr>
                  <w:tcW w:w="6118" w:type="dxa"/>
                  <w:vAlign w:val="center"/>
                </w:tcPr>
                <w:p w14:paraId="5D2E0856">
                  <w:pPr>
                    <w:pStyle w:val="29"/>
                    <w:bidi w:val="0"/>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每个井场均设有2个75m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洗井废水储罐，施工产生的洗井废水临时收集贮存于洗井废水储罐中，委托</w:t>
                  </w:r>
                  <w:r>
                    <w:rPr>
                      <w:rFonts w:hint="eastAsia" w:cs="Times New Roman"/>
                      <w:color w:val="auto"/>
                      <w:sz w:val="21"/>
                      <w:szCs w:val="21"/>
                      <w:lang w:val="en-US" w:eastAsia="zh-CN"/>
                    </w:rPr>
                    <w:t>陕西榆佳环保科技有限公司</w:t>
                  </w:r>
                  <w:r>
                    <w:rPr>
                      <w:rFonts w:hint="eastAsia" w:cs="Times New Roman"/>
                      <w:color w:val="auto"/>
                      <w:sz w:val="21"/>
                      <w:szCs w:val="21"/>
                      <w:highlight w:val="none"/>
                      <w:lang w:val="en-US" w:eastAsia="zh-CN"/>
                    </w:rPr>
                    <w:t>外运处理。</w:t>
                  </w:r>
                </w:p>
              </w:tc>
            </w:tr>
            <w:tr w14:paraId="0049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686" w:type="dxa"/>
                  <w:vMerge w:val="continue"/>
                  <w:vAlign w:val="center"/>
                </w:tcPr>
                <w:p w14:paraId="0DC723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2A4307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49" w:type="dxa"/>
                  <w:vAlign w:val="center"/>
                </w:tcPr>
                <w:p w14:paraId="23DC09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压裂返排液</w:t>
                  </w:r>
                </w:p>
              </w:tc>
              <w:tc>
                <w:tcPr>
                  <w:tcW w:w="6118" w:type="dxa"/>
                  <w:vAlign w:val="center"/>
                </w:tcPr>
                <w:p w14:paraId="5F5DD68B">
                  <w:pPr>
                    <w:pStyle w:val="29"/>
                    <w:bidi w:val="0"/>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每个井场均设有3个75m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压裂返排液储罐，施工产生的压裂返排液临时收集贮存于压裂返排液储罐中，委托</w:t>
                  </w:r>
                  <w:r>
                    <w:rPr>
                      <w:rFonts w:hint="eastAsia" w:cs="Times New Roman"/>
                      <w:color w:val="auto"/>
                      <w:sz w:val="21"/>
                      <w:szCs w:val="21"/>
                      <w:lang w:val="en-US" w:eastAsia="zh-CN"/>
                    </w:rPr>
                    <w:t>陕西榆佳环保科技有限公司外运处理</w:t>
                  </w:r>
                  <w:r>
                    <w:rPr>
                      <w:rFonts w:hint="default" w:ascii="Times New Roman" w:hAnsi="Times New Roman" w:cs="Times New Roman"/>
                      <w:color w:val="auto"/>
                      <w:sz w:val="21"/>
                      <w:szCs w:val="21"/>
                      <w:lang w:val="en-US" w:eastAsia="zh-CN"/>
                    </w:rPr>
                    <w:t>。</w:t>
                  </w:r>
                </w:p>
              </w:tc>
            </w:tr>
            <w:tr w14:paraId="15B8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39097F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0AFBD4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49" w:type="dxa"/>
                  <w:vAlign w:val="center"/>
                </w:tcPr>
                <w:p w14:paraId="757D89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放喷废水</w:t>
                  </w:r>
                </w:p>
              </w:tc>
              <w:tc>
                <w:tcPr>
                  <w:tcW w:w="6118" w:type="dxa"/>
                  <w:vAlign w:val="center"/>
                </w:tcPr>
                <w:p w14:paraId="78FAEEC1">
                  <w:pPr>
                    <w:pStyle w:val="29"/>
                    <w:bidi w:val="0"/>
                    <w:ind w:firstLine="0" w:firstLineChars="0"/>
                    <w:jc w:val="both"/>
                    <w:rPr>
                      <w:rFonts w:hint="eastAsia" w:cs="Times New Roman"/>
                      <w:b w:val="0"/>
                      <w:bCs w:val="0"/>
                      <w:color w:val="auto"/>
                      <w:sz w:val="21"/>
                      <w:szCs w:val="21"/>
                      <w:vertAlign w:val="baseline"/>
                      <w:lang w:val="en-US" w:eastAsia="zh-CN"/>
                    </w:rPr>
                  </w:pPr>
                  <w:r>
                    <w:rPr>
                      <w:rFonts w:hint="eastAsia"/>
                      <w:color w:val="auto"/>
                      <w:sz w:val="21"/>
                      <w:szCs w:val="21"/>
                      <w:highlight w:val="none"/>
                      <w:lang w:val="en-US" w:eastAsia="zh-CN"/>
                    </w:rPr>
                    <w:t>收集至井场内放喷池暂存，</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3B63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7A5C62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7" w:type="dxa"/>
                  <w:vMerge w:val="continue"/>
                  <w:vAlign w:val="center"/>
                </w:tcPr>
                <w:p w14:paraId="0C32BE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49" w:type="dxa"/>
                  <w:vAlign w:val="center"/>
                </w:tcPr>
                <w:p w14:paraId="0F96AB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118" w:type="dxa"/>
                  <w:vAlign w:val="center"/>
                </w:tcPr>
                <w:p w14:paraId="2D1B3172">
                  <w:pPr>
                    <w:pStyle w:val="29"/>
                    <w:bidi w:val="0"/>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由环保卫生旱厕收集后由用于周边农田施肥。</w:t>
                  </w:r>
                </w:p>
              </w:tc>
            </w:tr>
            <w:tr w14:paraId="091B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686" w:type="dxa"/>
                  <w:vMerge w:val="continue"/>
                  <w:vAlign w:val="center"/>
                </w:tcPr>
                <w:p w14:paraId="69D225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Merge w:val="restart"/>
                  <w:vAlign w:val="center"/>
                </w:tcPr>
                <w:p w14:paraId="5C5C47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w:t>
                  </w:r>
                </w:p>
              </w:tc>
              <w:tc>
                <w:tcPr>
                  <w:tcW w:w="6118" w:type="dxa"/>
                  <w:vAlign w:val="center"/>
                </w:tcPr>
                <w:p w14:paraId="04DB2226">
                  <w:pPr>
                    <w:keepNext w:val="0"/>
                    <w:keepLines w:val="0"/>
                    <w:widowControl/>
                    <w:suppressLineNumbers w:val="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放喷池</w:t>
                  </w:r>
                  <w:r>
                    <w:rPr>
                      <w:rFonts w:hint="default" w:ascii="Times New Roman" w:hAnsi="Times New Roman" w:eastAsia="宋体" w:cs="Times New Roman"/>
                      <w:b w:val="0"/>
                      <w:bCs w:val="0"/>
                      <w:color w:val="auto"/>
                      <w:sz w:val="21"/>
                      <w:szCs w:val="21"/>
                      <w:vertAlign w:val="baseline"/>
                      <w:lang w:val="en-US" w:eastAsia="zh-CN"/>
                    </w:rPr>
                    <w:t>防渗措施：池底填筑一定厚度的土壤后压实，池底及四周铺设</w:t>
                  </w:r>
                  <w:r>
                    <w:rPr>
                      <w:rFonts w:hint="eastAsia" w:ascii="Times New Roman" w:hAnsi="Times New Roman" w:eastAsia="宋体" w:cs="Times New Roman"/>
                      <w:b w:val="0"/>
                      <w:bCs w:val="0"/>
                      <w:color w:val="auto"/>
                      <w:sz w:val="21"/>
                      <w:szCs w:val="21"/>
                      <w:vertAlign w:val="baseline"/>
                      <w:lang w:val="en-US" w:eastAsia="zh-CN"/>
                    </w:rPr>
                    <w:t>防渗膜</w:t>
                  </w:r>
                  <w:r>
                    <w:rPr>
                      <w:rFonts w:hint="default" w:ascii="Times New Roman" w:hAnsi="Times New Roman" w:eastAsia="宋体" w:cs="Times New Roman"/>
                      <w:b w:val="0"/>
                      <w:bCs w:val="0"/>
                      <w:color w:val="auto"/>
                      <w:sz w:val="21"/>
                      <w:szCs w:val="21"/>
                      <w:vertAlign w:val="baseline"/>
                      <w:lang w:val="en-US" w:eastAsia="zh-CN"/>
                    </w:rPr>
                    <w:t>作防渗漏处理，</w:t>
                  </w:r>
                  <w:r>
                    <w:rPr>
                      <w:rFonts w:hint="eastAsia" w:ascii="Times New Roman" w:hAnsi="Times New Roman" w:eastAsia="宋体" w:cs="Times New Roman"/>
                      <w:b w:val="0"/>
                      <w:bCs w:val="0"/>
                      <w:color w:val="auto"/>
                      <w:sz w:val="21"/>
                      <w:szCs w:val="21"/>
                      <w:vertAlign w:val="baseline"/>
                      <w:lang w:val="en-US" w:eastAsia="zh-CN"/>
                    </w:rPr>
                    <w:t>防渗膜</w:t>
                  </w:r>
                  <w:r>
                    <w:rPr>
                      <w:rFonts w:hint="default" w:ascii="Times New Roman" w:hAnsi="Times New Roman" w:eastAsia="宋体" w:cs="Times New Roman"/>
                      <w:b w:val="0"/>
                      <w:bCs w:val="0"/>
                      <w:color w:val="auto"/>
                      <w:sz w:val="21"/>
                      <w:szCs w:val="21"/>
                      <w:vertAlign w:val="baseline"/>
                      <w:lang w:val="en-US" w:eastAsia="zh-CN"/>
                    </w:rPr>
                    <w:t>搭接长度不小于300mm，等效黏土防渗层Mb≥6.0m，K≤1×10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w:t>
                  </w:r>
                  <w:r>
                    <w:rPr>
                      <w:rFonts w:hint="eastAsia" w:ascii="Times New Roman" w:hAnsi="Times New Roman" w:eastAsia="宋体" w:cs="Times New Roman"/>
                      <w:b w:val="0"/>
                      <w:bCs w:val="0"/>
                      <w:color w:val="auto"/>
                      <w:sz w:val="21"/>
                      <w:szCs w:val="21"/>
                      <w:vertAlign w:val="baseline"/>
                      <w:lang w:val="en-US" w:eastAsia="zh-CN"/>
                    </w:rPr>
                    <w:t>。</w:t>
                  </w:r>
                </w:p>
              </w:tc>
            </w:tr>
            <w:tr w14:paraId="3EE7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3AE7E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Merge w:val="continue"/>
                  <w:vAlign w:val="center"/>
                </w:tcPr>
                <w:p w14:paraId="7F8A18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18" w:type="dxa"/>
                  <w:vAlign w:val="center"/>
                </w:tcPr>
                <w:p w14:paraId="104B5F53">
                  <w:pPr>
                    <w:keepNext w:val="0"/>
                    <w:keepLines w:val="0"/>
                    <w:widowControl/>
                    <w:suppressLineNumbers w:val="0"/>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危废贮存库</w:t>
                  </w:r>
                  <w:r>
                    <w:rPr>
                      <w:rFonts w:hint="default" w:ascii="Times New Roman" w:hAnsi="Times New Roman" w:eastAsia="宋体" w:cs="Times New Roman"/>
                      <w:b w:val="0"/>
                      <w:bCs w:val="0"/>
                      <w:color w:val="auto"/>
                      <w:sz w:val="21"/>
                      <w:szCs w:val="21"/>
                      <w:vertAlign w:val="baseline"/>
                      <w:lang w:val="en-US" w:eastAsia="zh-CN"/>
                    </w:rPr>
                    <w:t>防渗措施：采用撬装式危废</w:t>
                  </w:r>
                  <w:r>
                    <w:rPr>
                      <w:rFonts w:hint="eastAsia" w:ascii="Times New Roman" w:hAnsi="Times New Roman" w:eastAsia="宋体" w:cs="Times New Roman"/>
                      <w:b w:val="0"/>
                      <w:bCs w:val="0"/>
                      <w:color w:val="auto"/>
                      <w:sz w:val="21"/>
                      <w:szCs w:val="21"/>
                      <w:vertAlign w:val="baseline"/>
                      <w:lang w:val="en-US" w:eastAsia="zh-CN"/>
                    </w:rPr>
                    <w:t>贮存库</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内部</w:t>
                  </w:r>
                  <w:r>
                    <w:rPr>
                      <w:rFonts w:hint="default" w:ascii="Times New Roman" w:hAnsi="Times New Roman" w:eastAsia="宋体" w:cs="Times New Roman"/>
                      <w:b w:val="0"/>
                      <w:bCs w:val="0"/>
                      <w:color w:val="auto"/>
                      <w:sz w:val="21"/>
                      <w:szCs w:val="21"/>
                      <w:vertAlign w:val="baseline"/>
                      <w:lang w:val="en-US" w:eastAsia="zh-CN"/>
                    </w:rPr>
                    <w:t>防渗</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同时可满足《危险废物贮存污染控制标准》（GB18597-2023）相关要求，防渗层渗透系数小于1×10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w:t>
                  </w:r>
                  <w:r>
                    <w:rPr>
                      <w:rFonts w:hint="eastAsia" w:ascii="Times New Roman" w:hAnsi="Times New Roman" w:eastAsia="宋体" w:cs="Times New Roman"/>
                      <w:b w:val="0"/>
                      <w:bCs w:val="0"/>
                      <w:color w:val="auto"/>
                      <w:sz w:val="21"/>
                      <w:szCs w:val="21"/>
                      <w:vertAlign w:val="baseline"/>
                      <w:lang w:val="en-US" w:eastAsia="zh-CN"/>
                    </w:rPr>
                    <w:t>。</w:t>
                  </w:r>
                </w:p>
              </w:tc>
            </w:tr>
            <w:tr w14:paraId="022F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712E5D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Merge w:val="restart"/>
                  <w:vAlign w:val="center"/>
                </w:tcPr>
                <w:p w14:paraId="76808D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6118" w:type="dxa"/>
                  <w:vAlign w:val="center"/>
                </w:tcPr>
                <w:p w14:paraId="140969CB">
                  <w:pPr>
                    <w:keepNext w:val="0"/>
                    <w:keepLines w:val="0"/>
                    <w:widowControl/>
                    <w:suppressLineNumbers w:val="0"/>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泥饼</w:t>
                  </w:r>
                  <w:r>
                    <w:rPr>
                      <w:rFonts w:hint="default" w:ascii="Times New Roman" w:hAnsi="Times New Roman" w:eastAsia="宋体" w:cs="Times New Roman"/>
                      <w:b w:val="0"/>
                      <w:bCs w:val="0"/>
                      <w:color w:val="auto"/>
                      <w:sz w:val="21"/>
                      <w:szCs w:val="21"/>
                      <w:vertAlign w:val="baseline"/>
                      <w:lang w:val="en-US" w:eastAsia="zh-CN"/>
                    </w:rPr>
                    <w:t>、钻井岩屑：分别暂存于移动式收集罐内，施工结束后委托</w:t>
                  </w:r>
                  <w:r>
                    <w:rPr>
                      <w:rFonts w:hint="eastAsia" w:ascii="Times New Roman" w:hAnsi="Times New Roman" w:eastAsia="宋体" w:cs="Times New Roman"/>
                      <w:b w:val="0"/>
                      <w:bCs w:val="0"/>
                      <w:color w:val="auto"/>
                      <w:sz w:val="21"/>
                      <w:szCs w:val="21"/>
                      <w:vertAlign w:val="baseline"/>
                      <w:lang w:val="en-US" w:eastAsia="zh-CN"/>
                    </w:rPr>
                    <w:t>陕西德禾鑫盛环保科技有限公司</w:t>
                  </w:r>
                  <w:r>
                    <w:rPr>
                      <w:rFonts w:hint="default" w:ascii="Times New Roman" w:hAnsi="Times New Roman" w:eastAsia="宋体" w:cs="Times New Roman"/>
                      <w:b w:val="0"/>
                      <w:bCs w:val="0"/>
                      <w:color w:val="auto"/>
                      <w:sz w:val="21"/>
                      <w:szCs w:val="21"/>
                      <w:vertAlign w:val="baseline"/>
                      <w:lang w:val="en-US" w:eastAsia="zh-CN"/>
                    </w:rPr>
                    <w:t>外运处理。由防渗漏、防抛洒、防扬尘的运输车辆统一外运处置。</w:t>
                  </w:r>
                </w:p>
              </w:tc>
            </w:tr>
            <w:tr w14:paraId="5852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04CE7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Merge w:val="continue"/>
                  <w:vAlign w:val="center"/>
                </w:tcPr>
                <w:p w14:paraId="20EB73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18" w:type="dxa"/>
                  <w:vAlign w:val="center"/>
                </w:tcPr>
                <w:p w14:paraId="09A7D5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废机油：暂存于</w:t>
                  </w:r>
                  <w:r>
                    <w:rPr>
                      <w:rFonts w:hint="eastAsia" w:ascii="Times New Roman" w:hAnsi="Times New Roman" w:eastAsia="宋体" w:cs="Times New Roman"/>
                      <w:b w:val="0"/>
                      <w:bCs w:val="0"/>
                      <w:color w:val="auto"/>
                      <w:sz w:val="21"/>
                      <w:szCs w:val="21"/>
                      <w:vertAlign w:val="baseline"/>
                      <w:lang w:val="en-US" w:eastAsia="zh-CN"/>
                    </w:rPr>
                    <w:t>撬装式危废贮存库</w:t>
                  </w:r>
                  <w:r>
                    <w:rPr>
                      <w:rFonts w:hint="default" w:ascii="Times New Roman" w:hAnsi="Times New Roman" w:eastAsia="宋体" w:cs="Times New Roman"/>
                      <w:b w:val="0"/>
                      <w:bCs w:val="0"/>
                      <w:color w:val="auto"/>
                      <w:sz w:val="21"/>
                      <w:szCs w:val="21"/>
                      <w:vertAlign w:val="baseline"/>
                      <w:lang w:val="en-US" w:eastAsia="zh-CN"/>
                    </w:rPr>
                    <w:t>，委托有资质单位进行处置。</w:t>
                  </w:r>
                </w:p>
              </w:tc>
            </w:tr>
            <w:tr w14:paraId="2D1A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40818B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Merge w:val="continue"/>
                  <w:vAlign w:val="center"/>
                </w:tcPr>
                <w:p w14:paraId="2601CB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18" w:type="dxa"/>
                  <w:vAlign w:val="center"/>
                </w:tcPr>
                <w:p w14:paraId="4770B2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废包装袋、废弃防渗膜：废包装袋与未沾染危险废物的废防渗膜集中收集后交由物资回收公司进行回收再利用；沾染危险废物的废防渗膜，属于危险废物，暂存于</w:t>
                  </w:r>
                  <w:r>
                    <w:rPr>
                      <w:rFonts w:hint="eastAsia" w:ascii="Times New Roman" w:hAnsi="Times New Roman" w:eastAsia="宋体" w:cs="Times New Roman"/>
                      <w:b w:val="0"/>
                      <w:bCs w:val="0"/>
                      <w:color w:val="auto"/>
                      <w:sz w:val="21"/>
                      <w:szCs w:val="21"/>
                      <w:vertAlign w:val="baseline"/>
                      <w:lang w:val="en-US" w:eastAsia="zh-CN"/>
                    </w:rPr>
                    <w:t>撬装式危废贮存库</w:t>
                  </w:r>
                  <w:r>
                    <w:rPr>
                      <w:rFonts w:hint="default" w:ascii="Times New Roman" w:hAnsi="Times New Roman" w:eastAsia="宋体" w:cs="Times New Roman"/>
                      <w:b w:val="0"/>
                      <w:bCs w:val="0"/>
                      <w:color w:val="auto"/>
                      <w:sz w:val="21"/>
                      <w:szCs w:val="21"/>
                      <w:vertAlign w:val="baseline"/>
                      <w:lang w:val="en-US" w:eastAsia="zh-CN"/>
                    </w:rPr>
                    <w:t>，交由有资质单位回收处置。</w:t>
                  </w:r>
                </w:p>
              </w:tc>
            </w:tr>
            <w:tr w14:paraId="09D0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E01B7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Merge w:val="continue"/>
                  <w:vAlign w:val="center"/>
                </w:tcPr>
                <w:p w14:paraId="104F99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18" w:type="dxa"/>
                  <w:vAlign w:val="center"/>
                </w:tcPr>
                <w:p w14:paraId="015904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生活垃圾：经垃圾桶收集后定期交佳县环卫部门处理。</w:t>
                  </w:r>
                </w:p>
              </w:tc>
            </w:tr>
            <w:tr w14:paraId="3343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360F79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Merge w:val="continue"/>
                  <w:vAlign w:val="center"/>
                </w:tcPr>
                <w:p w14:paraId="654928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18" w:type="dxa"/>
                  <w:vAlign w:val="center"/>
                </w:tcPr>
                <w:p w14:paraId="3BB410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岩心：取出的岩心首选用于产气量、气密性等的研究，废弃岩心交陕西德禾鑫盛环保科技有限公司</w:t>
                  </w:r>
                  <w:r>
                    <w:rPr>
                      <w:rFonts w:hint="default" w:ascii="Times New Roman" w:hAnsi="Times New Roman" w:eastAsia="宋体" w:cs="Times New Roman"/>
                      <w:b w:val="0"/>
                      <w:bCs w:val="0"/>
                      <w:color w:val="auto"/>
                      <w:sz w:val="21"/>
                      <w:szCs w:val="21"/>
                      <w:vertAlign w:val="baseline"/>
                      <w:lang w:val="en-US" w:eastAsia="zh-CN"/>
                    </w:rPr>
                    <w:t>外运处理</w:t>
                  </w:r>
                  <w:r>
                    <w:rPr>
                      <w:rFonts w:hint="eastAsia" w:ascii="Times New Roman" w:hAnsi="Times New Roman" w:eastAsia="宋体" w:cs="Times New Roman"/>
                      <w:b w:val="0"/>
                      <w:bCs w:val="0"/>
                      <w:color w:val="auto"/>
                      <w:sz w:val="21"/>
                      <w:szCs w:val="21"/>
                      <w:vertAlign w:val="baseline"/>
                      <w:lang w:val="en-US" w:eastAsia="zh-CN"/>
                    </w:rPr>
                    <w:t>。</w:t>
                  </w:r>
                </w:p>
              </w:tc>
            </w:tr>
            <w:tr w14:paraId="24E9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86" w:type="dxa"/>
                  <w:vMerge w:val="continue"/>
                  <w:vAlign w:val="center"/>
                </w:tcPr>
                <w:p w14:paraId="3FBD9F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33E746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6118" w:type="dxa"/>
                  <w:vAlign w:val="center"/>
                </w:tcPr>
                <w:p w14:paraId="155505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合理布局、选用低噪设备；泥浆泵加衬弹性垫料，管理和作业过程中平稳操作，避免特种作业时产生非正常的噪声。</w:t>
                  </w:r>
                </w:p>
              </w:tc>
            </w:tr>
            <w:tr w14:paraId="6AD5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4A415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33D3B0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w:t>
                  </w:r>
                </w:p>
              </w:tc>
              <w:tc>
                <w:tcPr>
                  <w:tcW w:w="6118" w:type="dxa"/>
                  <w:vAlign w:val="center"/>
                </w:tcPr>
                <w:p w14:paraId="0424AE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对临时占用土地进行表土留存，分层回填，整平翻松，恢复植被</w:t>
                  </w:r>
                  <w:r>
                    <w:rPr>
                      <w:rFonts w:hint="eastAsia" w:ascii="Times New Roman" w:hAnsi="Times New Roman" w:eastAsia="宋体" w:cs="Times New Roman"/>
                      <w:b w:val="0"/>
                      <w:bCs w:val="0"/>
                      <w:color w:val="auto"/>
                      <w:sz w:val="21"/>
                      <w:szCs w:val="21"/>
                      <w:vertAlign w:val="baseline"/>
                      <w:lang w:val="en-US" w:eastAsia="zh-CN"/>
                    </w:rPr>
                    <w:t>。</w:t>
                  </w:r>
                </w:p>
              </w:tc>
            </w:tr>
            <w:tr w14:paraId="0F4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86" w:type="dxa"/>
                  <w:vMerge w:val="restart"/>
                  <w:vAlign w:val="center"/>
                </w:tcPr>
                <w:p w14:paraId="7DB19A5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依托工程</w:t>
                  </w:r>
                </w:p>
              </w:tc>
              <w:tc>
                <w:tcPr>
                  <w:tcW w:w="1586" w:type="dxa"/>
                  <w:gridSpan w:val="2"/>
                  <w:vAlign w:val="center"/>
                </w:tcPr>
                <w:p w14:paraId="01DAA8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陕西</w:t>
                  </w:r>
                  <w:r>
                    <w:rPr>
                      <w:rFonts w:hint="eastAsia" w:ascii="Times New Roman" w:hAnsi="Times New Roman" w:eastAsia="宋体" w:cs="Times New Roman"/>
                      <w:b w:val="0"/>
                      <w:bCs w:val="0"/>
                      <w:color w:val="auto"/>
                      <w:sz w:val="21"/>
                      <w:szCs w:val="21"/>
                      <w:vertAlign w:val="baseline"/>
                      <w:lang w:val="en-US" w:eastAsia="zh-CN"/>
                    </w:rPr>
                    <w:t>榆佳环保科技有限公司</w:t>
                  </w:r>
                </w:p>
              </w:tc>
              <w:tc>
                <w:tcPr>
                  <w:tcW w:w="6118" w:type="dxa"/>
                  <w:vAlign w:val="center"/>
                </w:tcPr>
                <w:p w14:paraId="7EB200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陕西榆佳环保科技有限公司位于佳县王家砭镇榆佳经济技术开发区，采用“二级酸析反应沉淀+液碱+CO</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vertAlign w:val="baseline"/>
                      <w:lang w:val="en-US" w:eastAsia="zh-CN"/>
                    </w:rPr>
                    <w:t>+隔膜压滤+精密过滤+紫外杀菌”处理工艺，主要处理佳县及周边气田开采过程产生的泥浆压滤和压裂返排液。处理规模为2000m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/d，本项目各井场压裂返排液产生量约为240m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，处理规模能够满足本项目需求。</w:t>
                  </w:r>
                </w:p>
              </w:tc>
            </w:tr>
            <w:tr w14:paraId="2527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86" w:type="dxa"/>
                  <w:vMerge w:val="continue"/>
                  <w:vAlign w:val="center"/>
                </w:tcPr>
                <w:p w14:paraId="2455F4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586" w:type="dxa"/>
                  <w:gridSpan w:val="2"/>
                  <w:vAlign w:val="center"/>
                </w:tcPr>
                <w:p w14:paraId="4252CE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sz w:val="21"/>
                      <w:szCs w:val="21"/>
                      <w:vertAlign w:val="baseline"/>
                      <w:lang w:val="en-US" w:eastAsia="zh-CN"/>
                    </w:rPr>
                    <w:t>陕西德禾鑫盛环保科技有限公司</w:t>
                  </w:r>
                </w:p>
              </w:tc>
              <w:tc>
                <w:tcPr>
                  <w:tcW w:w="6118" w:type="dxa"/>
                  <w:vAlign w:val="center"/>
                </w:tcPr>
                <w:p w14:paraId="143CF4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sz w:val="21"/>
                      <w:szCs w:val="21"/>
                      <w:vertAlign w:val="baseline"/>
                      <w:lang w:val="en-US" w:eastAsia="zh-CN"/>
                    </w:rPr>
                    <w:t>陕西德禾鑫盛环保科技有限公司位于佳县刘国具斗范梁村，主要用于处理油气田开采过程中产生的固体废物，填埋场总库容为88万m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，服务年限为4年，钻井岩屑处置规模为25万t/a，钻井废弃物处置规模5万吨/a，处理后固化物进入填埋场进行处置。项目剩余规模充足，能够满足本项目需求。</w:t>
                  </w:r>
                </w:p>
              </w:tc>
            </w:tr>
            <w:tr w14:paraId="2CE6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0" w:type="dxa"/>
                  <w:gridSpan w:val="4"/>
                  <w:vAlign w:val="center"/>
                </w:tcPr>
                <w:p w14:paraId="19A4B9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备注：完井测试结果表明不具有开采价值，则进行永久封井并处理；若井场有工业开采价值，需建设标准化井场进行开采，本次评价仅针对气井的勘探过程，不对后续标准后井场建设及采气过程进行评价</w:t>
                  </w:r>
                </w:p>
              </w:tc>
            </w:tr>
          </w:tbl>
          <w:p w14:paraId="1327D6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三、井身结构</w:t>
            </w:r>
          </w:p>
          <w:p w14:paraId="595FDA7E">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w:t>
            </w:r>
            <w:r>
              <w:rPr>
                <w:rFonts w:hint="eastAsia" w:ascii="Times New Roman" w:hAnsi="Times New Roman" w:cs="Times New Roman"/>
                <w:color w:val="auto"/>
                <w:lang w:val="en-US" w:eastAsia="zh-CN"/>
              </w:rPr>
              <w:t>项目均为直井</w:t>
            </w:r>
            <w:r>
              <w:rPr>
                <w:rFonts w:hint="default" w:ascii="Times New Roman" w:hAnsi="Times New Roman" w:cs="Times New Roman"/>
                <w:color w:val="auto"/>
                <w:lang w:val="en-US" w:eastAsia="zh-CN"/>
              </w:rPr>
              <w:t>，井身结构设计数据见表2-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p>
          <w:p w14:paraId="2C6628AC">
            <w:pPr>
              <w:pStyle w:val="6"/>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井身结构表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398"/>
              <w:gridCol w:w="1398"/>
              <w:gridCol w:w="1398"/>
              <w:gridCol w:w="1398"/>
              <w:gridCol w:w="1399"/>
              <w:gridCol w:w="1399"/>
            </w:tblGrid>
            <w:tr w14:paraId="6B14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4DEE6151">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开钻次序</w:t>
                  </w:r>
                </w:p>
              </w:tc>
              <w:tc>
                <w:tcPr>
                  <w:tcW w:w="833" w:type="pct"/>
                  <w:tcBorders>
                    <w:tl2br w:val="nil"/>
                    <w:tr2bl w:val="nil"/>
                  </w:tcBorders>
                  <w:noWrap w:val="0"/>
                  <w:vAlign w:val="center"/>
                </w:tcPr>
                <w:p w14:paraId="1EC91F6E">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井深（m）</w:t>
                  </w:r>
                </w:p>
              </w:tc>
              <w:tc>
                <w:tcPr>
                  <w:tcW w:w="833" w:type="pct"/>
                  <w:tcBorders>
                    <w:tl2br w:val="nil"/>
                    <w:tr2bl w:val="nil"/>
                  </w:tcBorders>
                  <w:noWrap w:val="0"/>
                  <w:vAlign w:val="center"/>
                </w:tcPr>
                <w:p w14:paraId="16DF7441">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钻头尺寸（mm）</w:t>
                  </w:r>
                </w:p>
              </w:tc>
              <w:tc>
                <w:tcPr>
                  <w:tcW w:w="833" w:type="pct"/>
                  <w:tcBorders>
                    <w:tl2br w:val="nil"/>
                    <w:tr2bl w:val="nil"/>
                  </w:tcBorders>
                  <w:noWrap w:val="0"/>
                  <w:vAlign w:val="center"/>
                </w:tcPr>
                <w:p w14:paraId="55EA30A0">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套管尺寸（mm）</w:t>
                  </w:r>
                </w:p>
              </w:tc>
              <w:tc>
                <w:tcPr>
                  <w:tcW w:w="833" w:type="pct"/>
                  <w:tcBorders>
                    <w:tl2br w:val="nil"/>
                    <w:tr2bl w:val="nil"/>
                  </w:tcBorders>
                  <w:noWrap w:val="0"/>
                  <w:vAlign w:val="center"/>
                </w:tcPr>
                <w:p w14:paraId="744679EF">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套管下深（m）</w:t>
                  </w:r>
                </w:p>
              </w:tc>
              <w:tc>
                <w:tcPr>
                  <w:tcW w:w="833" w:type="pct"/>
                  <w:tcBorders>
                    <w:tl2br w:val="nil"/>
                    <w:tr2bl w:val="nil"/>
                  </w:tcBorders>
                  <w:noWrap w:val="0"/>
                  <w:vAlign w:val="center"/>
                </w:tcPr>
                <w:p w14:paraId="5AF6FDFB">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水泥返高</w:t>
                  </w:r>
                </w:p>
              </w:tc>
            </w:tr>
            <w:tr w14:paraId="0DC0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2A1A8AF2">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一开</w:t>
                  </w:r>
                </w:p>
              </w:tc>
              <w:tc>
                <w:tcPr>
                  <w:tcW w:w="833" w:type="pct"/>
                  <w:tcBorders>
                    <w:tl2br w:val="nil"/>
                    <w:tr2bl w:val="nil"/>
                  </w:tcBorders>
                  <w:noWrap w:val="0"/>
                  <w:vAlign w:val="center"/>
                </w:tcPr>
                <w:p w14:paraId="6746ADBC">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600</w:t>
                  </w:r>
                </w:p>
              </w:tc>
              <w:tc>
                <w:tcPr>
                  <w:tcW w:w="833" w:type="pct"/>
                  <w:tcBorders>
                    <w:tl2br w:val="nil"/>
                    <w:tr2bl w:val="nil"/>
                  </w:tcBorders>
                  <w:noWrap w:val="0"/>
                  <w:vAlign w:val="center"/>
                </w:tcPr>
                <w:p w14:paraId="2B24D77D">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346</w:t>
                  </w:r>
                </w:p>
              </w:tc>
              <w:tc>
                <w:tcPr>
                  <w:tcW w:w="833" w:type="pct"/>
                  <w:tcBorders>
                    <w:tl2br w:val="nil"/>
                    <w:tr2bl w:val="nil"/>
                  </w:tcBorders>
                  <w:noWrap w:val="0"/>
                  <w:vAlign w:val="center"/>
                </w:tcPr>
                <w:p w14:paraId="581109E5">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273.1</w:t>
                  </w:r>
                </w:p>
              </w:tc>
              <w:tc>
                <w:tcPr>
                  <w:tcW w:w="833" w:type="pct"/>
                  <w:tcBorders>
                    <w:tl2br w:val="nil"/>
                    <w:tr2bl w:val="nil"/>
                  </w:tcBorders>
                  <w:noWrap w:val="0"/>
                  <w:vAlign w:val="center"/>
                </w:tcPr>
                <w:p w14:paraId="386A5567">
                  <w:pPr>
                    <w:pStyle w:val="29"/>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下到稳定岩层</w:t>
                  </w:r>
                </w:p>
              </w:tc>
              <w:tc>
                <w:tcPr>
                  <w:tcW w:w="833" w:type="pct"/>
                  <w:tcBorders>
                    <w:tl2br w:val="nil"/>
                    <w:tr2bl w:val="nil"/>
                  </w:tcBorders>
                  <w:noWrap w:val="0"/>
                  <w:vAlign w:val="center"/>
                </w:tcPr>
                <w:p w14:paraId="6DFA9527">
                  <w:pPr>
                    <w:pStyle w:val="29"/>
                    <w:bidi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rPr>
                    <w:t>地面</w:t>
                  </w:r>
                </w:p>
              </w:tc>
            </w:tr>
            <w:tr w14:paraId="649E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7D4F2EFD">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二开</w:t>
                  </w:r>
                </w:p>
              </w:tc>
              <w:tc>
                <w:tcPr>
                  <w:tcW w:w="833" w:type="pct"/>
                  <w:tcBorders>
                    <w:tl2br w:val="nil"/>
                    <w:tr2bl w:val="nil"/>
                  </w:tcBorders>
                  <w:noWrap w:val="0"/>
                  <w:vAlign w:val="center"/>
                </w:tcPr>
                <w:p w14:paraId="1B126F02">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r>
                    <w:rPr>
                      <w:rFonts w:hint="eastAsia" w:cs="Times New Roman"/>
                      <w:color w:val="auto"/>
                      <w:sz w:val="21"/>
                      <w:szCs w:val="21"/>
                      <w:lang w:val="en-US" w:eastAsia="zh-CN"/>
                    </w:rPr>
                    <w:t>00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目的层</w:t>
                  </w:r>
                </w:p>
              </w:tc>
              <w:tc>
                <w:tcPr>
                  <w:tcW w:w="833" w:type="pct"/>
                  <w:tcBorders>
                    <w:tl2br w:val="nil"/>
                    <w:tr2bl w:val="nil"/>
                  </w:tcBorders>
                  <w:noWrap w:val="0"/>
                  <w:vAlign w:val="center"/>
                </w:tcPr>
                <w:p w14:paraId="2122D699">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w:t>
                  </w:r>
                </w:p>
              </w:tc>
              <w:tc>
                <w:tcPr>
                  <w:tcW w:w="833" w:type="pct"/>
                  <w:tcBorders>
                    <w:tl2br w:val="nil"/>
                    <w:tr2bl w:val="nil"/>
                  </w:tcBorders>
                  <w:noWrap w:val="0"/>
                  <w:vAlign w:val="center"/>
                </w:tcPr>
                <w:p w14:paraId="0BA04107">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219.1</w:t>
                  </w:r>
                </w:p>
              </w:tc>
              <w:tc>
                <w:tcPr>
                  <w:tcW w:w="833" w:type="pct"/>
                  <w:tcBorders>
                    <w:tl2br w:val="nil"/>
                    <w:tr2bl w:val="nil"/>
                  </w:tcBorders>
                  <w:noWrap w:val="0"/>
                  <w:vAlign w:val="center"/>
                </w:tcPr>
                <w:p w14:paraId="42CCFA72">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距井底3～5m</w:t>
                  </w:r>
                </w:p>
              </w:tc>
              <w:tc>
                <w:tcPr>
                  <w:tcW w:w="833" w:type="pct"/>
                  <w:tcBorders>
                    <w:tl2br w:val="nil"/>
                    <w:tr2bl w:val="nil"/>
                  </w:tcBorders>
                  <w:noWrap w:val="0"/>
                  <w:vAlign w:val="center"/>
                </w:tcPr>
                <w:p w14:paraId="46463626">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地面</w:t>
                  </w:r>
                </w:p>
              </w:tc>
            </w:tr>
          </w:tbl>
          <w:p w14:paraId="23845A80">
            <w:pPr>
              <w:pStyle w:val="28"/>
              <w:keepNext w:val="0"/>
              <w:keepLines w:val="0"/>
              <w:pageBreakBefore w:val="0"/>
              <w:widowControl w:val="0"/>
              <w:kinsoku/>
              <w:wordWrap/>
              <w:overflowPunct/>
              <w:topLinePunct w:val="0"/>
              <w:autoSpaceDE/>
              <w:autoSpaceDN/>
              <w:bidi w:val="0"/>
              <w:adjustRightInd w:val="0"/>
              <w:snapToGrid w:val="0"/>
              <w:spacing w:before="79" w:beforeLines="25"/>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本项目直井井身结构示意图见图2-1。</w:t>
            </w:r>
          </w:p>
          <w:p w14:paraId="35CD375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281680" cy="3202305"/>
                  <wp:effectExtent l="0" t="0" r="13970" b="1714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7"/>
                          <a:stretch>
                            <a:fillRect/>
                          </a:stretch>
                        </pic:blipFill>
                        <pic:spPr>
                          <a:xfrm>
                            <a:off x="0" y="0"/>
                            <a:ext cx="3281680" cy="3202305"/>
                          </a:xfrm>
                          <a:prstGeom prst="rect">
                            <a:avLst/>
                          </a:prstGeom>
                        </pic:spPr>
                      </pic:pic>
                    </a:graphicData>
                  </a:graphic>
                </wp:inline>
              </w:drawing>
            </w:r>
          </w:p>
          <w:p w14:paraId="4FCFC969">
            <w:pPr>
              <w:pStyle w:val="6"/>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lang w:eastAsia="zh-CN"/>
              </w:rPr>
              <w:t xml:space="preserve">  井身结构图</w:t>
            </w:r>
          </w:p>
          <w:p w14:paraId="78DEF9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四</w:t>
            </w:r>
            <w:r>
              <w:rPr>
                <w:rFonts w:hint="default" w:ascii="Times New Roman" w:hAnsi="Times New Roman" w:eastAsia="宋体" w:cs="Times New Roman"/>
                <w:b/>
                <w:bCs/>
                <w:color w:val="auto"/>
                <w:sz w:val="24"/>
                <w:szCs w:val="24"/>
                <w:vertAlign w:val="baseline"/>
                <w:lang w:val="en-US" w:eastAsia="zh-CN"/>
              </w:rPr>
              <w:t>、工程占地</w:t>
            </w:r>
          </w:p>
          <w:p w14:paraId="1610E1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yellow"/>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项目占地为临时占地，总占地面积为</w:t>
            </w:r>
            <w:r>
              <w:rPr>
                <w:rFonts w:hint="eastAsia" w:ascii="Times New Roman" w:hAnsi="Times New Roman" w:eastAsia="宋体" w:cs="Times New Roman"/>
                <w:b w:val="0"/>
                <w:bCs w:val="0"/>
                <w:color w:val="auto"/>
                <w:sz w:val="24"/>
                <w:szCs w:val="24"/>
                <w:highlight w:val="none"/>
                <w:vertAlign w:val="baseline"/>
                <w:lang w:val="en-US" w:eastAsia="zh-CN"/>
              </w:rPr>
              <w:t>67428</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，其中井场占地</w:t>
            </w:r>
            <w:r>
              <w:rPr>
                <w:rFonts w:hint="eastAsia" w:ascii="Times New Roman" w:hAnsi="Times New Roman" w:eastAsia="宋体" w:cs="Times New Roman"/>
                <w:b w:val="0"/>
                <w:bCs w:val="0"/>
                <w:color w:val="auto"/>
                <w:sz w:val="24"/>
                <w:szCs w:val="24"/>
                <w:highlight w:val="none"/>
                <w:vertAlign w:val="baseline"/>
                <w:lang w:val="en-US" w:eastAsia="zh-CN"/>
              </w:rPr>
              <w:t>59115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生活区占地</w:t>
            </w:r>
            <w:r>
              <w:rPr>
                <w:rFonts w:hint="eastAsia" w:ascii="Times New Roman" w:hAnsi="Times New Roman" w:eastAsia="宋体" w:cs="Times New Roman"/>
                <w:b w:val="0"/>
                <w:bCs w:val="0"/>
                <w:color w:val="auto"/>
                <w:sz w:val="24"/>
                <w:szCs w:val="24"/>
                <w:highlight w:val="none"/>
                <w:vertAlign w:val="baseline"/>
                <w:lang w:val="en-US" w:eastAsia="zh-CN"/>
              </w:rPr>
              <w:t>7800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，其余为井场道路占地，若完井测试表明气井有开采价值，再征用井场用地。</w:t>
            </w:r>
          </w:p>
          <w:p w14:paraId="22A4E524">
            <w:pPr>
              <w:pStyle w:val="6"/>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占地面积情况表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484"/>
              <w:gridCol w:w="1665"/>
              <w:gridCol w:w="1735"/>
              <w:gridCol w:w="1986"/>
              <w:gridCol w:w="1517"/>
            </w:tblGrid>
            <w:tr w14:paraId="64DE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43295882">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井号</w:t>
                  </w:r>
                </w:p>
              </w:tc>
              <w:tc>
                <w:tcPr>
                  <w:tcW w:w="992" w:type="pct"/>
                  <w:tcBorders>
                    <w:tl2br w:val="nil"/>
                    <w:tr2bl w:val="nil"/>
                  </w:tcBorders>
                  <w:noWrap w:val="0"/>
                  <w:vAlign w:val="center"/>
                </w:tcPr>
                <w:p w14:paraId="311DB29B">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井场面积（m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1034" w:type="pct"/>
                  <w:tcBorders>
                    <w:tl2br w:val="nil"/>
                    <w:tr2bl w:val="nil"/>
                  </w:tcBorders>
                  <w:noWrap w:val="0"/>
                  <w:vAlign w:val="center"/>
                </w:tcPr>
                <w:p w14:paraId="2BE737F2">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生活区面积（m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1183" w:type="pct"/>
                  <w:tcBorders>
                    <w:tl2br w:val="nil"/>
                    <w:tr2bl w:val="nil"/>
                  </w:tcBorders>
                  <w:noWrap w:val="0"/>
                  <w:vAlign w:val="center"/>
                </w:tcPr>
                <w:p w14:paraId="24E431C6">
                  <w:pPr>
                    <w:pStyle w:val="29"/>
                    <w:bidi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进场道路</w:t>
                  </w:r>
                  <w:r>
                    <w:rPr>
                      <w:rFonts w:hint="default" w:ascii="Times New Roman" w:hAnsi="Times New Roman" w:cs="Times New Roman"/>
                      <w:b/>
                      <w:bCs/>
                      <w:color w:val="auto"/>
                      <w:sz w:val="21"/>
                      <w:szCs w:val="21"/>
                      <w:lang w:val="en-US" w:eastAsia="zh-CN"/>
                    </w:rPr>
                    <w:t>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vertAlign w:val="baseline"/>
                      <w:lang w:val="en-US" w:eastAsia="zh-CN"/>
                    </w:rPr>
                    <w:t>）</w:t>
                  </w:r>
                </w:p>
              </w:tc>
              <w:tc>
                <w:tcPr>
                  <w:tcW w:w="904" w:type="pct"/>
                  <w:tcBorders>
                    <w:tl2br w:val="nil"/>
                    <w:tr2bl w:val="nil"/>
                  </w:tcBorders>
                  <w:noWrap w:val="0"/>
                  <w:vAlign w:val="center"/>
                </w:tcPr>
                <w:p w14:paraId="36BAC185">
                  <w:pPr>
                    <w:pStyle w:val="29"/>
                    <w:bidi w:val="0"/>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占地类型</w:t>
                  </w:r>
                </w:p>
              </w:tc>
            </w:tr>
            <w:tr w14:paraId="10AF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shd w:val="clear" w:color="auto" w:fill="auto"/>
                  <w:noWrap w:val="0"/>
                  <w:vAlign w:val="center"/>
                </w:tcPr>
                <w:p w14:paraId="2616F6EF">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米107-6MX</w:t>
                  </w:r>
                </w:p>
              </w:tc>
              <w:tc>
                <w:tcPr>
                  <w:tcW w:w="1665" w:type="dxa"/>
                  <w:tcBorders>
                    <w:tl2br w:val="nil"/>
                    <w:tr2bl w:val="nil"/>
                  </w:tcBorders>
                  <w:noWrap w:val="0"/>
                  <w:vAlign w:val="center"/>
                </w:tcPr>
                <w:p w14:paraId="699D5E00">
                  <w:pPr>
                    <w:pStyle w:val="29"/>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7614.5</w:t>
                  </w:r>
                </w:p>
              </w:tc>
              <w:tc>
                <w:tcPr>
                  <w:tcW w:w="1034" w:type="pct"/>
                  <w:tcBorders>
                    <w:tl2br w:val="nil"/>
                    <w:tr2bl w:val="nil"/>
                  </w:tcBorders>
                  <w:noWrap w:val="0"/>
                  <w:vAlign w:val="center"/>
                </w:tcPr>
                <w:p w14:paraId="6D58873C">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83" w:type="pct"/>
                  <w:tcBorders>
                    <w:tl2br w:val="nil"/>
                    <w:tr2bl w:val="nil"/>
                  </w:tcBorders>
                  <w:noWrap w:val="0"/>
                  <w:vAlign w:val="center"/>
                </w:tcPr>
                <w:p w14:paraId="29C284CF">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400.5</w:t>
                  </w:r>
                </w:p>
              </w:tc>
              <w:tc>
                <w:tcPr>
                  <w:tcW w:w="904" w:type="pct"/>
                  <w:tcBorders>
                    <w:tl2br w:val="nil"/>
                    <w:tr2bl w:val="nil"/>
                  </w:tcBorders>
                  <w:shd w:val="clear" w:color="auto" w:fill="auto"/>
                  <w:noWrap w:val="0"/>
                  <w:vAlign w:val="center"/>
                </w:tcPr>
                <w:p w14:paraId="25AB8640">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园地</w:t>
                  </w:r>
                </w:p>
              </w:tc>
            </w:tr>
            <w:tr w14:paraId="2B6C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shd w:val="clear" w:color="auto" w:fill="auto"/>
                  <w:noWrap w:val="0"/>
                  <w:vAlign w:val="center"/>
                </w:tcPr>
                <w:p w14:paraId="4860F419">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米107-10MX</w:t>
                  </w:r>
                </w:p>
              </w:tc>
              <w:tc>
                <w:tcPr>
                  <w:tcW w:w="1665" w:type="dxa"/>
                  <w:tcBorders>
                    <w:tl2br w:val="nil"/>
                    <w:tr2bl w:val="nil"/>
                  </w:tcBorders>
                  <w:noWrap w:val="0"/>
                  <w:vAlign w:val="center"/>
                </w:tcPr>
                <w:p w14:paraId="395142E7">
                  <w:pPr>
                    <w:pStyle w:val="29"/>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7659</w:t>
                  </w:r>
                </w:p>
              </w:tc>
              <w:tc>
                <w:tcPr>
                  <w:tcW w:w="1034" w:type="pct"/>
                  <w:tcBorders>
                    <w:tl2br w:val="nil"/>
                    <w:tr2bl w:val="nil"/>
                  </w:tcBorders>
                  <w:noWrap w:val="0"/>
                  <w:vAlign w:val="center"/>
                </w:tcPr>
                <w:p w14:paraId="60D39A30">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83" w:type="pct"/>
                  <w:tcBorders>
                    <w:tl2br w:val="nil"/>
                    <w:tr2bl w:val="nil"/>
                  </w:tcBorders>
                  <w:noWrap w:val="0"/>
                  <w:vAlign w:val="center"/>
                </w:tcPr>
                <w:p w14:paraId="58FC610E">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904" w:type="pct"/>
                  <w:tcBorders>
                    <w:tl2br w:val="nil"/>
                    <w:tr2bl w:val="nil"/>
                  </w:tcBorders>
                  <w:shd w:val="clear" w:color="auto" w:fill="auto"/>
                  <w:noWrap w:val="0"/>
                  <w:vAlign w:val="center"/>
                </w:tcPr>
                <w:p w14:paraId="756E973D">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林地</w:t>
                  </w:r>
                </w:p>
              </w:tc>
            </w:tr>
            <w:tr w14:paraId="7EBF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shd w:val="clear" w:color="auto" w:fill="auto"/>
                  <w:noWrap w:val="0"/>
                  <w:vAlign w:val="center"/>
                </w:tcPr>
                <w:p w14:paraId="1826510E">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米107-11M</w:t>
                  </w:r>
                </w:p>
              </w:tc>
              <w:tc>
                <w:tcPr>
                  <w:tcW w:w="1665" w:type="dxa"/>
                  <w:tcBorders>
                    <w:tl2br w:val="nil"/>
                    <w:tr2bl w:val="nil"/>
                  </w:tcBorders>
                  <w:noWrap w:val="0"/>
                  <w:vAlign w:val="center"/>
                </w:tcPr>
                <w:p w14:paraId="71981AA4">
                  <w:pPr>
                    <w:pStyle w:val="29"/>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15000</w:t>
                  </w:r>
                </w:p>
              </w:tc>
              <w:tc>
                <w:tcPr>
                  <w:tcW w:w="1034" w:type="pct"/>
                  <w:tcBorders>
                    <w:tl2br w:val="nil"/>
                    <w:tr2bl w:val="nil"/>
                  </w:tcBorders>
                  <w:noWrap w:val="0"/>
                  <w:vAlign w:val="center"/>
                </w:tcPr>
                <w:p w14:paraId="06FC2AEF">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83" w:type="pct"/>
                  <w:tcBorders>
                    <w:tl2br w:val="nil"/>
                    <w:tr2bl w:val="nil"/>
                  </w:tcBorders>
                  <w:noWrap w:val="0"/>
                  <w:vAlign w:val="center"/>
                </w:tcPr>
                <w:p w14:paraId="4FE8D57F">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904" w:type="pct"/>
                  <w:tcBorders>
                    <w:tl2br w:val="nil"/>
                    <w:tr2bl w:val="nil"/>
                  </w:tcBorders>
                  <w:shd w:val="clear" w:color="auto" w:fill="auto"/>
                  <w:noWrap w:val="0"/>
                  <w:vAlign w:val="center"/>
                </w:tcPr>
                <w:p w14:paraId="24A3D80A">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林地</w:t>
                  </w:r>
                </w:p>
              </w:tc>
            </w:tr>
            <w:tr w14:paraId="5CE9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shd w:val="clear" w:color="auto" w:fill="auto"/>
                  <w:noWrap w:val="0"/>
                  <w:vAlign w:val="center"/>
                </w:tcPr>
                <w:p w14:paraId="37B84C28">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米107-12M</w:t>
                  </w:r>
                </w:p>
              </w:tc>
              <w:tc>
                <w:tcPr>
                  <w:tcW w:w="1665" w:type="dxa"/>
                  <w:tcBorders>
                    <w:tl2br w:val="nil"/>
                    <w:tr2bl w:val="nil"/>
                  </w:tcBorders>
                  <w:noWrap w:val="0"/>
                  <w:vAlign w:val="center"/>
                </w:tcPr>
                <w:p w14:paraId="22078A4A">
                  <w:pPr>
                    <w:pStyle w:val="29"/>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8841.5</w:t>
                  </w:r>
                </w:p>
              </w:tc>
              <w:tc>
                <w:tcPr>
                  <w:tcW w:w="1034" w:type="pct"/>
                  <w:tcBorders>
                    <w:tl2br w:val="nil"/>
                    <w:tr2bl w:val="nil"/>
                  </w:tcBorders>
                  <w:noWrap w:val="0"/>
                  <w:vAlign w:val="center"/>
                </w:tcPr>
                <w:p w14:paraId="4BFDA6EE">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1400</w:t>
                  </w:r>
                </w:p>
              </w:tc>
              <w:tc>
                <w:tcPr>
                  <w:tcW w:w="1183" w:type="pct"/>
                  <w:tcBorders>
                    <w:tl2br w:val="nil"/>
                    <w:tr2bl w:val="nil"/>
                  </w:tcBorders>
                  <w:noWrap w:val="0"/>
                  <w:vAlign w:val="center"/>
                </w:tcPr>
                <w:p w14:paraId="0EFC6E71">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112.5</w:t>
                  </w:r>
                </w:p>
              </w:tc>
              <w:tc>
                <w:tcPr>
                  <w:tcW w:w="904" w:type="pct"/>
                  <w:tcBorders>
                    <w:tl2br w:val="nil"/>
                    <w:tr2bl w:val="nil"/>
                  </w:tcBorders>
                  <w:shd w:val="clear" w:color="auto" w:fill="auto"/>
                  <w:noWrap w:val="0"/>
                  <w:vAlign w:val="center"/>
                </w:tcPr>
                <w:p w14:paraId="3AB25380">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园地、林地、草地</w:t>
                  </w:r>
                </w:p>
              </w:tc>
            </w:tr>
            <w:tr w14:paraId="3D5A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shd w:val="clear" w:color="auto" w:fill="auto"/>
                  <w:noWrap w:val="0"/>
                  <w:vAlign w:val="center"/>
                </w:tcPr>
                <w:p w14:paraId="12AF8081">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米107-15M</w:t>
                  </w:r>
                </w:p>
              </w:tc>
              <w:tc>
                <w:tcPr>
                  <w:tcW w:w="1665" w:type="dxa"/>
                  <w:tcBorders>
                    <w:tl2br w:val="nil"/>
                    <w:tr2bl w:val="nil"/>
                  </w:tcBorders>
                  <w:noWrap w:val="0"/>
                  <w:vAlign w:val="center"/>
                </w:tcPr>
                <w:p w14:paraId="204A304E">
                  <w:pPr>
                    <w:pStyle w:val="29"/>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9600</w:t>
                  </w:r>
                </w:p>
              </w:tc>
              <w:tc>
                <w:tcPr>
                  <w:tcW w:w="1034" w:type="pct"/>
                  <w:tcBorders>
                    <w:tl2br w:val="nil"/>
                    <w:tr2bl w:val="nil"/>
                  </w:tcBorders>
                  <w:noWrap w:val="0"/>
                  <w:vAlign w:val="center"/>
                </w:tcPr>
                <w:p w14:paraId="076B8C39">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1600</w:t>
                  </w:r>
                </w:p>
              </w:tc>
              <w:tc>
                <w:tcPr>
                  <w:tcW w:w="1183" w:type="pct"/>
                  <w:tcBorders>
                    <w:tl2br w:val="nil"/>
                    <w:tr2bl w:val="nil"/>
                  </w:tcBorders>
                  <w:noWrap w:val="0"/>
                  <w:vAlign w:val="center"/>
                </w:tcPr>
                <w:p w14:paraId="53AA5760">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904" w:type="pct"/>
                  <w:tcBorders>
                    <w:tl2br w:val="nil"/>
                    <w:tr2bl w:val="nil"/>
                  </w:tcBorders>
                  <w:shd w:val="clear" w:color="auto" w:fill="auto"/>
                  <w:noWrap w:val="0"/>
                  <w:vAlign w:val="center"/>
                </w:tcPr>
                <w:p w14:paraId="647ED7D7">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园地、草地</w:t>
                  </w:r>
                </w:p>
              </w:tc>
            </w:tr>
            <w:tr w14:paraId="0562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shd w:val="clear" w:color="auto" w:fill="auto"/>
                  <w:noWrap w:val="0"/>
                  <w:vAlign w:val="center"/>
                </w:tcPr>
                <w:p w14:paraId="7827B17E">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米107-34M</w:t>
                  </w:r>
                </w:p>
              </w:tc>
              <w:tc>
                <w:tcPr>
                  <w:tcW w:w="1665" w:type="dxa"/>
                  <w:tcBorders>
                    <w:tl2br w:val="nil"/>
                    <w:tr2bl w:val="nil"/>
                  </w:tcBorders>
                  <w:noWrap w:val="0"/>
                  <w:vAlign w:val="center"/>
                </w:tcPr>
                <w:p w14:paraId="677C91DC">
                  <w:pPr>
                    <w:pStyle w:val="29"/>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10400</w:t>
                  </w:r>
                </w:p>
              </w:tc>
              <w:tc>
                <w:tcPr>
                  <w:tcW w:w="1034" w:type="pct"/>
                  <w:tcBorders>
                    <w:tl2br w:val="nil"/>
                    <w:tr2bl w:val="nil"/>
                  </w:tcBorders>
                  <w:noWrap w:val="0"/>
                  <w:vAlign w:val="center"/>
                </w:tcPr>
                <w:p w14:paraId="463BBECA">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83" w:type="pct"/>
                  <w:tcBorders>
                    <w:tl2br w:val="nil"/>
                    <w:tr2bl w:val="nil"/>
                  </w:tcBorders>
                  <w:noWrap w:val="0"/>
                  <w:vAlign w:val="center"/>
                </w:tcPr>
                <w:p w14:paraId="71B11CFC">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904" w:type="pct"/>
                  <w:tcBorders>
                    <w:tl2br w:val="nil"/>
                    <w:tr2bl w:val="nil"/>
                  </w:tcBorders>
                  <w:shd w:val="clear" w:color="auto" w:fill="auto"/>
                  <w:noWrap w:val="0"/>
                  <w:vAlign w:val="center"/>
                </w:tcPr>
                <w:p w14:paraId="27EE50CC">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耕地</w:t>
                  </w:r>
                </w:p>
              </w:tc>
            </w:tr>
            <w:tr w14:paraId="53C0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3873A3E9">
                  <w:pPr>
                    <w:pStyle w:val="29"/>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992" w:type="pct"/>
                  <w:tcBorders>
                    <w:tl2br w:val="nil"/>
                    <w:tr2bl w:val="nil"/>
                  </w:tcBorders>
                  <w:shd w:val="clear" w:color="auto" w:fill="auto"/>
                  <w:noWrap w:val="0"/>
                  <w:vAlign w:val="center"/>
                </w:tcPr>
                <w:p w14:paraId="3DBD5B6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59115</w:t>
                  </w:r>
                </w:p>
              </w:tc>
              <w:tc>
                <w:tcPr>
                  <w:tcW w:w="1034" w:type="pct"/>
                  <w:tcBorders>
                    <w:tl2br w:val="nil"/>
                    <w:tr2bl w:val="nil"/>
                  </w:tcBorders>
                  <w:noWrap w:val="0"/>
                  <w:vAlign w:val="center"/>
                </w:tcPr>
                <w:p w14:paraId="4380A88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7800</w:t>
                  </w:r>
                </w:p>
              </w:tc>
              <w:tc>
                <w:tcPr>
                  <w:tcW w:w="1183" w:type="pct"/>
                  <w:tcBorders>
                    <w:tl2br w:val="nil"/>
                    <w:tr2bl w:val="nil"/>
                  </w:tcBorders>
                  <w:noWrap w:val="0"/>
                  <w:vAlign w:val="center"/>
                </w:tcPr>
                <w:p w14:paraId="4976C0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513</w:t>
                  </w:r>
                </w:p>
              </w:tc>
              <w:tc>
                <w:tcPr>
                  <w:tcW w:w="904" w:type="pct"/>
                  <w:tcBorders>
                    <w:tl2br w:val="nil"/>
                    <w:tr2bl w:val="nil"/>
                  </w:tcBorders>
                  <w:noWrap w:val="0"/>
                  <w:vAlign w:val="center"/>
                </w:tcPr>
                <w:p w14:paraId="13D113AE">
                  <w:pPr>
                    <w:pStyle w:val="29"/>
                    <w:bidi w:val="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bl>
          <w:p w14:paraId="293C2A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五</w:t>
            </w:r>
            <w:r>
              <w:rPr>
                <w:rFonts w:hint="default" w:ascii="Times New Roman" w:hAnsi="Times New Roman" w:eastAsia="宋体" w:cs="Times New Roman"/>
                <w:b/>
                <w:bCs/>
                <w:color w:val="auto"/>
                <w:sz w:val="24"/>
                <w:szCs w:val="24"/>
                <w:vertAlign w:val="baseline"/>
                <w:lang w:val="en-US" w:eastAsia="zh-CN"/>
              </w:rPr>
              <w:t>、项目主要设备清单</w:t>
            </w:r>
          </w:p>
          <w:p w14:paraId="54167B29">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根据《榆林市人民政府关于禁止使用高排放非道路移动机械的通告》要求，项目施工现场禁止使用高排放非道路移动机械，禁止使用未编码登记挂牌及环保检测不达标的非道路移动机械。</w:t>
            </w:r>
          </w:p>
          <w:p w14:paraId="64FB341E">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（1）钻井设备</w:t>
            </w:r>
          </w:p>
          <w:p w14:paraId="4ADF01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项目主要设备清单见表2-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p>
          <w:p w14:paraId="0E7E9D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p w14:paraId="330696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项目</w:t>
            </w:r>
            <w:r>
              <w:rPr>
                <w:rFonts w:hint="eastAsia" w:ascii="Times New Roman" w:hAnsi="Times New Roman" w:eastAsia="宋体" w:cs="Times New Roman"/>
                <w:b/>
                <w:bCs/>
                <w:color w:val="auto"/>
                <w:sz w:val="21"/>
                <w:szCs w:val="21"/>
                <w:vertAlign w:val="baseline"/>
                <w:lang w:val="en-US" w:eastAsia="zh-CN"/>
              </w:rPr>
              <w:t>单井</w:t>
            </w:r>
            <w:r>
              <w:rPr>
                <w:rFonts w:hint="default" w:ascii="Times New Roman" w:hAnsi="Times New Roman" w:eastAsia="宋体" w:cs="Times New Roman"/>
                <w:b/>
                <w:bCs/>
                <w:color w:val="auto"/>
                <w:sz w:val="21"/>
                <w:szCs w:val="21"/>
                <w:vertAlign w:val="baseline"/>
                <w:lang w:val="en-US" w:eastAsia="zh-CN"/>
              </w:rPr>
              <w:t>主要设备清单一览表</w:t>
            </w:r>
          </w:p>
          <w:tbl>
            <w:tblPr>
              <w:tblStyle w:val="21"/>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422"/>
              <w:gridCol w:w="955"/>
              <w:gridCol w:w="1622"/>
              <w:gridCol w:w="2221"/>
              <w:gridCol w:w="932"/>
              <w:gridCol w:w="868"/>
              <w:gridCol w:w="1368"/>
            </w:tblGrid>
            <w:tr w14:paraId="4CB54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38BE811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535" w:type="pct"/>
                  <w:gridSpan w:val="2"/>
                  <w:tcBorders>
                    <w:tl2br w:val="nil"/>
                    <w:tr2bl w:val="nil"/>
                  </w:tcBorders>
                  <w:noWrap w:val="0"/>
                  <w:vAlign w:val="center"/>
                </w:tcPr>
                <w:p w14:paraId="2057D9E3">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23" w:type="pct"/>
                  <w:tcBorders>
                    <w:tl2br w:val="nil"/>
                    <w:tr2bl w:val="nil"/>
                  </w:tcBorders>
                  <w:noWrap w:val="0"/>
                  <w:vAlign w:val="center"/>
                </w:tcPr>
                <w:p w14:paraId="26258E2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型号</w:t>
                  </w:r>
                </w:p>
              </w:tc>
              <w:tc>
                <w:tcPr>
                  <w:tcW w:w="555" w:type="pct"/>
                  <w:tcBorders>
                    <w:tl2br w:val="nil"/>
                    <w:tr2bl w:val="nil"/>
                  </w:tcBorders>
                  <w:noWrap w:val="0"/>
                  <w:vAlign w:val="center"/>
                </w:tcPr>
                <w:p w14:paraId="741923A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规格</w:t>
                  </w:r>
                </w:p>
              </w:tc>
              <w:tc>
                <w:tcPr>
                  <w:tcW w:w="517" w:type="pct"/>
                  <w:tcBorders>
                    <w:tl2br w:val="nil"/>
                    <w:tr2bl w:val="nil"/>
                  </w:tcBorders>
                  <w:noWrap w:val="0"/>
                  <w:vAlign w:val="center"/>
                </w:tcPr>
                <w:p w14:paraId="3C42BF3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数量</w:t>
                  </w:r>
                </w:p>
              </w:tc>
              <w:tc>
                <w:tcPr>
                  <w:tcW w:w="815" w:type="pct"/>
                  <w:tcBorders>
                    <w:tl2br w:val="nil"/>
                    <w:tr2bl w:val="nil"/>
                  </w:tcBorders>
                  <w:noWrap w:val="0"/>
                  <w:vAlign w:val="center"/>
                </w:tcPr>
                <w:p w14:paraId="0F66A50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45BC9D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5970560D">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569" w:type="pct"/>
                  <w:vMerge w:val="restart"/>
                  <w:tcBorders>
                    <w:tl2br w:val="nil"/>
                    <w:tr2bl w:val="nil"/>
                  </w:tcBorders>
                  <w:noWrap w:val="0"/>
                  <w:vAlign w:val="center"/>
                </w:tcPr>
                <w:p w14:paraId="5B78486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钻井设备</w:t>
                  </w:r>
                </w:p>
              </w:tc>
              <w:tc>
                <w:tcPr>
                  <w:tcW w:w="966" w:type="pct"/>
                  <w:tcBorders>
                    <w:tl2br w:val="nil"/>
                    <w:tr2bl w:val="nil"/>
                  </w:tcBorders>
                  <w:noWrap w:val="0"/>
                  <w:vAlign w:val="center"/>
                </w:tcPr>
                <w:p w14:paraId="1D49A8B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w:t>
                  </w:r>
                </w:p>
              </w:tc>
              <w:tc>
                <w:tcPr>
                  <w:tcW w:w="1323" w:type="pct"/>
                  <w:tcBorders>
                    <w:tl2br w:val="nil"/>
                    <w:tr2bl w:val="nil"/>
                  </w:tcBorders>
                  <w:noWrap w:val="0"/>
                  <w:vAlign w:val="center"/>
                </w:tcPr>
                <w:p w14:paraId="19DB03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ZJ50</w:t>
                  </w:r>
                </w:p>
              </w:tc>
              <w:tc>
                <w:tcPr>
                  <w:tcW w:w="555" w:type="pct"/>
                  <w:tcBorders>
                    <w:tl2br w:val="nil"/>
                    <w:tr2bl w:val="nil"/>
                  </w:tcBorders>
                  <w:noWrap w:val="0"/>
                  <w:vAlign w:val="center"/>
                </w:tcPr>
                <w:p w14:paraId="04943F9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荷载315t</w:t>
                  </w:r>
                </w:p>
              </w:tc>
              <w:tc>
                <w:tcPr>
                  <w:tcW w:w="517" w:type="pct"/>
                  <w:tcBorders>
                    <w:tl2br w:val="nil"/>
                    <w:tr2bl w:val="nil"/>
                  </w:tcBorders>
                  <w:noWrap w:val="0"/>
                  <w:vAlign w:val="center"/>
                </w:tcPr>
                <w:p w14:paraId="20FB7BB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58A9857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C7FC7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526468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E14F7B1">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770BD2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井架</w:t>
                  </w:r>
                </w:p>
              </w:tc>
              <w:tc>
                <w:tcPr>
                  <w:tcW w:w="1323" w:type="pct"/>
                  <w:tcBorders>
                    <w:tl2br w:val="nil"/>
                    <w:tr2bl w:val="nil"/>
                  </w:tcBorders>
                  <w:noWrap w:val="0"/>
                  <w:vAlign w:val="center"/>
                </w:tcPr>
                <w:p w14:paraId="1E1ECE1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JJ315/45-K</w:t>
                  </w:r>
                </w:p>
              </w:tc>
              <w:tc>
                <w:tcPr>
                  <w:tcW w:w="555" w:type="pct"/>
                  <w:tcBorders>
                    <w:tl2br w:val="nil"/>
                    <w:tr2bl w:val="nil"/>
                  </w:tcBorders>
                  <w:noWrap w:val="0"/>
                  <w:vAlign w:val="center"/>
                </w:tcPr>
                <w:p w14:paraId="1EC4D90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AE456C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75421ED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0944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CA0322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D3288E7">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094AE3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底座</w:t>
                  </w:r>
                </w:p>
              </w:tc>
              <w:tc>
                <w:tcPr>
                  <w:tcW w:w="1323" w:type="pct"/>
                  <w:tcBorders>
                    <w:tl2br w:val="nil"/>
                    <w:tr2bl w:val="nil"/>
                  </w:tcBorders>
                  <w:noWrap w:val="0"/>
                  <w:vAlign w:val="center"/>
                </w:tcPr>
                <w:p w14:paraId="3E2364F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DZ450/9-S</w:t>
                  </w:r>
                  <w:r>
                    <w:rPr>
                      <w:rFonts w:hint="default" w:ascii="Times New Roman" w:hAnsi="Times New Roman" w:eastAsia="宋体" w:cs="Times New Roman"/>
                      <w:color w:val="auto"/>
                      <w:sz w:val="21"/>
                      <w:szCs w:val="21"/>
                    </w:rPr>
                    <w:t>底座</w:t>
                  </w:r>
                </w:p>
              </w:tc>
              <w:tc>
                <w:tcPr>
                  <w:tcW w:w="555" w:type="pct"/>
                  <w:tcBorders>
                    <w:tl2br w:val="nil"/>
                    <w:tr2bl w:val="nil"/>
                  </w:tcBorders>
                  <w:noWrap w:val="0"/>
                  <w:vAlign w:val="center"/>
                </w:tcPr>
                <w:p w14:paraId="31AFFAD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88AB53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5499F0E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B5A1B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88F3683">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56C6FB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D06510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天车</w:t>
                  </w:r>
                </w:p>
              </w:tc>
              <w:tc>
                <w:tcPr>
                  <w:tcW w:w="1323" w:type="pct"/>
                  <w:tcBorders>
                    <w:tl2br w:val="nil"/>
                    <w:tr2bl w:val="nil"/>
                  </w:tcBorders>
                  <w:noWrap w:val="0"/>
                  <w:vAlign w:val="center"/>
                </w:tcPr>
                <w:p w14:paraId="53F9D0D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TC-315</w:t>
                  </w:r>
                </w:p>
              </w:tc>
              <w:tc>
                <w:tcPr>
                  <w:tcW w:w="555" w:type="pct"/>
                  <w:tcBorders>
                    <w:tl2br w:val="nil"/>
                    <w:tr2bl w:val="nil"/>
                  </w:tcBorders>
                  <w:noWrap w:val="0"/>
                  <w:vAlign w:val="center"/>
                </w:tcPr>
                <w:p w14:paraId="6A9B14A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517" w:type="pct"/>
                  <w:tcBorders>
                    <w:tl2br w:val="nil"/>
                    <w:tr2bl w:val="nil"/>
                  </w:tcBorders>
                  <w:noWrap w:val="0"/>
                  <w:vAlign w:val="center"/>
                </w:tcPr>
                <w:p w14:paraId="2EC4EA54">
                  <w:pPr>
                    <w:adjustRightInd w:val="0"/>
                    <w:snapToGrid w:val="0"/>
                    <w:jc w:val="center"/>
                    <w:rPr>
                      <w:rFonts w:hint="default" w:ascii="Times New Roman" w:hAnsi="Times New Roman" w:cs="Times New Roman"/>
                      <w:color w:val="auto"/>
                      <w:sz w:val="21"/>
                      <w:szCs w:val="21"/>
                    </w:rPr>
                  </w:pPr>
                </w:p>
              </w:tc>
              <w:tc>
                <w:tcPr>
                  <w:tcW w:w="815" w:type="pct"/>
                  <w:tcBorders>
                    <w:tl2br w:val="nil"/>
                    <w:tr2bl w:val="nil"/>
                  </w:tcBorders>
                  <w:noWrap w:val="0"/>
                  <w:vAlign w:val="center"/>
                </w:tcPr>
                <w:p w14:paraId="7982355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6FC0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A52FE5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09FB5E0">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08609D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绞车</w:t>
                  </w:r>
                </w:p>
              </w:tc>
              <w:tc>
                <w:tcPr>
                  <w:tcW w:w="1323" w:type="pct"/>
                  <w:tcBorders>
                    <w:tl2br w:val="nil"/>
                    <w:tr2bl w:val="nil"/>
                  </w:tcBorders>
                  <w:noWrap w:val="0"/>
                  <w:vAlign w:val="center"/>
                </w:tcPr>
                <w:p w14:paraId="4278DC6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JC50DB</w:t>
                  </w:r>
                </w:p>
              </w:tc>
              <w:tc>
                <w:tcPr>
                  <w:tcW w:w="555" w:type="pct"/>
                  <w:tcBorders>
                    <w:tl2br w:val="nil"/>
                    <w:tr2bl w:val="nil"/>
                  </w:tcBorders>
                  <w:noWrap w:val="0"/>
                  <w:vAlign w:val="center"/>
                </w:tcPr>
                <w:p w14:paraId="296F041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E675F14">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1</w:t>
                  </w:r>
                  <w:r>
                    <w:rPr>
                      <w:rFonts w:hint="default" w:ascii="Times New Roman" w:hAnsi="Times New Roman" w:eastAsia="宋体" w:cs="Times New Roman"/>
                      <w:color w:val="auto"/>
                      <w:sz w:val="21"/>
                      <w:szCs w:val="21"/>
                      <w:lang w:val="en-US"/>
                    </w:rPr>
                    <w:t>台</w:t>
                  </w:r>
                </w:p>
              </w:tc>
              <w:tc>
                <w:tcPr>
                  <w:tcW w:w="815" w:type="pct"/>
                  <w:tcBorders>
                    <w:tl2br w:val="nil"/>
                    <w:tr2bl w:val="nil"/>
                  </w:tcBorders>
                  <w:noWrap w:val="0"/>
                  <w:vAlign w:val="center"/>
                </w:tcPr>
                <w:p w14:paraId="5CC2381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14:paraId="6E72D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16179B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B7CCD37">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F2E6E7C">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游动滑车</w:t>
                  </w:r>
                </w:p>
              </w:tc>
              <w:tc>
                <w:tcPr>
                  <w:tcW w:w="1323" w:type="pct"/>
                  <w:tcBorders>
                    <w:tl2br w:val="nil"/>
                    <w:tr2bl w:val="nil"/>
                  </w:tcBorders>
                  <w:noWrap w:val="0"/>
                  <w:vAlign w:val="center"/>
                </w:tcPr>
                <w:p w14:paraId="1FA847F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YC-315</w:t>
                  </w:r>
                </w:p>
              </w:tc>
              <w:tc>
                <w:tcPr>
                  <w:tcW w:w="555" w:type="pct"/>
                  <w:tcBorders>
                    <w:tl2br w:val="nil"/>
                    <w:tr2bl w:val="nil"/>
                  </w:tcBorders>
                  <w:noWrap w:val="0"/>
                  <w:vAlign w:val="center"/>
                </w:tcPr>
                <w:p w14:paraId="0CD80DC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514ECB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499677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EDA4C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96BC536">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8F7DC8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54A5FA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大钩</w:t>
                  </w:r>
                </w:p>
              </w:tc>
              <w:tc>
                <w:tcPr>
                  <w:tcW w:w="1323" w:type="pct"/>
                  <w:tcBorders>
                    <w:tl2br w:val="nil"/>
                    <w:tr2bl w:val="nil"/>
                  </w:tcBorders>
                  <w:noWrap w:val="0"/>
                  <w:vAlign w:val="center"/>
                </w:tcPr>
                <w:p w14:paraId="5B57061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DG-315</w:t>
                  </w:r>
                </w:p>
              </w:tc>
              <w:tc>
                <w:tcPr>
                  <w:tcW w:w="555" w:type="pct"/>
                  <w:tcBorders>
                    <w:tl2br w:val="nil"/>
                    <w:tr2bl w:val="nil"/>
                  </w:tcBorders>
                  <w:noWrap w:val="0"/>
                  <w:vAlign w:val="center"/>
                </w:tcPr>
                <w:p w14:paraId="3544DE9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9EE4AD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621B71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B5EF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2B17A4B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DE7547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E66404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转盘</w:t>
                  </w:r>
                </w:p>
              </w:tc>
              <w:tc>
                <w:tcPr>
                  <w:tcW w:w="1323" w:type="pct"/>
                  <w:tcBorders>
                    <w:tl2br w:val="nil"/>
                    <w:tr2bl w:val="nil"/>
                  </w:tcBorders>
                  <w:noWrap w:val="0"/>
                  <w:vAlign w:val="center"/>
                </w:tcPr>
                <w:p w14:paraId="4CAE931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ZP-275</w:t>
                  </w:r>
                </w:p>
              </w:tc>
              <w:tc>
                <w:tcPr>
                  <w:tcW w:w="555" w:type="pct"/>
                  <w:tcBorders>
                    <w:tl2br w:val="nil"/>
                    <w:tr2bl w:val="nil"/>
                  </w:tcBorders>
                  <w:noWrap w:val="0"/>
                  <w:vAlign w:val="center"/>
                </w:tcPr>
                <w:p w14:paraId="7D4B1D4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A4A766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43F3B6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A534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65DCFA1">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7F9BBB9">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CF6630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泥浆泵</w:t>
                  </w:r>
                </w:p>
              </w:tc>
              <w:tc>
                <w:tcPr>
                  <w:tcW w:w="1323" w:type="pct"/>
                  <w:tcBorders>
                    <w:tl2br w:val="nil"/>
                    <w:tr2bl w:val="nil"/>
                  </w:tcBorders>
                  <w:noWrap w:val="0"/>
                  <w:vAlign w:val="center"/>
                </w:tcPr>
                <w:p w14:paraId="2E10947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F-1600</w:t>
                  </w:r>
                </w:p>
              </w:tc>
              <w:tc>
                <w:tcPr>
                  <w:tcW w:w="555" w:type="pct"/>
                  <w:tcBorders>
                    <w:tl2br w:val="nil"/>
                    <w:tr2bl w:val="nil"/>
                  </w:tcBorders>
                  <w:noWrap w:val="0"/>
                  <w:vAlign w:val="center"/>
                </w:tcPr>
                <w:p w14:paraId="6A68007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1E9090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DCE06E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98AF5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6B9D3D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A6AF5F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6072F0A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除砂器</w:t>
                  </w:r>
                </w:p>
              </w:tc>
              <w:tc>
                <w:tcPr>
                  <w:tcW w:w="1323" w:type="pct"/>
                  <w:tcBorders>
                    <w:tl2br w:val="nil"/>
                    <w:tr2bl w:val="nil"/>
                  </w:tcBorders>
                  <w:noWrap w:val="0"/>
                  <w:vAlign w:val="center"/>
                </w:tcPr>
                <w:p w14:paraId="1BA4387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ZQJ250×2</w:t>
                  </w:r>
                </w:p>
              </w:tc>
              <w:tc>
                <w:tcPr>
                  <w:tcW w:w="555" w:type="pct"/>
                  <w:tcBorders>
                    <w:tl2br w:val="nil"/>
                    <w:tr2bl w:val="nil"/>
                  </w:tcBorders>
                  <w:noWrap w:val="0"/>
                  <w:vAlign w:val="center"/>
                </w:tcPr>
                <w:p w14:paraId="44F3C84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A44DE2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B03E2F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C965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92707B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48AD0D6">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6178F5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除泥器</w:t>
                  </w:r>
                </w:p>
              </w:tc>
              <w:tc>
                <w:tcPr>
                  <w:tcW w:w="1323" w:type="pct"/>
                  <w:tcBorders>
                    <w:tl2br w:val="nil"/>
                    <w:tr2bl w:val="nil"/>
                  </w:tcBorders>
                  <w:noWrap w:val="0"/>
                  <w:vAlign w:val="center"/>
                </w:tcPr>
                <w:p w14:paraId="5DA81C2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ZQJ100×10</w:t>
                  </w:r>
                </w:p>
              </w:tc>
              <w:tc>
                <w:tcPr>
                  <w:tcW w:w="555" w:type="pct"/>
                  <w:tcBorders>
                    <w:tl2br w:val="nil"/>
                    <w:tr2bl w:val="nil"/>
                  </w:tcBorders>
                  <w:noWrap w:val="0"/>
                  <w:vAlign w:val="center"/>
                </w:tcPr>
                <w:p w14:paraId="7890FF2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CED62D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AD8C4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75F10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7EA5E7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3F68B6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4AA8F1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离心机</w:t>
                  </w:r>
                </w:p>
              </w:tc>
              <w:tc>
                <w:tcPr>
                  <w:tcW w:w="1323" w:type="pct"/>
                  <w:tcBorders>
                    <w:tl2br w:val="nil"/>
                    <w:tr2bl w:val="nil"/>
                  </w:tcBorders>
                  <w:noWrap w:val="0"/>
                  <w:vAlign w:val="center"/>
                </w:tcPr>
                <w:p w14:paraId="50F6392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LW600</w:t>
                  </w:r>
                </w:p>
              </w:tc>
              <w:tc>
                <w:tcPr>
                  <w:tcW w:w="555" w:type="pct"/>
                  <w:tcBorders>
                    <w:tl2br w:val="nil"/>
                    <w:tr2bl w:val="nil"/>
                  </w:tcBorders>
                  <w:noWrap w:val="0"/>
                  <w:vAlign w:val="center"/>
                </w:tcPr>
                <w:p w14:paraId="15A8D6F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59DF28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A38B44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9C8C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555605C">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ADD77E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856F62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除气器</w:t>
                  </w:r>
                </w:p>
              </w:tc>
              <w:tc>
                <w:tcPr>
                  <w:tcW w:w="1323" w:type="pct"/>
                  <w:tcBorders>
                    <w:tl2br w:val="nil"/>
                    <w:tr2bl w:val="nil"/>
                  </w:tcBorders>
                  <w:noWrap w:val="0"/>
                  <w:vAlign w:val="center"/>
                </w:tcPr>
                <w:p w14:paraId="1775BE1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CQ1/4</w:t>
                  </w:r>
                </w:p>
              </w:tc>
              <w:tc>
                <w:tcPr>
                  <w:tcW w:w="555" w:type="pct"/>
                  <w:tcBorders>
                    <w:tl2br w:val="nil"/>
                    <w:tr2bl w:val="nil"/>
                  </w:tcBorders>
                  <w:noWrap w:val="0"/>
                  <w:vAlign w:val="center"/>
                </w:tcPr>
                <w:p w14:paraId="3446468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830E6F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D40B56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B5D2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1D59EB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F5FD6BE">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FA3222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振动筛</w:t>
                  </w:r>
                </w:p>
              </w:tc>
              <w:tc>
                <w:tcPr>
                  <w:tcW w:w="1323" w:type="pct"/>
                  <w:tcBorders>
                    <w:tl2br w:val="nil"/>
                    <w:tr2bl w:val="nil"/>
                  </w:tcBorders>
                  <w:noWrap w:val="0"/>
                  <w:vAlign w:val="center"/>
                </w:tcPr>
                <w:p w14:paraId="19DF24D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CQ-2</w:t>
                  </w:r>
                </w:p>
              </w:tc>
              <w:tc>
                <w:tcPr>
                  <w:tcW w:w="555" w:type="pct"/>
                  <w:tcBorders>
                    <w:tl2br w:val="nil"/>
                    <w:tr2bl w:val="nil"/>
                  </w:tcBorders>
                  <w:noWrap w:val="0"/>
                  <w:vAlign w:val="center"/>
                </w:tcPr>
                <w:p w14:paraId="7398314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22D4F3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D67230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FA6CF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697CEC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2DA54E8">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1FC102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漏斗</w:t>
                  </w:r>
                </w:p>
              </w:tc>
              <w:tc>
                <w:tcPr>
                  <w:tcW w:w="1323" w:type="pct"/>
                  <w:tcBorders>
                    <w:tl2br w:val="nil"/>
                    <w:tr2bl w:val="nil"/>
                  </w:tcBorders>
                  <w:noWrap w:val="0"/>
                  <w:vAlign w:val="center"/>
                </w:tcPr>
                <w:p w14:paraId="0FF58A3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0639548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2E9E8A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4BEA721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98E2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20183B0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EC1A16F">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77C38F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加重泵</w:t>
                  </w:r>
                </w:p>
              </w:tc>
              <w:tc>
                <w:tcPr>
                  <w:tcW w:w="1323" w:type="pct"/>
                  <w:tcBorders>
                    <w:tl2br w:val="nil"/>
                    <w:tr2bl w:val="nil"/>
                  </w:tcBorders>
                  <w:noWrap w:val="0"/>
                  <w:vAlign w:val="center"/>
                </w:tcPr>
                <w:p w14:paraId="3C37956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0507990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6B553C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0B15ED5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F83BB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06E8571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569" w:type="pct"/>
                  <w:vMerge w:val="restart"/>
                  <w:tcBorders>
                    <w:tl2br w:val="nil"/>
                    <w:tr2bl w:val="nil"/>
                  </w:tcBorders>
                  <w:noWrap w:val="0"/>
                  <w:vAlign w:val="center"/>
                </w:tcPr>
                <w:p w14:paraId="0054455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钻机控制系统</w:t>
                  </w:r>
                </w:p>
              </w:tc>
              <w:tc>
                <w:tcPr>
                  <w:tcW w:w="966" w:type="pct"/>
                  <w:tcBorders>
                    <w:tl2br w:val="nil"/>
                    <w:tr2bl w:val="nil"/>
                  </w:tcBorders>
                  <w:noWrap w:val="0"/>
                  <w:vAlign w:val="center"/>
                </w:tcPr>
                <w:p w14:paraId="40B26A3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自动压风机</w:t>
                  </w:r>
                </w:p>
              </w:tc>
              <w:tc>
                <w:tcPr>
                  <w:tcW w:w="1323" w:type="pct"/>
                  <w:tcBorders>
                    <w:tl2br w:val="nil"/>
                    <w:tr2bl w:val="nil"/>
                  </w:tcBorders>
                  <w:noWrap w:val="0"/>
                  <w:vAlign w:val="center"/>
                </w:tcPr>
                <w:p w14:paraId="5F93135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5A13B42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4B54D1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DFC3E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2C360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92F38B9">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E9CF23C">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6C1CF0B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电动压风机</w:t>
                  </w:r>
                </w:p>
              </w:tc>
              <w:tc>
                <w:tcPr>
                  <w:tcW w:w="1323" w:type="pct"/>
                  <w:tcBorders>
                    <w:tl2br w:val="nil"/>
                    <w:tr2bl w:val="nil"/>
                  </w:tcBorders>
                  <w:noWrap w:val="0"/>
                  <w:vAlign w:val="center"/>
                </w:tcPr>
                <w:p w14:paraId="14E776D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4F83FB6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2A9D5F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74C9E43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651D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E10A31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7A58D91">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083BEC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刹车系统</w:t>
                  </w:r>
                </w:p>
              </w:tc>
              <w:tc>
                <w:tcPr>
                  <w:tcW w:w="1323" w:type="pct"/>
                  <w:tcBorders>
                    <w:tl2br w:val="nil"/>
                    <w:tr2bl w:val="nil"/>
                  </w:tcBorders>
                  <w:noWrap w:val="0"/>
                  <w:vAlign w:val="center"/>
                </w:tcPr>
                <w:p w14:paraId="4A59522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PSZ75</w:t>
                  </w:r>
                  <w:r>
                    <w:rPr>
                      <w:rFonts w:hint="default" w:ascii="Times New Roman" w:hAnsi="Times New Roman" w:eastAsia="宋体" w:cs="Times New Roman"/>
                      <w:color w:val="auto"/>
                      <w:sz w:val="21"/>
                      <w:szCs w:val="21"/>
                    </w:rPr>
                    <w:t>液压盘刹车系统</w:t>
                  </w:r>
                </w:p>
              </w:tc>
              <w:tc>
                <w:tcPr>
                  <w:tcW w:w="555" w:type="pct"/>
                  <w:tcBorders>
                    <w:tl2br w:val="nil"/>
                    <w:tr2bl w:val="nil"/>
                  </w:tcBorders>
                  <w:noWrap w:val="0"/>
                  <w:vAlign w:val="center"/>
                </w:tcPr>
                <w:p w14:paraId="0914F46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A5D48C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676E491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26C92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6536D0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FBB62AF">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77CE8F4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辅助刹车</w:t>
                  </w:r>
                </w:p>
              </w:tc>
              <w:tc>
                <w:tcPr>
                  <w:tcW w:w="1323" w:type="pct"/>
                  <w:tcBorders>
                    <w:tl2br w:val="nil"/>
                    <w:tr2bl w:val="nil"/>
                  </w:tcBorders>
                  <w:noWrap w:val="0"/>
                  <w:vAlign w:val="center"/>
                </w:tcPr>
                <w:p w14:paraId="3241603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SDF50L</w:t>
                  </w:r>
                </w:p>
              </w:tc>
              <w:tc>
                <w:tcPr>
                  <w:tcW w:w="555" w:type="pct"/>
                  <w:tcBorders>
                    <w:tl2br w:val="nil"/>
                    <w:tr2bl w:val="nil"/>
                  </w:tcBorders>
                  <w:noWrap w:val="0"/>
                  <w:vAlign w:val="center"/>
                </w:tcPr>
                <w:p w14:paraId="09430CA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1D35F5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7981843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6008B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1BADC62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569" w:type="pct"/>
                  <w:vMerge w:val="restart"/>
                  <w:tcBorders>
                    <w:tl2br w:val="nil"/>
                    <w:tr2bl w:val="nil"/>
                  </w:tcBorders>
                  <w:noWrap w:val="0"/>
                  <w:vAlign w:val="center"/>
                </w:tcPr>
                <w:p w14:paraId="49F7B5C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井控装置</w:t>
                  </w:r>
                </w:p>
              </w:tc>
              <w:tc>
                <w:tcPr>
                  <w:tcW w:w="966" w:type="pct"/>
                  <w:tcBorders>
                    <w:tl2br w:val="nil"/>
                    <w:tr2bl w:val="nil"/>
                  </w:tcBorders>
                  <w:noWrap w:val="0"/>
                  <w:vAlign w:val="center"/>
                </w:tcPr>
                <w:p w14:paraId="6427E7A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环形防喷器</w:t>
                  </w:r>
                </w:p>
              </w:tc>
              <w:tc>
                <w:tcPr>
                  <w:tcW w:w="1323" w:type="pct"/>
                  <w:tcBorders>
                    <w:tl2br w:val="nil"/>
                    <w:tr2bl w:val="nil"/>
                  </w:tcBorders>
                  <w:noWrap w:val="0"/>
                  <w:vAlign w:val="center"/>
                </w:tcPr>
                <w:p w14:paraId="2044990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FH28-35</w:t>
                  </w:r>
                </w:p>
              </w:tc>
              <w:tc>
                <w:tcPr>
                  <w:tcW w:w="555" w:type="pct"/>
                  <w:tcBorders>
                    <w:tl2br w:val="nil"/>
                    <w:tr2bl w:val="nil"/>
                  </w:tcBorders>
                  <w:noWrap w:val="0"/>
                  <w:vAlign w:val="center"/>
                </w:tcPr>
                <w:p w14:paraId="310D6C7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A40960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9EE4DB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56BA2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2C2B95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AAE3184">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04F44E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闸板防喷器</w:t>
                  </w:r>
                </w:p>
              </w:tc>
              <w:tc>
                <w:tcPr>
                  <w:tcW w:w="1323" w:type="pct"/>
                  <w:tcBorders>
                    <w:tl2br w:val="nil"/>
                    <w:tr2bl w:val="nil"/>
                  </w:tcBorders>
                  <w:noWrap w:val="0"/>
                  <w:vAlign w:val="center"/>
                </w:tcPr>
                <w:p w14:paraId="3DC8368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2FZ28-35</w:t>
                  </w:r>
                </w:p>
              </w:tc>
              <w:tc>
                <w:tcPr>
                  <w:tcW w:w="555" w:type="pct"/>
                  <w:tcBorders>
                    <w:tl2br w:val="nil"/>
                    <w:tr2bl w:val="nil"/>
                  </w:tcBorders>
                  <w:noWrap w:val="0"/>
                  <w:vAlign w:val="center"/>
                </w:tcPr>
                <w:p w14:paraId="2B71831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185D61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EDABAA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B51C6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68F42A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F778A0E">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33B6D2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四通</w:t>
                  </w:r>
                </w:p>
              </w:tc>
              <w:tc>
                <w:tcPr>
                  <w:tcW w:w="1323" w:type="pct"/>
                  <w:tcBorders>
                    <w:tl2br w:val="nil"/>
                    <w:tr2bl w:val="nil"/>
                  </w:tcBorders>
                  <w:noWrap w:val="0"/>
                  <w:vAlign w:val="center"/>
                </w:tcPr>
                <w:p w14:paraId="5E28041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FS28-35</w:t>
                  </w:r>
                </w:p>
              </w:tc>
              <w:tc>
                <w:tcPr>
                  <w:tcW w:w="555" w:type="pct"/>
                  <w:tcBorders>
                    <w:tl2br w:val="nil"/>
                    <w:tr2bl w:val="nil"/>
                  </w:tcBorders>
                  <w:noWrap w:val="0"/>
                  <w:vAlign w:val="center"/>
                </w:tcPr>
                <w:p w14:paraId="2F2E5EF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7E81F3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760E43D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C9EA7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5" w:hRule="atLeast"/>
                <w:jc w:val="center"/>
              </w:trPr>
              <w:tc>
                <w:tcPr>
                  <w:tcW w:w="252" w:type="pct"/>
                  <w:vMerge w:val="continue"/>
                  <w:tcBorders>
                    <w:tl2br w:val="nil"/>
                    <w:tr2bl w:val="nil"/>
                  </w:tcBorders>
                  <w:noWrap w:val="0"/>
                  <w:vAlign w:val="center"/>
                </w:tcPr>
                <w:p w14:paraId="33967CD3">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9603D3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6848D6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节流管汇</w:t>
                  </w:r>
                </w:p>
              </w:tc>
              <w:tc>
                <w:tcPr>
                  <w:tcW w:w="1323" w:type="pct"/>
                  <w:tcBorders>
                    <w:tl2br w:val="nil"/>
                    <w:tr2bl w:val="nil"/>
                  </w:tcBorders>
                  <w:noWrap w:val="0"/>
                  <w:vAlign w:val="center"/>
                </w:tcPr>
                <w:p w14:paraId="66E33E4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JG-35</w:t>
                  </w:r>
                </w:p>
              </w:tc>
              <w:tc>
                <w:tcPr>
                  <w:tcW w:w="555" w:type="pct"/>
                  <w:tcBorders>
                    <w:tl2br w:val="nil"/>
                    <w:tr2bl w:val="nil"/>
                  </w:tcBorders>
                  <w:noWrap w:val="0"/>
                  <w:vAlign w:val="center"/>
                </w:tcPr>
                <w:p w14:paraId="768A4CF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E4FD86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FB427B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E263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3165F6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2EC0E4A">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B85585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压井管汇</w:t>
                  </w:r>
                </w:p>
              </w:tc>
              <w:tc>
                <w:tcPr>
                  <w:tcW w:w="1323" w:type="pct"/>
                  <w:tcBorders>
                    <w:tl2br w:val="nil"/>
                    <w:tr2bl w:val="nil"/>
                  </w:tcBorders>
                  <w:noWrap w:val="0"/>
                  <w:vAlign w:val="center"/>
                </w:tcPr>
                <w:p w14:paraId="6D6AA48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YJ-35</w:t>
                  </w:r>
                </w:p>
              </w:tc>
              <w:tc>
                <w:tcPr>
                  <w:tcW w:w="555" w:type="pct"/>
                  <w:tcBorders>
                    <w:tl2br w:val="nil"/>
                    <w:tr2bl w:val="nil"/>
                  </w:tcBorders>
                  <w:noWrap w:val="0"/>
                  <w:vAlign w:val="center"/>
                </w:tcPr>
                <w:p w14:paraId="3198629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A1D5A6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5524660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95401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2C41B78">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35E1FE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63AD66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控制装置</w:t>
                  </w:r>
                </w:p>
              </w:tc>
              <w:tc>
                <w:tcPr>
                  <w:tcW w:w="1323" w:type="pct"/>
                  <w:tcBorders>
                    <w:tl2br w:val="nil"/>
                    <w:tr2bl w:val="nil"/>
                  </w:tcBorders>
                  <w:noWrap w:val="0"/>
                  <w:vAlign w:val="center"/>
                </w:tcPr>
                <w:p w14:paraId="20BF369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FKQ3204B</w:t>
                  </w:r>
                </w:p>
              </w:tc>
              <w:tc>
                <w:tcPr>
                  <w:tcW w:w="555" w:type="pct"/>
                  <w:tcBorders>
                    <w:tl2br w:val="nil"/>
                    <w:tr2bl w:val="nil"/>
                  </w:tcBorders>
                  <w:noWrap w:val="0"/>
                  <w:vAlign w:val="center"/>
                </w:tcPr>
                <w:p w14:paraId="0FF6A2F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E052E9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0E866E5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25452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3E1CCC4E">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569" w:type="pct"/>
                  <w:vMerge w:val="restart"/>
                  <w:tcBorders>
                    <w:tl2br w:val="nil"/>
                    <w:tr2bl w:val="nil"/>
                  </w:tcBorders>
                  <w:noWrap w:val="0"/>
                  <w:vAlign w:val="center"/>
                </w:tcPr>
                <w:p w14:paraId="0EC0DD6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检测系统</w:t>
                  </w:r>
                </w:p>
              </w:tc>
              <w:tc>
                <w:tcPr>
                  <w:tcW w:w="966" w:type="pct"/>
                  <w:tcBorders>
                    <w:tl2br w:val="nil"/>
                    <w:tr2bl w:val="nil"/>
                  </w:tcBorders>
                  <w:noWrap w:val="0"/>
                  <w:vAlign w:val="center"/>
                </w:tcPr>
                <w:p w14:paraId="341F643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固定式多功能气体检测仪</w:t>
                  </w:r>
                </w:p>
              </w:tc>
              <w:tc>
                <w:tcPr>
                  <w:tcW w:w="1323" w:type="pct"/>
                  <w:tcBorders>
                    <w:tl2br w:val="nil"/>
                    <w:tr2bl w:val="nil"/>
                  </w:tcBorders>
                  <w:noWrap w:val="0"/>
                  <w:vAlign w:val="center"/>
                </w:tcPr>
                <w:p w14:paraId="7AC6EBD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6AAEC7C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39A8C2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52EA1B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FBA9B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3E10E2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6C7E4D3">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DFDAE6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便携式复合气体检测仪</w:t>
                  </w:r>
                </w:p>
              </w:tc>
              <w:tc>
                <w:tcPr>
                  <w:tcW w:w="1323" w:type="pct"/>
                  <w:tcBorders>
                    <w:tl2br w:val="nil"/>
                    <w:tr2bl w:val="nil"/>
                  </w:tcBorders>
                  <w:noWrap w:val="0"/>
                  <w:vAlign w:val="center"/>
                </w:tcPr>
                <w:p w14:paraId="7ACF49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7481C77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30C08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8DE123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C9F2F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559F9FF0">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569" w:type="pct"/>
                  <w:tcBorders>
                    <w:tl2br w:val="nil"/>
                    <w:tr2bl w:val="nil"/>
                  </w:tcBorders>
                  <w:noWrap w:val="0"/>
                  <w:vAlign w:val="center"/>
                </w:tcPr>
                <w:p w14:paraId="6B30C49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呼吸器</w:t>
                  </w:r>
                </w:p>
              </w:tc>
              <w:tc>
                <w:tcPr>
                  <w:tcW w:w="966" w:type="pct"/>
                  <w:tcBorders>
                    <w:tl2br w:val="nil"/>
                    <w:tr2bl w:val="nil"/>
                  </w:tcBorders>
                  <w:noWrap w:val="0"/>
                  <w:vAlign w:val="center"/>
                </w:tcPr>
                <w:p w14:paraId="4023D8D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正压式空气呼吸器</w:t>
                  </w:r>
                </w:p>
              </w:tc>
              <w:tc>
                <w:tcPr>
                  <w:tcW w:w="1323" w:type="pct"/>
                  <w:tcBorders>
                    <w:tl2br w:val="nil"/>
                    <w:tr2bl w:val="nil"/>
                  </w:tcBorders>
                  <w:noWrap w:val="0"/>
                  <w:vAlign w:val="center"/>
                </w:tcPr>
                <w:p w14:paraId="0E3145B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0147004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25D95D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15" w:type="pct"/>
                  <w:tcBorders>
                    <w:tl2br w:val="nil"/>
                    <w:tr2bl w:val="nil"/>
                  </w:tcBorders>
                  <w:noWrap w:val="0"/>
                  <w:vAlign w:val="center"/>
                </w:tcPr>
                <w:p w14:paraId="5C93E09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当班生产人员每人1套，并配备2套作为公用</w:t>
                  </w:r>
                </w:p>
              </w:tc>
            </w:tr>
            <w:tr w14:paraId="18538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3BBCCA13">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569" w:type="pct"/>
                  <w:vMerge w:val="restart"/>
                  <w:tcBorders>
                    <w:tl2br w:val="nil"/>
                    <w:tr2bl w:val="nil"/>
                  </w:tcBorders>
                  <w:noWrap w:val="0"/>
                  <w:vAlign w:val="center"/>
                </w:tcPr>
                <w:p w14:paraId="3E4E620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循环系统 配置</w:t>
                  </w:r>
                </w:p>
              </w:tc>
              <w:tc>
                <w:tcPr>
                  <w:tcW w:w="966" w:type="pct"/>
                  <w:tcBorders>
                    <w:tl2br w:val="nil"/>
                    <w:tr2bl w:val="nil"/>
                  </w:tcBorders>
                  <w:noWrap w:val="0"/>
                  <w:vAlign w:val="center"/>
                </w:tcPr>
                <w:p w14:paraId="72DE653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钻井泵</w:t>
                  </w:r>
                </w:p>
              </w:tc>
              <w:tc>
                <w:tcPr>
                  <w:tcW w:w="1323" w:type="pct"/>
                  <w:tcBorders>
                    <w:tl2br w:val="nil"/>
                    <w:tr2bl w:val="nil"/>
                  </w:tcBorders>
                  <w:noWrap w:val="0"/>
                  <w:vAlign w:val="center"/>
                </w:tcPr>
                <w:p w14:paraId="59C6413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3451A3E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0B5F8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0F1513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56C67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FDB1090">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08F4CC4">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CB9976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洗井废水罐</w:t>
                  </w:r>
                </w:p>
              </w:tc>
              <w:tc>
                <w:tcPr>
                  <w:tcW w:w="1323" w:type="pct"/>
                  <w:tcBorders>
                    <w:tl2br w:val="nil"/>
                    <w:tr2bl w:val="nil"/>
                  </w:tcBorders>
                  <w:noWrap w:val="0"/>
                  <w:vAlign w:val="center"/>
                </w:tcPr>
                <w:p w14:paraId="225A9C1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59D6E8F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04823C5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85181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F6D33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D911612">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8CB9C8D">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C87422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压裂返排液罐</w:t>
                  </w:r>
                </w:p>
              </w:tc>
              <w:tc>
                <w:tcPr>
                  <w:tcW w:w="1323" w:type="pct"/>
                  <w:tcBorders>
                    <w:tl2br w:val="nil"/>
                    <w:tr2bl w:val="nil"/>
                  </w:tcBorders>
                  <w:noWrap w:val="0"/>
                  <w:vAlign w:val="center"/>
                </w:tcPr>
                <w:p w14:paraId="61FCD2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5F071E9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26EBC4B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2E41A9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9E02F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674896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B6AD0A8">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9F3916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移动式泥饼和岩屑收集罐</w:t>
                  </w:r>
                </w:p>
              </w:tc>
              <w:tc>
                <w:tcPr>
                  <w:tcW w:w="1323" w:type="pct"/>
                  <w:tcBorders>
                    <w:tl2br w:val="nil"/>
                    <w:tr2bl w:val="nil"/>
                  </w:tcBorders>
                  <w:noWrap w:val="0"/>
                  <w:vAlign w:val="center"/>
                </w:tcPr>
                <w:p w14:paraId="3A72531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3C6A6B8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29E6EE8B">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581B6A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BFFFE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EDA4E1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3E5570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52B114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放喷废液收集罐</w:t>
                  </w:r>
                </w:p>
              </w:tc>
              <w:tc>
                <w:tcPr>
                  <w:tcW w:w="1323" w:type="pct"/>
                  <w:tcBorders>
                    <w:tl2br w:val="nil"/>
                    <w:tr2bl w:val="nil"/>
                  </w:tcBorders>
                  <w:noWrap w:val="0"/>
                  <w:vAlign w:val="center"/>
                </w:tcPr>
                <w:p w14:paraId="1374977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769D311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0B618E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F18FC2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AD826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E22F3F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0C6362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F95C2E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搅拌器</w:t>
                  </w:r>
                </w:p>
              </w:tc>
              <w:tc>
                <w:tcPr>
                  <w:tcW w:w="1323" w:type="pct"/>
                  <w:tcBorders>
                    <w:tl2br w:val="nil"/>
                    <w:tr2bl w:val="nil"/>
                  </w:tcBorders>
                  <w:noWrap w:val="0"/>
                  <w:vAlign w:val="center"/>
                </w:tcPr>
                <w:p w14:paraId="7665647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520EDA0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NJ-7.5</w:t>
                  </w:r>
                </w:p>
              </w:tc>
              <w:tc>
                <w:tcPr>
                  <w:tcW w:w="517" w:type="pct"/>
                  <w:tcBorders>
                    <w:tl2br w:val="nil"/>
                    <w:tr2bl w:val="nil"/>
                  </w:tcBorders>
                  <w:noWrap w:val="0"/>
                  <w:vAlign w:val="center"/>
                </w:tcPr>
                <w:p w14:paraId="04245F9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E21B84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C9E6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8389F1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A1D809D">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F1670F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泥浆循环罐</w:t>
                  </w:r>
                </w:p>
              </w:tc>
              <w:tc>
                <w:tcPr>
                  <w:tcW w:w="1323" w:type="pct"/>
                  <w:tcBorders>
                    <w:tl2br w:val="nil"/>
                    <w:tr2bl w:val="nil"/>
                  </w:tcBorders>
                  <w:noWrap w:val="0"/>
                  <w:vAlign w:val="center"/>
                </w:tcPr>
                <w:p w14:paraId="2CBCA2E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5CAD90F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p>
              </w:tc>
              <w:tc>
                <w:tcPr>
                  <w:tcW w:w="517" w:type="pct"/>
                  <w:tcBorders>
                    <w:tl2br w:val="nil"/>
                    <w:tr2bl w:val="nil"/>
                  </w:tcBorders>
                  <w:noWrap w:val="0"/>
                  <w:vAlign w:val="center"/>
                </w:tcPr>
                <w:p w14:paraId="4921F3E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7个</w:t>
                  </w:r>
                </w:p>
              </w:tc>
              <w:tc>
                <w:tcPr>
                  <w:tcW w:w="815" w:type="pct"/>
                  <w:tcBorders>
                    <w:tl2br w:val="nil"/>
                    <w:tr2bl w:val="nil"/>
                  </w:tcBorders>
                  <w:noWrap w:val="0"/>
                  <w:vAlign w:val="center"/>
                </w:tcPr>
                <w:p w14:paraId="7DF7B88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8CD2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5DBC9328">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69" w:type="pct"/>
                  <w:tcBorders>
                    <w:tl2br w:val="nil"/>
                    <w:tr2bl w:val="nil"/>
                  </w:tcBorders>
                  <w:noWrap w:val="0"/>
                  <w:vAlign w:val="center"/>
                </w:tcPr>
                <w:p w14:paraId="3E32CD2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压裂设备</w:t>
                  </w:r>
                </w:p>
              </w:tc>
              <w:tc>
                <w:tcPr>
                  <w:tcW w:w="966" w:type="pct"/>
                  <w:tcBorders>
                    <w:tl2br w:val="nil"/>
                    <w:tr2bl w:val="nil"/>
                  </w:tcBorders>
                  <w:noWrap w:val="0"/>
                  <w:vAlign w:val="center"/>
                </w:tcPr>
                <w:p w14:paraId="28BFF25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压裂车</w:t>
                  </w:r>
                </w:p>
              </w:tc>
              <w:tc>
                <w:tcPr>
                  <w:tcW w:w="1323" w:type="pct"/>
                  <w:tcBorders>
                    <w:tl2br w:val="nil"/>
                    <w:tr2bl w:val="nil"/>
                  </w:tcBorders>
                  <w:noWrap w:val="0"/>
                  <w:vAlign w:val="center"/>
                </w:tcPr>
                <w:p w14:paraId="461AD348">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02A62D8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50940A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4台</w:t>
                  </w:r>
                </w:p>
              </w:tc>
              <w:tc>
                <w:tcPr>
                  <w:tcW w:w="815" w:type="pct"/>
                  <w:tcBorders>
                    <w:tl2br w:val="nil"/>
                    <w:tr2bl w:val="nil"/>
                  </w:tcBorders>
                  <w:noWrap w:val="0"/>
                  <w:vAlign w:val="center"/>
                </w:tcPr>
                <w:p w14:paraId="1E8C27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由发动机、液力传动箱、压力泵、吸入排出管汇、安全系统、润滑系统、电路系统、液压系统、仪表及控制系统等组成</w:t>
                  </w:r>
                </w:p>
              </w:tc>
            </w:tr>
          </w:tbl>
          <w:p w14:paraId="21D6177F">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（2）测井设备</w:t>
            </w:r>
          </w:p>
          <w:p w14:paraId="7029FB36">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测井是利用专用仪器设备测量岩层的电化学特性、导电特性、声学特性、放射性等地球物理特性，以获取岩层的孔隙度、渗透率以及含气情况等地层信息。本项目完井测井采用CPlog系列仪器，小井眼采用吉艾GILEE系列仪器，测井项目包括双侧向、声波时差、自然伽马、自然电位、井径、方位等。</w:t>
            </w:r>
          </w:p>
          <w:p w14:paraId="01AA022A">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（3）录井设备</w:t>
            </w:r>
          </w:p>
          <w:p w14:paraId="3455AEAB">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录井是利用肉眼、综合录井仪，观察、采集、收集、记录、分析随钻过程中由井筒返出的固体、液体、气体等井筒返出物信息，以此建立录井地质剖面、发现油气显示，并为钻井提供信息服务。录井主要设备为综合录井仪。</w:t>
            </w:r>
          </w:p>
          <w:p w14:paraId="6B78727D">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（4）钻井泥浆固液分离设备</w:t>
            </w:r>
          </w:p>
          <w:p w14:paraId="044B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钻井泥浆固液分离设备见表2-</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w:t>
            </w:r>
          </w:p>
          <w:p w14:paraId="0D9DFC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6</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单井</w:t>
            </w:r>
            <w:r>
              <w:rPr>
                <w:rFonts w:hint="default" w:ascii="Times New Roman" w:hAnsi="Times New Roman" w:eastAsia="宋体" w:cs="Times New Roman"/>
                <w:b/>
                <w:bCs/>
                <w:color w:val="auto"/>
                <w:sz w:val="21"/>
                <w:szCs w:val="21"/>
                <w:vertAlign w:val="baseline"/>
                <w:lang w:val="en-US" w:eastAsia="zh-CN"/>
              </w:rPr>
              <w:t>钻井泥浆固液分离设备一览表</w:t>
            </w:r>
          </w:p>
          <w:tbl>
            <w:tblPr>
              <w:tblStyle w:val="2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31"/>
              <w:gridCol w:w="2395"/>
              <w:gridCol w:w="1220"/>
              <w:gridCol w:w="2123"/>
              <w:gridCol w:w="2123"/>
            </w:tblGrid>
            <w:tr w14:paraId="29695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711D4873">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426" w:type="pct"/>
                  <w:tcBorders>
                    <w:tl2br w:val="nil"/>
                    <w:tr2bl w:val="nil"/>
                  </w:tcBorders>
                  <w:noWrap w:val="0"/>
                  <w:vAlign w:val="center"/>
                </w:tcPr>
                <w:p w14:paraId="1465AFE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726" w:type="pct"/>
                  <w:tcBorders>
                    <w:tl2br w:val="nil"/>
                    <w:tr2bl w:val="nil"/>
                  </w:tcBorders>
                  <w:noWrap w:val="0"/>
                  <w:vAlign w:val="center"/>
                </w:tcPr>
                <w:p w14:paraId="7505E05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w:t>
                  </w:r>
                </w:p>
              </w:tc>
              <w:tc>
                <w:tcPr>
                  <w:tcW w:w="1264" w:type="pct"/>
                  <w:tcBorders>
                    <w:tl2br w:val="nil"/>
                    <w:tr2bl w:val="nil"/>
                  </w:tcBorders>
                  <w:noWrap w:val="0"/>
                  <w:vAlign w:val="center"/>
                </w:tcPr>
                <w:p w14:paraId="29CD9D0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载荷或功率（KN/KW）</w:t>
                  </w:r>
                </w:p>
              </w:tc>
              <w:tc>
                <w:tcPr>
                  <w:tcW w:w="1264" w:type="pct"/>
                  <w:tcBorders>
                    <w:tl2br w:val="nil"/>
                    <w:tr2bl w:val="nil"/>
                  </w:tcBorders>
                  <w:noWrap w:val="0"/>
                  <w:vAlign w:val="center"/>
                </w:tcPr>
                <w:p w14:paraId="32329AB0">
                  <w:pPr>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数量（台）</w:t>
                  </w:r>
                </w:p>
              </w:tc>
            </w:tr>
            <w:tr w14:paraId="1335D7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vMerge w:val="restart"/>
                  <w:tcBorders>
                    <w:tl2br w:val="nil"/>
                    <w:tr2bl w:val="nil"/>
                  </w:tcBorders>
                  <w:noWrap w:val="0"/>
                  <w:vAlign w:val="center"/>
                </w:tcPr>
                <w:p w14:paraId="5E88066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426" w:type="pct"/>
                  <w:tcBorders>
                    <w:tl2br w:val="nil"/>
                    <w:tr2bl w:val="nil"/>
                  </w:tcBorders>
                  <w:noWrap w:val="0"/>
                  <w:vAlign w:val="center"/>
                </w:tcPr>
                <w:p w14:paraId="563AD63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螺旋输送系统（轴）</w:t>
                  </w:r>
                </w:p>
              </w:tc>
              <w:tc>
                <w:tcPr>
                  <w:tcW w:w="726" w:type="pct"/>
                  <w:tcBorders>
                    <w:tl2br w:val="nil"/>
                    <w:tr2bl w:val="nil"/>
                  </w:tcBorders>
                  <w:noWrap w:val="0"/>
                  <w:vAlign w:val="center"/>
                </w:tcPr>
                <w:p w14:paraId="425256F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SS-300-12000</w:t>
                  </w:r>
                </w:p>
              </w:tc>
              <w:tc>
                <w:tcPr>
                  <w:tcW w:w="1264" w:type="pct"/>
                  <w:tcBorders>
                    <w:tl2br w:val="nil"/>
                    <w:tr2bl w:val="nil"/>
                  </w:tcBorders>
                  <w:noWrap w:val="0"/>
                  <w:vAlign w:val="center"/>
                </w:tcPr>
                <w:p w14:paraId="54665B1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5.5×3kW</w:t>
                  </w:r>
                </w:p>
              </w:tc>
              <w:tc>
                <w:tcPr>
                  <w:tcW w:w="1264" w:type="pct"/>
                  <w:tcBorders>
                    <w:tl2br w:val="nil"/>
                    <w:tr2bl w:val="nil"/>
                  </w:tcBorders>
                  <w:noWrap w:val="0"/>
                  <w:vAlign w:val="center"/>
                </w:tcPr>
                <w:p w14:paraId="168C204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0EE54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vMerge w:val="continue"/>
                  <w:tcBorders>
                    <w:tl2br w:val="nil"/>
                    <w:tr2bl w:val="nil"/>
                  </w:tcBorders>
                  <w:noWrap w:val="0"/>
                  <w:vAlign w:val="center"/>
                </w:tcPr>
                <w:p w14:paraId="53CACA34">
                  <w:pPr>
                    <w:adjustRightInd w:val="0"/>
                    <w:snapToGrid w:val="0"/>
                    <w:jc w:val="center"/>
                    <w:rPr>
                      <w:rFonts w:hint="default" w:ascii="Times New Roman" w:hAnsi="Times New Roman" w:cs="Times New Roman"/>
                      <w:color w:val="auto"/>
                      <w:sz w:val="21"/>
                      <w:szCs w:val="21"/>
                    </w:rPr>
                  </w:pPr>
                </w:p>
              </w:tc>
              <w:tc>
                <w:tcPr>
                  <w:tcW w:w="1426" w:type="pct"/>
                  <w:tcBorders>
                    <w:tl2br w:val="nil"/>
                    <w:tr2bl w:val="nil"/>
                  </w:tcBorders>
                  <w:noWrap w:val="0"/>
                  <w:vAlign w:val="center"/>
                </w:tcPr>
                <w:p w14:paraId="59D2B43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螺旋输送系统（有轴）</w:t>
                  </w:r>
                </w:p>
              </w:tc>
              <w:tc>
                <w:tcPr>
                  <w:tcW w:w="726" w:type="pct"/>
                  <w:tcBorders>
                    <w:tl2br w:val="nil"/>
                    <w:tr2bl w:val="nil"/>
                  </w:tcBorders>
                  <w:noWrap w:val="0"/>
                  <w:vAlign w:val="center"/>
                </w:tcPr>
                <w:p w14:paraId="3A62986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SS-200-6000</w:t>
                  </w:r>
                </w:p>
              </w:tc>
              <w:tc>
                <w:tcPr>
                  <w:tcW w:w="1264" w:type="pct"/>
                  <w:tcBorders>
                    <w:tl2br w:val="nil"/>
                    <w:tr2bl w:val="nil"/>
                  </w:tcBorders>
                  <w:noWrap w:val="0"/>
                  <w:vAlign w:val="center"/>
                </w:tcPr>
                <w:p w14:paraId="2393506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2.2×3kW</w:t>
                  </w:r>
                </w:p>
              </w:tc>
              <w:tc>
                <w:tcPr>
                  <w:tcW w:w="1264" w:type="pct"/>
                  <w:tcBorders>
                    <w:tl2br w:val="nil"/>
                    <w:tr2bl w:val="nil"/>
                  </w:tcBorders>
                  <w:noWrap w:val="0"/>
                  <w:vAlign w:val="center"/>
                </w:tcPr>
                <w:p w14:paraId="13B9628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0176D9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6ABFB04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426" w:type="pct"/>
                  <w:tcBorders>
                    <w:tl2br w:val="nil"/>
                    <w:tr2bl w:val="nil"/>
                  </w:tcBorders>
                  <w:noWrap w:val="0"/>
                  <w:vAlign w:val="center"/>
                </w:tcPr>
                <w:p w14:paraId="4C9757C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除砂器</w:t>
                  </w:r>
                </w:p>
              </w:tc>
              <w:tc>
                <w:tcPr>
                  <w:tcW w:w="726" w:type="pct"/>
                  <w:tcBorders>
                    <w:tl2br w:val="nil"/>
                    <w:tr2bl w:val="nil"/>
                  </w:tcBorders>
                  <w:noWrap w:val="0"/>
                  <w:vAlign w:val="center"/>
                </w:tcPr>
                <w:p w14:paraId="7C2AB57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ZQJ250</w:t>
                  </w:r>
                </w:p>
              </w:tc>
              <w:tc>
                <w:tcPr>
                  <w:tcW w:w="1264" w:type="pct"/>
                  <w:tcBorders>
                    <w:tl2br w:val="nil"/>
                    <w:tr2bl w:val="nil"/>
                  </w:tcBorders>
                  <w:noWrap w:val="0"/>
                  <w:vAlign w:val="center"/>
                </w:tcPr>
                <w:p w14:paraId="767C32B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64" w:type="pct"/>
                  <w:tcBorders>
                    <w:tl2br w:val="nil"/>
                    <w:tr2bl w:val="nil"/>
                  </w:tcBorders>
                  <w:noWrap w:val="0"/>
                  <w:vAlign w:val="center"/>
                </w:tcPr>
                <w:p w14:paraId="01A6A39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02FAC2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vMerge w:val="restart"/>
                  <w:tcBorders>
                    <w:tl2br w:val="nil"/>
                    <w:tr2bl w:val="nil"/>
                  </w:tcBorders>
                  <w:noWrap w:val="0"/>
                  <w:vAlign w:val="center"/>
                </w:tcPr>
                <w:p w14:paraId="5908AFF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426" w:type="pct"/>
                  <w:tcBorders>
                    <w:tl2br w:val="nil"/>
                    <w:tr2bl w:val="nil"/>
                  </w:tcBorders>
                  <w:noWrap w:val="0"/>
                  <w:vAlign w:val="center"/>
                </w:tcPr>
                <w:p w14:paraId="1442345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除泥器</w:t>
                  </w:r>
                </w:p>
              </w:tc>
              <w:tc>
                <w:tcPr>
                  <w:tcW w:w="726" w:type="pct"/>
                  <w:tcBorders>
                    <w:tl2br w:val="nil"/>
                    <w:tr2bl w:val="nil"/>
                  </w:tcBorders>
                  <w:noWrap w:val="0"/>
                  <w:vAlign w:val="center"/>
                </w:tcPr>
                <w:p w14:paraId="55276AB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ZQJ250</w:t>
                  </w:r>
                </w:p>
              </w:tc>
              <w:tc>
                <w:tcPr>
                  <w:tcW w:w="1264" w:type="pct"/>
                  <w:tcBorders>
                    <w:tl2br w:val="nil"/>
                    <w:tr2bl w:val="nil"/>
                  </w:tcBorders>
                  <w:noWrap w:val="0"/>
                  <w:vAlign w:val="center"/>
                </w:tcPr>
                <w:p w14:paraId="5381611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64" w:type="pct"/>
                  <w:tcBorders>
                    <w:tl2br w:val="nil"/>
                    <w:tr2bl w:val="nil"/>
                  </w:tcBorders>
                  <w:noWrap w:val="0"/>
                  <w:vAlign w:val="center"/>
                </w:tcPr>
                <w:p w14:paraId="57E367A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8349E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vMerge w:val="continue"/>
                  <w:tcBorders>
                    <w:tl2br w:val="nil"/>
                    <w:tr2bl w:val="nil"/>
                  </w:tcBorders>
                  <w:noWrap w:val="0"/>
                  <w:vAlign w:val="center"/>
                </w:tcPr>
                <w:p w14:paraId="22C92AF4">
                  <w:pPr>
                    <w:adjustRightInd w:val="0"/>
                    <w:snapToGrid w:val="0"/>
                    <w:jc w:val="center"/>
                    <w:rPr>
                      <w:rFonts w:hint="default" w:ascii="Times New Roman" w:hAnsi="Times New Roman" w:cs="Times New Roman"/>
                      <w:color w:val="auto"/>
                      <w:sz w:val="21"/>
                      <w:szCs w:val="21"/>
                    </w:rPr>
                  </w:pPr>
                </w:p>
              </w:tc>
              <w:tc>
                <w:tcPr>
                  <w:tcW w:w="1426" w:type="pct"/>
                  <w:tcBorders>
                    <w:tl2br w:val="nil"/>
                    <w:tr2bl w:val="nil"/>
                  </w:tcBorders>
                  <w:noWrap w:val="0"/>
                  <w:vAlign w:val="center"/>
                </w:tcPr>
                <w:p w14:paraId="22CF135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甩干机</w:t>
                  </w:r>
                </w:p>
              </w:tc>
              <w:tc>
                <w:tcPr>
                  <w:tcW w:w="726" w:type="pct"/>
                  <w:tcBorders>
                    <w:tl2br w:val="nil"/>
                    <w:tr2bl w:val="nil"/>
                  </w:tcBorders>
                  <w:noWrap w:val="0"/>
                  <w:vAlign w:val="center"/>
                </w:tcPr>
                <w:p w14:paraId="5F4C0AB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GHD-1</w:t>
                  </w:r>
                </w:p>
              </w:tc>
              <w:tc>
                <w:tcPr>
                  <w:tcW w:w="1264" w:type="pct"/>
                  <w:tcBorders>
                    <w:tl2br w:val="nil"/>
                    <w:tr2bl w:val="nil"/>
                  </w:tcBorders>
                  <w:noWrap w:val="0"/>
                  <w:vAlign w:val="center"/>
                </w:tcPr>
                <w:p w14:paraId="70DF82E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18.5kW</w:t>
                  </w:r>
                </w:p>
              </w:tc>
              <w:tc>
                <w:tcPr>
                  <w:tcW w:w="1264" w:type="pct"/>
                  <w:tcBorders>
                    <w:tl2br w:val="nil"/>
                    <w:tr2bl w:val="nil"/>
                  </w:tcBorders>
                  <w:noWrap w:val="0"/>
                  <w:vAlign w:val="center"/>
                </w:tcPr>
                <w:p w14:paraId="43891A7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DC7F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5170B40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426" w:type="pct"/>
                  <w:tcBorders>
                    <w:tl2br w:val="nil"/>
                    <w:tr2bl w:val="nil"/>
                  </w:tcBorders>
                  <w:noWrap w:val="0"/>
                  <w:vAlign w:val="center"/>
                </w:tcPr>
                <w:p w14:paraId="2A410F7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离心机</w:t>
                  </w:r>
                </w:p>
              </w:tc>
              <w:tc>
                <w:tcPr>
                  <w:tcW w:w="726" w:type="pct"/>
                  <w:tcBorders>
                    <w:tl2br w:val="nil"/>
                    <w:tr2bl w:val="nil"/>
                  </w:tcBorders>
                  <w:noWrap w:val="0"/>
                  <w:vAlign w:val="center"/>
                </w:tcPr>
                <w:p w14:paraId="4ED87ED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LW600</w:t>
                  </w:r>
                </w:p>
              </w:tc>
              <w:tc>
                <w:tcPr>
                  <w:tcW w:w="1264" w:type="pct"/>
                  <w:tcBorders>
                    <w:tl2br w:val="nil"/>
                    <w:tr2bl w:val="nil"/>
                  </w:tcBorders>
                  <w:noWrap w:val="0"/>
                  <w:vAlign w:val="center"/>
                </w:tcPr>
                <w:p w14:paraId="3F6F3A2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1264" w:type="pct"/>
                  <w:tcBorders>
                    <w:tl2br w:val="nil"/>
                    <w:tr2bl w:val="nil"/>
                  </w:tcBorders>
                  <w:noWrap w:val="0"/>
                  <w:vAlign w:val="center"/>
                </w:tcPr>
                <w:p w14:paraId="1620FC8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14:paraId="2A3C07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7AA4FC2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426" w:type="pct"/>
                  <w:tcBorders>
                    <w:tl2br w:val="nil"/>
                    <w:tr2bl w:val="nil"/>
                  </w:tcBorders>
                  <w:noWrap w:val="0"/>
                  <w:vAlign w:val="center"/>
                </w:tcPr>
                <w:p w14:paraId="6C6415B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储罐搅拌系统</w:t>
                  </w:r>
                </w:p>
              </w:tc>
              <w:tc>
                <w:tcPr>
                  <w:tcW w:w="726" w:type="pct"/>
                  <w:tcBorders>
                    <w:tl2br w:val="nil"/>
                    <w:tr2bl w:val="nil"/>
                  </w:tcBorders>
                  <w:noWrap w:val="0"/>
                  <w:vAlign w:val="center"/>
                </w:tcPr>
                <w:p w14:paraId="6A940F8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64" w:type="pct"/>
                  <w:tcBorders>
                    <w:tl2br w:val="nil"/>
                    <w:tr2bl w:val="nil"/>
                  </w:tcBorders>
                  <w:noWrap w:val="0"/>
                  <w:vAlign w:val="center"/>
                </w:tcPr>
                <w:p w14:paraId="0F8AA3E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11kW</w:t>
                  </w:r>
                </w:p>
              </w:tc>
              <w:tc>
                <w:tcPr>
                  <w:tcW w:w="1264" w:type="pct"/>
                  <w:tcBorders>
                    <w:tl2br w:val="nil"/>
                    <w:tr2bl w:val="nil"/>
                  </w:tcBorders>
                  <w:noWrap w:val="0"/>
                  <w:vAlign w:val="center"/>
                </w:tcPr>
                <w:p w14:paraId="6746403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14:paraId="198BEA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513E67E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426" w:type="pct"/>
                  <w:tcBorders>
                    <w:tl2br w:val="nil"/>
                    <w:tr2bl w:val="nil"/>
                  </w:tcBorders>
                  <w:noWrap w:val="0"/>
                  <w:vAlign w:val="center"/>
                </w:tcPr>
                <w:p w14:paraId="69A6E66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废液缓冲罐</w:t>
                  </w:r>
                </w:p>
              </w:tc>
              <w:tc>
                <w:tcPr>
                  <w:tcW w:w="726" w:type="pct"/>
                  <w:tcBorders>
                    <w:tl2br w:val="nil"/>
                    <w:tr2bl w:val="nil"/>
                  </w:tcBorders>
                  <w:noWrap w:val="0"/>
                  <w:vAlign w:val="center"/>
                </w:tcPr>
                <w:p w14:paraId="6D78BB6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264" w:type="pct"/>
                  <w:tcBorders>
                    <w:tl2br w:val="nil"/>
                    <w:tr2bl w:val="nil"/>
                  </w:tcBorders>
                  <w:noWrap w:val="0"/>
                  <w:vAlign w:val="center"/>
                </w:tcPr>
                <w:p w14:paraId="75DFDF5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64" w:type="pct"/>
                  <w:tcBorders>
                    <w:tl2br w:val="nil"/>
                    <w:tr2bl w:val="nil"/>
                  </w:tcBorders>
                  <w:noWrap w:val="0"/>
                  <w:vAlign w:val="center"/>
                </w:tcPr>
                <w:p w14:paraId="6844FEE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298D8C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5CCD3BD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426" w:type="pct"/>
                  <w:tcBorders>
                    <w:tl2br w:val="nil"/>
                    <w:tr2bl w:val="nil"/>
                  </w:tcBorders>
                  <w:noWrap w:val="0"/>
                  <w:vAlign w:val="center"/>
                </w:tcPr>
                <w:p w14:paraId="0F4A377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返排液收集罐</w:t>
                  </w:r>
                </w:p>
              </w:tc>
              <w:tc>
                <w:tcPr>
                  <w:tcW w:w="726" w:type="pct"/>
                  <w:tcBorders>
                    <w:tl2br w:val="nil"/>
                    <w:tr2bl w:val="nil"/>
                  </w:tcBorders>
                  <w:noWrap w:val="0"/>
                  <w:vAlign w:val="center"/>
                </w:tcPr>
                <w:p w14:paraId="35CCF7C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264" w:type="pct"/>
                  <w:tcBorders>
                    <w:tl2br w:val="nil"/>
                    <w:tr2bl w:val="nil"/>
                  </w:tcBorders>
                  <w:noWrap w:val="0"/>
                  <w:vAlign w:val="center"/>
                </w:tcPr>
                <w:p w14:paraId="1393C42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64" w:type="pct"/>
                  <w:tcBorders>
                    <w:tl2br w:val="nil"/>
                    <w:tr2bl w:val="nil"/>
                  </w:tcBorders>
                  <w:noWrap w:val="0"/>
                  <w:vAlign w:val="center"/>
                </w:tcPr>
                <w:p w14:paraId="6CDF4C7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14:paraId="1C735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489AE4A2">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1426" w:type="pct"/>
                  <w:tcBorders>
                    <w:tl2br w:val="nil"/>
                    <w:tr2bl w:val="nil"/>
                  </w:tcBorders>
                  <w:noWrap w:val="0"/>
                  <w:vAlign w:val="center"/>
                </w:tcPr>
                <w:p w14:paraId="23B7C0B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泥饼、</w:t>
                  </w:r>
                  <w:r>
                    <w:rPr>
                      <w:rFonts w:hint="default" w:ascii="Times New Roman" w:hAnsi="Times New Roman" w:eastAsia="宋体" w:cs="Times New Roman"/>
                      <w:color w:val="auto"/>
                      <w:sz w:val="21"/>
                      <w:szCs w:val="21"/>
                    </w:rPr>
                    <w:t>岩屑收集罐</w:t>
                  </w:r>
                </w:p>
              </w:tc>
              <w:tc>
                <w:tcPr>
                  <w:tcW w:w="726" w:type="pct"/>
                  <w:tcBorders>
                    <w:tl2br w:val="nil"/>
                    <w:tr2bl w:val="nil"/>
                  </w:tcBorders>
                  <w:noWrap w:val="0"/>
                  <w:vAlign w:val="center"/>
                </w:tcPr>
                <w:p w14:paraId="077EA8F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264" w:type="pct"/>
                  <w:tcBorders>
                    <w:tl2br w:val="nil"/>
                    <w:tr2bl w:val="nil"/>
                  </w:tcBorders>
                  <w:noWrap w:val="0"/>
                  <w:vAlign w:val="center"/>
                </w:tcPr>
                <w:p w14:paraId="276E9B3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64" w:type="pct"/>
                  <w:tcBorders>
                    <w:tl2br w:val="nil"/>
                    <w:tr2bl w:val="nil"/>
                  </w:tcBorders>
                  <w:noWrap w:val="0"/>
                  <w:vAlign w:val="center"/>
                </w:tcPr>
                <w:p w14:paraId="54619B8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r>
            <w:tr w14:paraId="718C53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13692931">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9</w:t>
                  </w:r>
                </w:p>
              </w:tc>
              <w:tc>
                <w:tcPr>
                  <w:tcW w:w="1426" w:type="pct"/>
                  <w:tcBorders>
                    <w:tl2br w:val="nil"/>
                    <w:tr2bl w:val="nil"/>
                  </w:tcBorders>
                  <w:noWrap w:val="0"/>
                  <w:vAlign w:val="center"/>
                </w:tcPr>
                <w:p w14:paraId="1C862C9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振动筛</w:t>
                  </w:r>
                </w:p>
              </w:tc>
              <w:tc>
                <w:tcPr>
                  <w:tcW w:w="726" w:type="pct"/>
                  <w:tcBorders>
                    <w:tl2br w:val="nil"/>
                    <w:tr2bl w:val="nil"/>
                  </w:tcBorders>
                  <w:noWrap w:val="0"/>
                  <w:vAlign w:val="center"/>
                </w:tcPr>
                <w:p w14:paraId="1FFB52A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V20-h</w:t>
                  </w:r>
                </w:p>
              </w:tc>
              <w:tc>
                <w:tcPr>
                  <w:tcW w:w="1264" w:type="pct"/>
                  <w:tcBorders>
                    <w:tl2br w:val="nil"/>
                    <w:tr2bl w:val="nil"/>
                  </w:tcBorders>
                  <w:noWrap w:val="0"/>
                  <w:vAlign w:val="center"/>
                </w:tcPr>
                <w:p w14:paraId="1A6B7E0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1264" w:type="pct"/>
                  <w:tcBorders>
                    <w:tl2br w:val="nil"/>
                    <w:tr2bl w:val="nil"/>
                  </w:tcBorders>
                  <w:noWrap w:val="0"/>
                  <w:vAlign w:val="center"/>
                </w:tcPr>
                <w:p w14:paraId="674E8A3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F5A2B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6" w:type="pct"/>
                  <w:tcBorders>
                    <w:tl2br w:val="nil"/>
                    <w:tr2bl w:val="nil"/>
                  </w:tcBorders>
                  <w:noWrap w:val="0"/>
                  <w:vAlign w:val="center"/>
                </w:tcPr>
                <w:p w14:paraId="380A1C1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426" w:type="pct"/>
                  <w:tcBorders>
                    <w:tl2br w:val="nil"/>
                    <w:tr2bl w:val="nil"/>
                  </w:tcBorders>
                  <w:noWrap w:val="0"/>
                  <w:vAlign w:val="center"/>
                </w:tcPr>
                <w:p w14:paraId="754F2F9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726" w:type="pct"/>
                  <w:tcBorders>
                    <w:tl2br w:val="nil"/>
                    <w:tr2bl w:val="nil"/>
                  </w:tcBorders>
                  <w:shd w:val="clear" w:color="auto" w:fill="auto"/>
                  <w:noWrap w:val="0"/>
                  <w:vAlign w:val="center"/>
                </w:tcPr>
                <w:p w14:paraId="2583CD4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264" w:type="pct"/>
                  <w:tcBorders>
                    <w:tl2br w:val="nil"/>
                    <w:tr2bl w:val="nil"/>
                  </w:tcBorders>
                  <w:shd w:val="clear" w:color="auto" w:fill="auto"/>
                  <w:noWrap w:val="0"/>
                  <w:vAlign w:val="center"/>
                </w:tcPr>
                <w:p w14:paraId="4C83FFD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264" w:type="pct"/>
                  <w:tcBorders>
                    <w:tl2br w:val="nil"/>
                    <w:tr2bl w:val="nil"/>
                  </w:tcBorders>
                  <w:shd w:val="clear" w:color="auto" w:fill="auto"/>
                  <w:noWrap w:val="0"/>
                  <w:vAlign w:val="center"/>
                </w:tcPr>
                <w:p w14:paraId="1F33C81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w:t>
                  </w:r>
                </w:p>
              </w:tc>
            </w:tr>
          </w:tbl>
          <w:p w14:paraId="5BF0AD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六</w:t>
            </w:r>
            <w:r>
              <w:rPr>
                <w:rFonts w:hint="default" w:ascii="Times New Roman" w:hAnsi="Times New Roman" w:eastAsia="宋体" w:cs="Times New Roman"/>
                <w:b/>
                <w:bCs/>
                <w:color w:val="auto"/>
                <w:sz w:val="24"/>
                <w:szCs w:val="24"/>
                <w:vertAlign w:val="baseline"/>
                <w:lang w:val="en-US" w:eastAsia="zh-CN"/>
              </w:rPr>
              <w:t>、主要原辅材料</w:t>
            </w:r>
          </w:p>
          <w:p w14:paraId="05895E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项目主要原辅材料消耗情况见表2-</w:t>
            </w:r>
            <w:r>
              <w:rPr>
                <w:rFonts w:hint="eastAsia" w:ascii="Times New Roman" w:hAnsi="Times New Roman" w:eastAsia="宋体" w:cs="Times New Roman"/>
                <w:b w:val="0"/>
                <w:bCs w:val="0"/>
                <w:color w:val="auto"/>
                <w:sz w:val="24"/>
                <w:szCs w:val="24"/>
                <w:vertAlign w:val="baseline"/>
                <w:lang w:val="en-US" w:eastAsia="zh-CN"/>
              </w:rPr>
              <w:t>7。</w:t>
            </w:r>
          </w:p>
          <w:p w14:paraId="2E8C808B">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p>
          <w:p w14:paraId="7981A9E8">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p>
          <w:p w14:paraId="653BAD1A">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p>
          <w:p w14:paraId="14F56114">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p>
          <w:p w14:paraId="0E0283B9">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7</w:t>
            </w:r>
            <w:r>
              <w:rPr>
                <w:rFonts w:hint="default" w:ascii="Times New Roman" w:hAnsi="Times New Roman" w:eastAsia="宋体" w:cs="Times New Roman"/>
                <w:b/>
                <w:bCs/>
                <w:color w:val="auto"/>
                <w:sz w:val="21"/>
                <w:szCs w:val="21"/>
                <w:vertAlign w:val="baseline"/>
                <w:lang w:val="en-US" w:eastAsia="zh-CN"/>
              </w:rPr>
              <w:t xml:space="preserve">   项目主要原辅材料消耗表</w:t>
            </w:r>
          </w:p>
          <w:tbl>
            <w:tblPr>
              <w:tblStyle w:val="21"/>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355"/>
              <w:gridCol w:w="695"/>
              <w:gridCol w:w="815"/>
              <w:gridCol w:w="5313"/>
              <w:gridCol w:w="1210"/>
            </w:tblGrid>
            <w:tr w14:paraId="38D920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212" w:type="pct"/>
                  <w:tcBorders>
                    <w:tl2br w:val="nil"/>
                    <w:tr2bl w:val="nil"/>
                  </w:tcBorders>
                  <w:noWrap w:val="0"/>
                  <w:vAlign w:val="center"/>
                </w:tcPr>
                <w:p w14:paraId="4885A133">
                  <w:pPr>
                    <w:spacing w:line="36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414" w:type="pct"/>
                  <w:tcBorders>
                    <w:tl2br w:val="nil"/>
                    <w:tr2bl w:val="nil"/>
                  </w:tcBorders>
                  <w:noWrap w:val="0"/>
                  <w:vAlign w:val="center"/>
                </w:tcPr>
                <w:p w14:paraId="1288A971">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原料名称</w:t>
                  </w:r>
                </w:p>
              </w:tc>
              <w:tc>
                <w:tcPr>
                  <w:tcW w:w="485" w:type="pct"/>
                  <w:tcBorders>
                    <w:tl2br w:val="nil"/>
                    <w:tr2bl w:val="nil"/>
                  </w:tcBorders>
                  <w:noWrap w:val="0"/>
                  <w:vAlign w:val="center"/>
                </w:tcPr>
                <w:p w14:paraId="2D1E4295">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项目用量</w:t>
                  </w:r>
                </w:p>
              </w:tc>
              <w:tc>
                <w:tcPr>
                  <w:tcW w:w="3166" w:type="pct"/>
                  <w:tcBorders>
                    <w:tl2br w:val="nil"/>
                    <w:tr2bl w:val="nil"/>
                  </w:tcBorders>
                  <w:noWrap w:val="0"/>
                  <w:vAlign w:val="center"/>
                </w:tcPr>
                <w:p w14:paraId="0B616DF4">
                  <w:pPr>
                    <w:spacing w:line="36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c>
                <w:tcPr>
                  <w:tcW w:w="721" w:type="pct"/>
                  <w:tcBorders>
                    <w:tl2br w:val="nil"/>
                    <w:tr2bl w:val="nil"/>
                  </w:tcBorders>
                  <w:noWrap w:val="0"/>
                  <w:vAlign w:val="center"/>
                </w:tcPr>
                <w:p w14:paraId="3D0E246A">
                  <w:pPr>
                    <w:spacing w:line="36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储存方式</w:t>
                  </w:r>
                </w:p>
              </w:tc>
            </w:tr>
            <w:tr w14:paraId="575DC5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212" w:type="pct"/>
                  <w:tcBorders>
                    <w:tl2br w:val="nil"/>
                    <w:tr2bl w:val="nil"/>
                  </w:tcBorders>
                  <w:noWrap w:val="0"/>
                  <w:vAlign w:val="center"/>
                </w:tcPr>
                <w:p w14:paraId="62E03A52">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14" w:type="pct"/>
                  <w:tcBorders>
                    <w:tl2br w:val="nil"/>
                    <w:tr2bl w:val="nil"/>
                  </w:tcBorders>
                  <w:noWrap w:val="0"/>
                  <w:vAlign w:val="center"/>
                </w:tcPr>
                <w:p w14:paraId="1BB3A202">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新鲜水</w:t>
                  </w:r>
                </w:p>
              </w:tc>
              <w:tc>
                <w:tcPr>
                  <w:tcW w:w="485" w:type="pct"/>
                  <w:tcBorders>
                    <w:tl2br w:val="nil"/>
                    <w:tr2bl w:val="nil"/>
                  </w:tcBorders>
                  <w:noWrap w:val="0"/>
                  <w:vAlign w:val="center"/>
                </w:tcPr>
                <w:p w14:paraId="15A7D6D1">
                  <w:pPr>
                    <w:adjustRightInd w:val="0"/>
                    <w:snapToGrid w:val="0"/>
                    <w:spacing w:line="360" w:lineRule="exact"/>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4877.5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166" w:type="pct"/>
                  <w:tcBorders>
                    <w:tl2br w:val="nil"/>
                    <w:tr2bl w:val="nil"/>
                  </w:tcBorders>
                  <w:noWrap w:val="0"/>
                  <w:vAlign w:val="center"/>
                </w:tcPr>
                <w:p w14:paraId="01750940">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用于生活、钻井和洗井，罐车拉运及储存</w:t>
                  </w:r>
                </w:p>
              </w:tc>
              <w:tc>
                <w:tcPr>
                  <w:tcW w:w="721" w:type="pct"/>
                  <w:tcBorders>
                    <w:tl2br w:val="nil"/>
                    <w:tr2bl w:val="nil"/>
                  </w:tcBorders>
                  <w:noWrap w:val="0"/>
                  <w:vAlign w:val="center"/>
                </w:tcPr>
                <w:p w14:paraId="298F0F7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罐装</w:t>
                  </w:r>
                </w:p>
              </w:tc>
            </w:tr>
            <w:tr w14:paraId="31AFA8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212" w:type="pct"/>
                  <w:tcBorders>
                    <w:tl2br w:val="nil"/>
                    <w:tr2bl w:val="nil"/>
                  </w:tcBorders>
                  <w:noWrap w:val="0"/>
                  <w:vAlign w:val="center"/>
                </w:tcPr>
                <w:p w14:paraId="5BF88DE1">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414" w:type="pct"/>
                  <w:tcBorders>
                    <w:tl2br w:val="nil"/>
                    <w:tr2bl w:val="nil"/>
                  </w:tcBorders>
                  <w:noWrap w:val="0"/>
                  <w:vAlign w:val="center"/>
                </w:tcPr>
                <w:p w14:paraId="3EC7A23B">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钻井液添加剂</w:t>
                  </w:r>
                </w:p>
              </w:tc>
              <w:tc>
                <w:tcPr>
                  <w:tcW w:w="485" w:type="pct"/>
                  <w:tcBorders>
                    <w:tl2br w:val="nil"/>
                    <w:tr2bl w:val="nil"/>
                  </w:tcBorders>
                  <w:noWrap w:val="0"/>
                  <w:vAlign w:val="center"/>
                </w:tcPr>
                <w:p w14:paraId="28DF48F2">
                  <w:pPr>
                    <w:adjustRightInd w:val="0"/>
                    <w:snapToGrid w:val="0"/>
                    <w:spacing w:line="360" w:lineRule="exact"/>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366</w:t>
                  </w:r>
                  <w:r>
                    <w:rPr>
                      <w:rFonts w:hint="default" w:ascii="Times New Roman" w:hAnsi="Times New Roman" w:cs="Times New Roman"/>
                      <w:color w:val="auto"/>
                      <w:sz w:val="21"/>
                      <w:szCs w:val="21"/>
                    </w:rPr>
                    <w:t>t</w:t>
                  </w:r>
                </w:p>
              </w:tc>
              <w:tc>
                <w:tcPr>
                  <w:tcW w:w="3166" w:type="pct"/>
                  <w:tcBorders>
                    <w:tl2br w:val="nil"/>
                    <w:tr2bl w:val="nil"/>
                  </w:tcBorders>
                  <w:noWrap w:val="0"/>
                  <w:vAlign w:val="center"/>
                </w:tcPr>
                <w:p w14:paraId="05DABD0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携带岩屑，稳定井壁，减少钻机磨损，平衡（控制）地层压力等，添加剂储罐置于进行防渗处理的围堰内，底部压实后铺设2mm厚高密度聚乙烯膜，使渗透系数≤10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eastAsia="宋体" w:cs="Times New Roman"/>
                      <w:color w:val="auto"/>
                      <w:sz w:val="21"/>
                      <w:szCs w:val="21"/>
                    </w:rPr>
                    <w:t>；由车辆拉运至材料房内暂存。</w:t>
                  </w:r>
                </w:p>
              </w:tc>
              <w:tc>
                <w:tcPr>
                  <w:tcW w:w="721" w:type="pct"/>
                  <w:tcBorders>
                    <w:tl2br w:val="nil"/>
                    <w:tr2bl w:val="nil"/>
                  </w:tcBorders>
                  <w:noWrap w:val="0"/>
                  <w:vAlign w:val="center"/>
                </w:tcPr>
                <w:p w14:paraId="465CE29A">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撬装式设备</w:t>
                  </w:r>
                </w:p>
              </w:tc>
            </w:tr>
            <w:tr w14:paraId="74FB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212" w:type="pct"/>
                  <w:tcBorders>
                    <w:tl2br w:val="nil"/>
                    <w:tr2bl w:val="nil"/>
                  </w:tcBorders>
                  <w:noWrap w:val="0"/>
                  <w:vAlign w:val="center"/>
                </w:tcPr>
                <w:p w14:paraId="75291B7A">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414" w:type="pct"/>
                  <w:tcBorders>
                    <w:tl2br w:val="nil"/>
                    <w:tr2bl w:val="nil"/>
                  </w:tcBorders>
                  <w:noWrap w:val="0"/>
                  <w:vAlign w:val="center"/>
                </w:tcPr>
                <w:p w14:paraId="109E4576">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压裂液</w:t>
                  </w:r>
                </w:p>
              </w:tc>
              <w:tc>
                <w:tcPr>
                  <w:tcW w:w="485" w:type="pct"/>
                  <w:tcBorders>
                    <w:tl2br w:val="nil"/>
                    <w:tr2bl w:val="nil"/>
                  </w:tcBorders>
                  <w:noWrap w:val="0"/>
                  <w:vAlign w:val="center"/>
                </w:tcPr>
                <w:p w14:paraId="3ABD6982">
                  <w:pPr>
                    <w:adjustRightInd w:val="0"/>
                    <w:snapToGrid w:val="0"/>
                    <w:spacing w:line="360" w:lineRule="exact"/>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1800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166" w:type="pct"/>
                  <w:tcBorders>
                    <w:tl2br w:val="nil"/>
                    <w:tr2bl w:val="nil"/>
                  </w:tcBorders>
                  <w:noWrap w:val="0"/>
                  <w:vAlign w:val="center"/>
                </w:tcPr>
                <w:p w14:paraId="5A94A1FC">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用于压裂作业，形成油气高渗透带，改善气层导流能力，压裂液储罐置于进行防渗处理的围堰内，围堰内底部压实后铺设2mm厚高密度聚乙烯膜，使渗透系数≤10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eastAsia="宋体" w:cs="Times New Roman"/>
                      <w:color w:val="auto"/>
                      <w:sz w:val="21"/>
                      <w:szCs w:val="21"/>
                    </w:rPr>
                    <w:t>，主</w:t>
                  </w:r>
                </w:p>
                <w:p w14:paraId="40C09168">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成分为水凝胶，用于压裂作业，形成油气高渗透带，改善油气层导流能力。</w:t>
                  </w:r>
                </w:p>
              </w:tc>
              <w:tc>
                <w:tcPr>
                  <w:tcW w:w="721" w:type="pct"/>
                  <w:tcBorders>
                    <w:tl2br w:val="nil"/>
                    <w:tr2bl w:val="nil"/>
                  </w:tcBorders>
                  <w:noWrap w:val="0"/>
                  <w:vAlign w:val="center"/>
                </w:tcPr>
                <w:p w14:paraId="014B868B">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撬装式设备</w:t>
                  </w:r>
                </w:p>
              </w:tc>
            </w:tr>
            <w:tr w14:paraId="4B223E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215" w:hRule="atLeast"/>
                <w:jc w:val="center"/>
              </w:trPr>
              <w:tc>
                <w:tcPr>
                  <w:tcW w:w="212" w:type="pct"/>
                  <w:tcBorders>
                    <w:tl2br w:val="nil"/>
                    <w:tr2bl w:val="nil"/>
                  </w:tcBorders>
                  <w:noWrap w:val="0"/>
                  <w:vAlign w:val="center"/>
                </w:tcPr>
                <w:p w14:paraId="59B524F4">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14" w:type="pct"/>
                  <w:tcBorders>
                    <w:tl2br w:val="nil"/>
                    <w:tr2bl w:val="nil"/>
                  </w:tcBorders>
                  <w:noWrap w:val="0"/>
                  <w:vAlign w:val="center"/>
                </w:tcPr>
                <w:p w14:paraId="527A6B4B">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射孔液</w:t>
                  </w:r>
                </w:p>
              </w:tc>
              <w:tc>
                <w:tcPr>
                  <w:tcW w:w="485" w:type="pct"/>
                  <w:tcBorders>
                    <w:tl2br w:val="nil"/>
                    <w:tr2bl w:val="nil"/>
                  </w:tcBorders>
                  <w:noWrap w:val="0"/>
                  <w:vAlign w:val="center"/>
                </w:tcPr>
                <w:p w14:paraId="476F1A8B">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166" w:type="pct"/>
                  <w:tcBorders>
                    <w:tl2br w:val="nil"/>
                    <w:tr2bl w:val="nil"/>
                  </w:tcBorders>
                  <w:noWrap w:val="0"/>
                  <w:vAlign w:val="center"/>
                </w:tcPr>
                <w:p w14:paraId="6F727F0F">
                  <w:pPr>
                    <w:jc w:val="center"/>
                    <w:rPr>
                      <w:rFonts w:hint="default" w:ascii="Times New Roman" w:hAnsi="Times New Roman" w:eastAsia="宋体" w:cs="Times New Roman"/>
                      <w:color w:val="auto"/>
                      <w:sz w:val="21"/>
                      <w:szCs w:val="21"/>
                    </w:rPr>
                  </w:pPr>
                  <w:r>
                    <w:rPr>
                      <w:color w:val="auto"/>
                      <w:sz w:val="21"/>
                      <w:szCs w:val="21"/>
                    </w:rPr>
                    <w:t>外购成品，存放于原辅料存放区，液态物质采用</w:t>
                  </w:r>
                  <w:r>
                    <w:rPr>
                      <w:rFonts w:hint="eastAsia"/>
                      <w:color w:val="auto"/>
                      <w:sz w:val="21"/>
                      <w:szCs w:val="21"/>
                    </w:rPr>
                    <w:t>桶装</w:t>
                  </w:r>
                  <w:r>
                    <w:rPr>
                      <w:color w:val="auto"/>
                      <w:sz w:val="21"/>
                      <w:szCs w:val="21"/>
                    </w:rPr>
                    <w:t>，固态物质采用袋装，按其性质，分区堆放，原辅料存放区下面采用基础黏土防渗+双层防渗布，上面遮盖篷布。</w:t>
                  </w:r>
                </w:p>
              </w:tc>
              <w:tc>
                <w:tcPr>
                  <w:tcW w:w="721" w:type="pct"/>
                  <w:tcBorders>
                    <w:tl2br w:val="nil"/>
                    <w:tr2bl w:val="nil"/>
                  </w:tcBorders>
                  <w:noWrap w:val="0"/>
                  <w:vAlign w:val="center"/>
                </w:tcPr>
                <w:p w14:paraId="32D52C6F">
                  <w:pPr>
                    <w:jc w:val="center"/>
                    <w:rPr>
                      <w:color w:val="auto"/>
                      <w:sz w:val="21"/>
                      <w:szCs w:val="21"/>
                    </w:rPr>
                  </w:pPr>
                  <w:r>
                    <w:rPr>
                      <w:rFonts w:hint="eastAsia" w:ascii="Times New Roman" w:hAnsi="Times New Roman" w:eastAsia="宋体" w:cs="Times New Roman"/>
                      <w:color w:val="auto"/>
                      <w:sz w:val="21"/>
                      <w:szCs w:val="21"/>
                      <w:lang w:val="en-US" w:eastAsia="zh-CN"/>
                    </w:rPr>
                    <w:t>撬装式设备</w:t>
                  </w:r>
                </w:p>
              </w:tc>
            </w:tr>
            <w:tr w14:paraId="275390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212" w:type="pct"/>
                  <w:tcBorders>
                    <w:tl2br w:val="nil"/>
                    <w:tr2bl w:val="nil"/>
                  </w:tcBorders>
                  <w:noWrap w:val="0"/>
                  <w:vAlign w:val="center"/>
                </w:tcPr>
                <w:p w14:paraId="2A5BC733">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414" w:type="pct"/>
                  <w:tcBorders>
                    <w:tl2br w:val="nil"/>
                    <w:tr2bl w:val="nil"/>
                  </w:tcBorders>
                  <w:noWrap w:val="0"/>
                  <w:vAlign w:val="center"/>
                </w:tcPr>
                <w:p w14:paraId="4AE7A325">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机油</w:t>
                  </w:r>
                </w:p>
              </w:tc>
              <w:tc>
                <w:tcPr>
                  <w:tcW w:w="485" w:type="pct"/>
                  <w:tcBorders>
                    <w:tl2br w:val="nil"/>
                    <w:tr2bl w:val="nil"/>
                  </w:tcBorders>
                  <w:noWrap w:val="0"/>
                  <w:vAlign w:val="center"/>
                </w:tcPr>
                <w:p w14:paraId="74FECBD5">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2400</w:t>
                  </w:r>
                  <w:r>
                    <w:rPr>
                      <w:rFonts w:hint="default" w:ascii="Times New Roman" w:hAnsi="Times New Roman" w:eastAsia="宋体" w:cs="Times New Roman"/>
                      <w:color w:val="auto"/>
                      <w:sz w:val="21"/>
                      <w:szCs w:val="21"/>
                      <w:lang w:val="en-US" w:eastAsia="zh-CN"/>
                    </w:rPr>
                    <w:t>L</w:t>
                  </w:r>
                </w:p>
              </w:tc>
              <w:tc>
                <w:tcPr>
                  <w:tcW w:w="3166" w:type="pct"/>
                  <w:tcBorders>
                    <w:tl2br w:val="nil"/>
                    <w:tr2bl w:val="nil"/>
                  </w:tcBorders>
                  <w:noWrap w:val="0"/>
                  <w:vAlign w:val="center"/>
                </w:tcPr>
                <w:p w14:paraId="10A7E97D">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对发动机起到润滑减磨、辅助冷却降温、密封防漏、防锈防蚀、减震缓冲等作用。密度：0.91×10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（kg/m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721" w:type="pct"/>
                  <w:tcBorders>
                    <w:tl2br w:val="nil"/>
                    <w:tr2bl w:val="nil"/>
                  </w:tcBorders>
                  <w:noWrap w:val="0"/>
                  <w:vAlign w:val="center"/>
                </w:tcPr>
                <w:p w14:paraId="35C8556D">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桶装</w:t>
                  </w:r>
                </w:p>
              </w:tc>
            </w:tr>
            <w:tr w14:paraId="0A7C2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212" w:type="pct"/>
                  <w:tcBorders>
                    <w:tl2br w:val="nil"/>
                    <w:tr2bl w:val="nil"/>
                  </w:tcBorders>
                  <w:noWrap w:val="0"/>
                  <w:vAlign w:val="center"/>
                </w:tcPr>
                <w:p w14:paraId="50E36EC7">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414" w:type="pct"/>
                  <w:tcBorders>
                    <w:tl2br w:val="nil"/>
                    <w:tr2bl w:val="nil"/>
                  </w:tcBorders>
                  <w:noWrap w:val="0"/>
                  <w:vAlign w:val="center"/>
                </w:tcPr>
                <w:p w14:paraId="0DADE165">
                  <w:pPr>
                    <w:pStyle w:val="29"/>
                    <w:bidi w:val="0"/>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水泥浆</w:t>
                  </w:r>
                </w:p>
              </w:tc>
              <w:tc>
                <w:tcPr>
                  <w:tcW w:w="485" w:type="pct"/>
                  <w:tcBorders>
                    <w:tl2br w:val="nil"/>
                    <w:tr2bl w:val="nil"/>
                  </w:tcBorders>
                  <w:noWrap w:val="0"/>
                  <w:vAlign w:val="center"/>
                </w:tcPr>
                <w:p w14:paraId="7448D33B">
                  <w:pPr>
                    <w:pStyle w:val="29"/>
                    <w:bidi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1440</w:t>
                  </w:r>
                  <w:r>
                    <w:rPr>
                      <w:rFonts w:hint="default" w:ascii="Times New Roman" w:hAnsi="Times New Roman" w:cs="Times New Roman"/>
                      <w:color w:val="auto"/>
                      <w:sz w:val="21"/>
                      <w:szCs w:val="21"/>
                      <w:lang w:val="en-US" w:eastAsia="zh-CN"/>
                    </w:rPr>
                    <w:t>t</w:t>
                  </w:r>
                </w:p>
              </w:tc>
              <w:tc>
                <w:tcPr>
                  <w:tcW w:w="3166" w:type="pct"/>
                  <w:tcBorders>
                    <w:tl2br w:val="nil"/>
                    <w:tr2bl w:val="nil"/>
                  </w:tcBorders>
                  <w:noWrap w:val="0"/>
                  <w:vAlign w:val="center"/>
                </w:tcPr>
                <w:p w14:paraId="75C114F7">
                  <w:pPr>
                    <w:pStyle w:val="29"/>
                    <w:bidi w:val="0"/>
                    <w:ind w:firstLine="0" w:firstLineChars="0"/>
                    <w:jc w:val="both"/>
                    <w:rPr>
                      <w:rFonts w:hint="default" w:ascii="Times New Roman" w:hAnsi="Times New Roman" w:eastAsia="宋体" w:cs="Times New Roman"/>
                      <w:color w:val="auto"/>
                      <w:sz w:val="21"/>
                      <w:szCs w:val="21"/>
                      <w:lang w:val="en-US" w:eastAsia="zh-CN"/>
                    </w:rPr>
                  </w:pPr>
                  <w:r>
                    <w:rPr>
                      <w:rFonts w:hint="default" w:eastAsia="宋体"/>
                      <w:color w:val="auto"/>
                      <w:sz w:val="21"/>
                      <w:szCs w:val="21"/>
                      <w:lang w:val="en-US" w:eastAsia="zh-CN"/>
                    </w:rPr>
                    <w:t>作为固井和封井材料，G级纯水泥，外购成品，罐车运输至井场使用，水泥中添加降失水剂（主要为水溶性聚合物及有机材料），以调节水泥性能。</w:t>
                  </w:r>
                </w:p>
              </w:tc>
              <w:tc>
                <w:tcPr>
                  <w:tcW w:w="721" w:type="pct"/>
                  <w:tcBorders>
                    <w:tl2br w:val="nil"/>
                    <w:tr2bl w:val="nil"/>
                  </w:tcBorders>
                  <w:noWrap w:val="0"/>
                  <w:vAlign w:val="center"/>
                </w:tcPr>
                <w:p w14:paraId="31EA26B6">
                  <w:pPr>
                    <w:pStyle w:val="29"/>
                    <w:bidi w:val="0"/>
                    <w:ind w:firstLine="0" w:firstLineChars="0"/>
                    <w:jc w:val="center"/>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撬装式设备</w:t>
                  </w:r>
                </w:p>
              </w:tc>
            </w:tr>
          </w:tbl>
          <w:p w14:paraId="68061D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钻井中钻井液的循环程序包括：钻井、液罐、经泵→地面、管汇→立管→水龙带、水龙头→钻柱内→钻头→钻柱外环形空间→井口、泥浆（钻井液）槽→钻井液净化设备→钻井液罐。一开采用膨润土钻井液，二开采用聚合物钻井液。根据企业实际施工经验，单井钻井液组成及用量情况见表2-8。</w:t>
            </w:r>
          </w:p>
          <w:p w14:paraId="612EF96D">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8 单井</w:t>
            </w:r>
            <w:r>
              <w:rPr>
                <w:rFonts w:hint="default" w:ascii="Times New Roman" w:hAnsi="Times New Roman" w:eastAsia="宋体" w:cs="Times New Roman"/>
                <w:b/>
                <w:bCs/>
                <w:color w:val="auto"/>
                <w:sz w:val="21"/>
                <w:szCs w:val="21"/>
                <w:vertAlign w:val="baseline"/>
                <w:lang w:val="en-US" w:eastAsia="zh-CN"/>
              </w:rPr>
              <w:t>钻井液组成及用量表</w:t>
            </w:r>
          </w:p>
          <w:tbl>
            <w:tblPr>
              <w:tblStyle w:val="21"/>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6"/>
              <w:gridCol w:w="2281"/>
              <w:gridCol w:w="849"/>
              <w:gridCol w:w="849"/>
              <w:gridCol w:w="849"/>
              <w:gridCol w:w="2256"/>
            </w:tblGrid>
            <w:tr w14:paraId="30BC1B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5" w:hRule="atLeast"/>
                <w:tblHeader/>
                <w:jc w:val="center"/>
              </w:trPr>
              <w:tc>
                <w:tcPr>
                  <w:tcW w:w="779" w:type="pct"/>
                  <w:tcBorders>
                    <w:tl2br w:val="nil"/>
                    <w:tr2bl w:val="nil"/>
                  </w:tcBorders>
                  <w:noWrap w:val="0"/>
                  <w:vAlign w:val="center"/>
                </w:tcPr>
                <w:p w14:paraId="6B3A2799">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材料名称</w:t>
                  </w:r>
                </w:p>
              </w:tc>
              <w:tc>
                <w:tcPr>
                  <w:tcW w:w="1359" w:type="pct"/>
                  <w:tcBorders>
                    <w:tl2br w:val="nil"/>
                    <w:tr2bl w:val="nil"/>
                  </w:tcBorders>
                  <w:noWrap w:val="0"/>
                  <w:vAlign w:val="center"/>
                </w:tcPr>
                <w:p w14:paraId="53A2AFFA">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505" w:type="pct"/>
                  <w:tcBorders>
                    <w:tl2br w:val="nil"/>
                    <w:tr2bl w:val="nil"/>
                  </w:tcBorders>
                  <w:noWrap w:val="0"/>
                  <w:vAlign w:val="center"/>
                </w:tcPr>
                <w:p w14:paraId="365F7DC2">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一开用量（吨）</w:t>
                  </w:r>
                </w:p>
              </w:tc>
              <w:tc>
                <w:tcPr>
                  <w:tcW w:w="505" w:type="pct"/>
                  <w:tcBorders>
                    <w:tl2br w:val="nil"/>
                    <w:tr2bl w:val="nil"/>
                  </w:tcBorders>
                  <w:noWrap w:val="0"/>
                  <w:vAlign w:val="center"/>
                </w:tcPr>
                <w:p w14:paraId="5EFECE1F">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二开用量（吨）</w:t>
                  </w:r>
                </w:p>
              </w:tc>
              <w:tc>
                <w:tcPr>
                  <w:tcW w:w="505" w:type="pct"/>
                  <w:tcBorders>
                    <w:tl2br w:val="nil"/>
                    <w:tr2bl w:val="nil"/>
                  </w:tcBorders>
                  <w:noWrap w:val="0"/>
                  <w:vAlign w:val="center"/>
                </w:tcPr>
                <w:p w14:paraId="1901B7BF">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总用量（吨）</w:t>
                  </w:r>
                </w:p>
              </w:tc>
              <w:tc>
                <w:tcPr>
                  <w:tcW w:w="1344" w:type="pct"/>
                  <w:tcBorders>
                    <w:tl2br w:val="nil"/>
                    <w:tr2bl w:val="nil"/>
                  </w:tcBorders>
                  <w:noWrap w:val="0"/>
                  <w:vAlign w:val="center"/>
                </w:tcPr>
                <w:p w14:paraId="6982A449">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00DAEC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17873D59">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膨润土</w:t>
                  </w:r>
                </w:p>
              </w:tc>
              <w:tc>
                <w:tcPr>
                  <w:tcW w:w="1359" w:type="pct"/>
                  <w:tcBorders>
                    <w:tl2br w:val="nil"/>
                    <w:tr2bl w:val="nil"/>
                  </w:tcBorders>
                  <w:noWrap w:val="0"/>
                  <w:vAlign w:val="center"/>
                </w:tcPr>
                <w:p w14:paraId="11EFA3B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亲水性矿物</w:t>
                  </w:r>
                </w:p>
              </w:tc>
              <w:tc>
                <w:tcPr>
                  <w:tcW w:w="505" w:type="pct"/>
                  <w:tcBorders>
                    <w:tl2br w:val="nil"/>
                    <w:tr2bl w:val="nil"/>
                  </w:tcBorders>
                  <w:noWrap w:val="0"/>
                  <w:vAlign w:val="center"/>
                </w:tcPr>
                <w:p w14:paraId="12DE128A">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505" w:type="pct"/>
                  <w:tcBorders>
                    <w:tl2br w:val="nil"/>
                    <w:tr2bl w:val="nil"/>
                  </w:tcBorders>
                  <w:noWrap w:val="0"/>
                  <w:vAlign w:val="center"/>
                </w:tcPr>
                <w:p w14:paraId="70023AC4">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505" w:type="pct"/>
                  <w:tcBorders>
                    <w:tl2br w:val="nil"/>
                    <w:tr2bl w:val="nil"/>
                  </w:tcBorders>
                  <w:noWrap w:val="0"/>
                  <w:vAlign w:val="center"/>
                </w:tcPr>
                <w:p w14:paraId="337E14BC">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1344" w:type="pct"/>
                  <w:tcBorders>
                    <w:tl2br w:val="nil"/>
                    <w:tr2bl w:val="nil"/>
                  </w:tcBorders>
                  <w:noWrap w:val="0"/>
                  <w:vAlign w:val="center"/>
                </w:tcPr>
                <w:p w14:paraId="30519B7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基础配浆材料</w:t>
                  </w:r>
                </w:p>
              </w:tc>
            </w:tr>
            <w:tr w14:paraId="20837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49F69CB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纯碱</w:t>
                  </w:r>
                </w:p>
              </w:tc>
              <w:tc>
                <w:tcPr>
                  <w:tcW w:w="1359" w:type="pct"/>
                  <w:tcBorders>
                    <w:tl2br w:val="nil"/>
                    <w:tr2bl w:val="nil"/>
                  </w:tcBorders>
                  <w:noWrap w:val="0"/>
                  <w:vAlign w:val="center"/>
                </w:tcPr>
                <w:p w14:paraId="38F2B4F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p>
              </w:tc>
              <w:tc>
                <w:tcPr>
                  <w:tcW w:w="505" w:type="pct"/>
                  <w:tcBorders>
                    <w:tl2br w:val="nil"/>
                    <w:tr2bl w:val="nil"/>
                  </w:tcBorders>
                  <w:noWrap w:val="0"/>
                  <w:vAlign w:val="center"/>
                </w:tcPr>
                <w:p w14:paraId="130A193D">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505" w:type="pct"/>
                  <w:tcBorders>
                    <w:tl2br w:val="nil"/>
                    <w:tr2bl w:val="nil"/>
                  </w:tcBorders>
                  <w:noWrap w:val="0"/>
                  <w:vAlign w:val="center"/>
                </w:tcPr>
                <w:p w14:paraId="173AF47B">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05" w:type="pct"/>
                  <w:tcBorders>
                    <w:tl2br w:val="nil"/>
                    <w:tr2bl w:val="nil"/>
                  </w:tcBorders>
                  <w:noWrap w:val="0"/>
                  <w:vAlign w:val="center"/>
                </w:tcPr>
                <w:p w14:paraId="7668D99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.5</w:t>
                  </w:r>
                </w:p>
              </w:tc>
              <w:tc>
                <w:tcPr>
                  <w:tcW w:w="1344" w:type="pct"/>
                  <w:tcBorders>
                    <w:tl2br w:val="nil"/>
                    <w:tr2bl w:val="nil"/>
                  </w:tcBorders>
                  <w:noWrap w:val="0"/>
                  <w:vAlign w:val="center"/>
                </w:tcPr>
                <w:p w14:paraId="020FC31C">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与膨润土发生水化作业，增加粘性，降滤失</w:t>
                  </w:r>
                </w:p>
              </w:tc>
            </w:tr>
            <w:tr w14:paraId="12741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7C1BDD5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烧碱（固态）</w:t>
                  </w:r>
                </w:p>
              </w:tc>
              <w:tc>
                <w:tcPr>
                  <w:tcW w:w="1359" w:type="pct"/>
                  <w:tcBorders>
                    <w:tl2br w:val="nil"/>
                    <w:tr2bl w:val="nil"/>
                  </w:tcBorders>
                  <w:noWrap w:val="0"/>
                  <w:vAlign w:val="center"/>
                </w:tcPr>
                <w:p w14:paraId="334596A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NaOH</w:t>
                  </w:r>
                </w:p>
              </w:tc>
              <w:tc>
                <w:tcPr>
                  <w:tcW w:w="505" w:type="pct"/>
                  <w:tcBorders>
                    <w:tl2br w:val="nil"/>
                    <w:tr2bl w:val="nil"/>
                  </w:tcBorders>
                  <w:noWrap w:val="0"/>
                  <w:vAlign w:val="center"/>
                </w:tcPr>
                <w:p w14:paraId="1D1892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4E9644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6B5A977F">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344" w:type="pct"/>
                  <w:tcBorders>
                    <w:tl2br w:val="nil"/>
                    <w:tr2bl w:val="nil"/>
                  </w:tcBorders>
                  <w:noWrap w:val="0"/>
                  <w:vAlign w:val="center"/>
                </w:tcPr>
                <w:p w14:paraId="079277B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调节pH，与酸性处理剂配合使用</w:t>
                  </w:r>
                </w:p>
              </w:tc>
            </w:tr>
            <w:tr w14:paraId="12EC91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042ED9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K-PAM</w:t>
                  </w:r>
                  <w:r>
                    <w:rPr>
                      <w:rFonts w:hint="default" w:ascii="Times New Roman" w:hAnsi="Times New Roman" w:eastAsia="宋体" w:cs="Times New Roman"/>
                      <w:color w:val="auto"/>
                      <w:sz w:val="21"/>
                      <w:szCs w:val="21"/>
                    </w:rPr>
                    <w:t>（聚丙烯酸钾）</w:t>
                  </w:r>
                </w:p>
              </w:tc>
              <w:tc>
                <w:tcPr>
                  <w:tcW w:w="1359" w:type="pct"/>
                  <w:tcBorders>
                    <w:tl2br w:val="nil"/>
                    <w:tr2bl w:val="nil"/>
                  </w:tcBorders>
                  <w:noWrap w:val="0"/>
                  <w:vAlign w:val="center"/>
                </w:tcPr>
                <w:p w14:paraId="5952CB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KO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)M</w:t>
                  </w:r>
                </w:p>
              </w:tc>
              <w:tc>
                <w:tcPr>
                  <w:tcW w:w="505" w:type="pct"/>
                  <w:tcBorders>
                    <w:tl2br w:val="nil"/>
                    <w:tr2bl w:val="nil"/>
                  </w:tcBorders>
                  <w:noWrap w:val="0"/>
                  <w:vAlign w:val="center"/>
                </w:tcPr>
                <w:p w14:paraId="0BFDDFDE">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505" w:type="pct"/>
                  <w:tcBorders>
                    <w:tl2br w:val="nil"/>
                    <w:tr2bl w:val="nil"/>
                  </w:tcBorders>
                  <w:noWrap w:val="0"/>
                  <w:vAlign w:val="center"/>
                </w:tcPr>
                <w:p w14:paraId="762A57B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505" w:type="pct"/>
                  <w:tcBorders>
                    <w:tl2br w:val="nil"/>
                    <w:tr2bl w:val="nil"/>
                  </w:tcBorders>
                  <w:noWrap w:val="0"/>
                  <w:vAlign w:val="center"/>
                </w:tcPr>
                <w:p w14:paraId="6FFBFAB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w:t>
                  </w:r>
                  <w:r>
                    <w:rPr>
                      <w:rFonts w:hint="default" w:ascii="Times New Roman" w:hAnsi="Times New Roman" w:eastAsia="宋体" w:cs="Times New Roman"/>
                      <w:color w:val="auto"/>
                      <w:sz w:val="21"/>
                      <w:szCs w:val="21"/>
                      <w:lang w:val="en-US" w:eastAsia="zh-CN"/>
                    </w:rPr>
                    <w:t>.5</w:t>
                  </w:r>
                </w:p>
              </w:tc>
              <w:tc>
                <w:tcPr>
                  <w:tcW w:w="1344" w:type="pct"/>
                  <w:tcBorders>
                    <w:tl2br w:val="nil"/>
                    <w:tr2bl w:val="nil"/>
                  </w:tcBorders>
                  <w:noWrap w:val="0"/>
                  <w:vAlign w:val="center"/>
                </w:tcPr>
                <w:p w14:paraId="2423A04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能有效包被钻屑、抑制地层造浆，起稳定井壁、防塌、降滤失的</w:t>
                  </w:r>
                  <w:r>
                    <w:rPr>
                      <w:rFonts w:hint="default" w:ascii="Times New Roman" w:hAnsi="Times New Roman" w:eastAsia="宋体" w:cs="Times New Roman"/>
                      <w:color w:val="auto"/>
                      <w:sz w:val="21"/>
                      <w:szCs w:val="21"/>
                      <w:lang w:val="en-US" w:eastAsia="zh-CN"/>
                    </w:rPr>
                    <w:t>作用</w:t>
                  </w:r>
                </w:p>
              </w:tc>
            </w:tr>
            <w:tr w14:paraId="4DA5E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99DA10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K-HPAN</w:t>
                  </w:r>
                </w:p>
              </w:tc>
              <w:tc>
                <w:tcPr>
                  <w:tcW w:w="1359" w:type="pct"/>
                  <w:tcBorders>
                    <w:tl2br w:val="nil"/>
                    <w:tr2bl w:val="nil"/>
                  </w:tcBorders>
                  <w:noWrap w:val="0"/>
                  <w:vAlign w:val="center"/>
                </w:tcPr>
                <w:p w14:paraId="447394AF">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含有酰胺基、腈基和羧基钾离子含量高</w:t>
                  </w:r>
                </w:p>
              </w:tc>
              <w:tc>
                <w:tcPr>
                  <w:tcW w:w="505" w:type="pct"/>
                  <w:tcBorders>
                    <w:tl2br w:val="nil"/>
                    <w:tr2bl w:val="nil"/>
                  </w:tcBorders>
                  <w:noWrap w:val="0"/>
                  <w:vAlign w:val="center"/>
                </w:tcPr>
                <w:p w14:paraId="2FBD50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009CEA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05" w:type="pct"/>
                  <w:tcBorders>
                    <w:tl2br w:val="nil"/>
                    <w:tr2bl w:val="nil"/>
                  </w:tcBorders>
                  <w:noWrap w:val="0"/>
                  <w:vAlign w:val="center"/>
                </w:tcPr>
                <w:p w14:paraId="6EBD13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44" w:type="pct"/>
                  <w:tcBorders>
                    <w:tl2br w:val="nil"/>
                    <w:tr2bl w:val="nil"/>
                  </w:tcBorders>
                  <w:noWrap w:val="0"/>
                  <w:vAlign w:val="center"/>
                </w:tcPr>
                <w:p w14:paraId="1F8F35E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降滤失，调整泥浆流态</w:t>
                  </w:r>
                </w:p>
              </w:tc>
            </w:tr>
            <w:tr w14:paraId="3A5A5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126AEB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-HPAN</w:t>
                  </w:r>
                  <w:r>
                    <w:rPr>
                      <w:rFonts w:hint="default" w:ascii="Times New Roman" w:hAnsi="Times New Roman" w:eastAsia="宋体" w:cs="Times New Roman"/>
                      <w:color w:val="auto"/>
                      <w:kern w:val="0"/>
                      <w:sz w:val="21"/>
                      <w:szCs w:val="21"/>
                      <w:lang w:bidi="ar"/>
                    </w:rPr>
                    <w:t>（水解聚丙烯腈铵盐）</w:t>
                  </w:r>
                </w:p>
              </w:tc>
              <w:tc>
                <w:tcPr>
                  <w:tcW w:w="1359" w:type="pct"/>
                  <w:tcBorders>
                    <w:tl2br w:val="nil"/>
                    <w:tr2bl w:val="nil"/>
                  </w:tcBorders>
                  <w:noWrap w:val="0"/>
                  <w:vAlign w:val="center"/>
                </w:tcPr>
                <w:p w14:paraId="52D246A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 COOH、COONH</w:t>
                  </w:r>
                  <w:r>
                    <w:rPr>
                      <w:rFonts w:hint="default" w:ascii="Times New Roman" w:hAnsi="Times New Roman" w:cs="Times New Roman"/>
                      <w:color w:val="auto"/>
                      <w:sz w:val="21"/>
                      <w:szCs w:val="21"/>
                      <w:vertAlign w:val="subscript"/>
                    </w:rPr>
                    <w:t>4</w:t>
                  </w:r>
                  <w:r>
                    <w:rPr>
                      <w:rFonts w:hint="default" w:ascii="Times New Roman" w:hAnsi="Times New Roman" w:eastAsia="宋体" w:cs="Times New Roman"/>
                      <w:color w:val="auto"/>
                      <w:sz w:val="21"/>
                      <w:szCs w:val="21"/>
                    </w:rPr>
                    <w:t>、CONH</w:t>
                  </w:r>
                  <w:r>
                    <w:rPr>
                      <w:rFonts w:hint="default" w:ascii="Times New Roman" w:hAnsi="Times New Roman" w:cs="Times New Roman"/>
                      <w:color w:val="auto"/>
                      <w:sz w:val="21"/>
                      <w:szCs w:val="21"/>
                      <w:vertAlign w:val="subscript"/>
                    </w:rPr>
                    <w:t>2</w:t>
                  </w:r>
                  <w:r>
                    <w:rPr>
                      <w:rFonts w:hint="default" w:ascii="Times New Roman" w:hAnsi="Times New Roman" w:eastAsia="宋体" w:cs="Times New Roman"/>
                      <w:color w:val="auto"/>
                      <w:sz w:val="21"/>
                      <w:szCs w:val="21"/>
                    </w:rPr>
                    <w:t>、CN等基团构成</w:t>
                  </w:r>
                </w:p>
              </w:tc>
              <w:tc>
                <w:tcPr>
                  <w:tcW w:w="505" w:type="pct"/>
                  <w:tcBorders>
                    <w:tl2br w:val="nil"/>
                    <w:tr2bl w:val="nil"/>
                  </w:tcBorders>
                  <w:noWrap w:val="0"/>
                  <w:vAlign w:val="center"/>
                </w:tcPr>
                <w:p w14:paraId="2764A4A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0ABDDE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05" w:type="pct"/>
                  <w:tcBorders>
                    <w:tl2br w:val="nil"/>
                    <w:tr2bl w:val="nil"/>
                  </w:tcBorders>
                  <w:noWrap w:val="0"/>
                  <w:vAlign w:val="center"/>
                </w:tcPr>
                <w:p w14:paraId="04CD0D0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344" w:type="pct"/>
                  <w:tcBorders>
                    <w:tl2br w:val="nil"/>
                    <w:tr2bl w:val="nil"/>
                  </w:tcBorders>
                  <w:noWrap w:val="0"/>
                  <w:vAlign w:val="center"/>
                </w:tcPr>
                <w:p w14:paraId="2E61AF0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抑制粘土水化分散，是一种良好的页岩抑制，同时兼有降低钻井液</w:t>
                  </w:r>
                </w:p>
                <w:p w14:paraId="40E3C95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度和降滤失作用</w:t>
                  </w:r>
                </w:p>
              </w:tc>
            </w:tr>
            <w:tr w14:paraId="4031C5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22000BD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LV-CMC</w:t>
                  </w:r>
                  <w:r>
                    <w:rPr>
                      <w:rFonts w:hint="default" w:ascii="Times New Roman" w:hAnsi="Times New Roman" w:eastAsia="宋体" w:cs="Times New Roman"/>
                      <w:color w:val="auto"/>
                      <w:sz w:val="21"/>
                      <w:szCs w:val="21"/>
                    </w:rPr>
                    <w:t>（羧甲基纤维素钠）</w:t>
                  </w:r>
                </w:p>
              </w:tc>
              <w:tc>
                <w:tcPr>
                  <w:tcW w:w="1359" w:type="pct"/>
                  <w:tcBorders>
                    <w:tl2br w:val="nil"/>
                    <w:tr2bl w:val="nil"/>
                  </w:tcBorders>
                  <w:noWrap w:val="0"/>
                  <w:vAlign w:val="center"/>
                </w:tcPr>
                <w:p w14:paraId="3E4A8815">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C</w:t>
                  </w:r>
                  <w:r>
                    <w:rPr>
                      <w:rFonts w:hint="default" w:ascii="Times New Roman" w:hAnsi="Times New Roman" w:cs="Times New Roman"/>
                      <w:color w:val="auto"/>
                      <w:kern w:val="0"/>
                      <w:sz w:val="21"/>
                      <w:szCs w:val="21"/>
                      <w:vertAlign w:val="subscript"/>
                      <w:lang w:bidi="ar"/>
                    </w:rPr>
                    <w:t>8</w:t>
                  </w:r>
                  <w:r>
                    <w:rPr>
                      <w:rFonts w:hint="default" w:ascii="Times New Roman" w:hAnsi="Times New Roman" w:cs="Times New Roman"/>
                      <w:color w:val="auto"/>
                      <w:kern w:val="0"/>
                      <w:sz w:val="21"/>
                      <w:szCs w:val="21"/>
                      <w:lang w:bidi="ar"/>
                    </w:rPr>
                    <w:t>H</w:t>
                  </w:r>
                  <w:r>
                    <w:rPr>
                      <w:rFonts w:hint="default" w:ascii="Times New Roman" w:hAnsi="Times New Roman" w:cs="Times New Roman"/>
                      <w:color w:val="auto"/>
                      <w:kern w:val="0"/>
                      <w:sz w:val="21"/>
                      <w:szCs w:val="21"/>
                      <w:vertAlign w:val="subscript"/>
                      <w:lang w:bidi="ar"/>
                    </w:rPr>
                    <w:t>16</w:t>
                  </w:r>
                  <w:r>
                    <w:rPr>
                      <w:rFonts w:hint="default" w:ascii="Times New Roman" w:hAnsi="Times New Roman" w:cs="Times New Roman"/>
                      <w:color w:val="auto"/>
                      <w:kern w:val="0"/>
                      <w:sz w:val="21"/>
                      <w:szCs w:val="21"/>
                      <w:lang w:bidi="ar"/>
                    </w:rPr>
                    <w:t>NaO</w:t>
                  </w:r>
                  <w:r>
                    <w:rPr>
                      <w:rFonts w:hint="default" w:ascii="Times New Roman" w:hAnsi="Times New Roman" w:cs="Times New Roman"/>
                      <w:color w:val="auto"/>
                      <w:kern w:val="0"/>
                      <w:sz w:val="21"/>
                      <w:szCs w:val="21"/>
                      <w:vertAlign w:val="subscript"/>
                      <w:lang w:bidi="ar"/>
                    </w:rPr>
                    <w:t>8</w:t>
                  </w:r>
                </w:p>
              </w:tc>
              <w:tc>
                <w:tcPr>
                  <w:tcW w:w="505" w:type="pct"/>
                  <w:tcBorders>
                    <w:tl2br w:val="nil"/>
                    <w:tr2bl w:val="nil"/>
                  </w:tcBorders>
                  <w:noWrap w:val="0"/>
                  <w:vAlign w:val="center"/>
                </w:tcPr>
                <w:p w14:paraId="38FE3B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7A52BA6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5" w:type="pct"/>
                  <w:tcBorders>
                    <w:tl2br w:val="nil"/>
                    <w:tr2bl w:val="nil"/>
                  </w:tcBorders>
                  <w:noWrap w:val="0"/>
                  <w:vAlign w:val="center"/>
                </w:tcPr>
                <w:p w14:paraId="7F4FAE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44" w:type="pct"/>
                  <w:tcBorders>
                    <w:tl2br w:val="nil"/>
                    <w:tr2bl w:val="nil"/>
                  </w:tcBorders>
                  <w:noWrap w:val="0"/>
                  <w:vAlign w:val="center"/>
                </w:tcPr>
                <w:p w14:paraId="35133E8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主要用作降滤失剂</w:t>
                  </w:r>
                </w:p>
              </w:tc>
            </w:tr>
            <w:tr w14:paraId="40712E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04E8513">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沥青类防塌剂</w:t>
                  </w:r>
                </w:p>
              </w:tc>
              <w:tc>
                <w:tcPr>
                  <w:tcW w:w="1359" w:type="pct"/>
                  <w:tcBorders>
                    <w:tl2br w:val="nil"/>
                    <w:tr2bl w:val="nil"/>
                  </w:tcBorders>
                  <w:noWrap w:val="0"/>
                  <w:vAlign w:val="center"/>
                </w:tcPr>
                <w:p w14:paraId="4A9E4CD7">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高级脂肪醇树脂</w:t>
                  </w:r>
                </w:p>
              </w:tc>
              <w:tc>
                <w:tcPr>
                  <w:tcW w:w="505" w:type="pct"/>
                  <w:tcBorders>
                    <w:tl2br w:val="nil"/>
                    <w:tr2bl w:val="nil"/>
                  </w:tcBorders>
                  <w:noWrap w:val="0"/>
                  <w:vAlign w:val="center"/>
                </w:tcPr>
                <w:p w14:paraId="78E861E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41888D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5" w:type="pct"/>
                  <w:tcBorders>
                    <w:tl2br w:val="nil"/>
                    <w:tr2bl w:val="nil"/>
                  </w:tcBorders>
                  <w:noWrap w:val="0"/>
                  <w:vAlign w:val="center"/>
                </w:tcPr>
                <w:p w14:paraId="402E378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44" w:type="pct"/>
                  <w:tcBorders>
                    <w:tl2br w:val="nil"/>
                    <w:tr2bl w:val="nil"/>
                  </w:tcBorders>
                  <w:noWrap w:val="0"/>
                  <w:vAlign w:val="center"/>
                </w:tcPr>
                <w:p w14:paraId="2B7574A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稳定井壁，防止井壁垮塌</w:t>
                  </w:r>
                </w:p>
              </w:tc>
            </w:tr>
            <w:tr w14:paraId="655683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5CED6164">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常规液体润滑剂</w:t>
                  </w:r>
                </w:p>
              </w:tc>
              <w:tc>
                <w:tcPr>
                  <w:tcW w:w="1359" w:type="pct"/>
                  <w:tcBorders>
                    <w:tl2br w:val="nil"/>
                    <w:tr2bl w:val="nil"/>
                  </w:tcBorders>
                  <w:noWrap w:val="0"/>
                  <w:vAlign w:val="center"/>
                </w:tcPr>
                <w:p w14:paraId="582C102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聚合醇</w:t>
                  </w:r>
                </w:p>
              </w:tc>
              <w:tc>
                <w:tcPr>
                  <w:tcW w:w="505" w:type="pct"/>
                  <w:tcBorders>
                    <w:tl2br w:val="nil"/>
                    <w:tr2bl w:val="nil"/>
                  </w:tcBorders>
                  <w:noWrap w:val="0"/>
                  <w:vAlign w:val="center"/>
                </w:tcPr>
                <w:p w14:paraId="2C1BACE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1EFEAAA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5" w:type="pct"/>
                  <w:tcBorders>
                    <w:tl2br w:val="nil"/>
                    <w:tr2bl w:val="nil"/>
                  </w:tcBorders>
                  <w:noWrap w:val="0"/>
                  <w:vAlign w:val="center"/>
                </w:tcPr>
                <w:p w14:paraId="17F97DA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44" w:type="pct"/>
                  <w:tcBorders>
                    <w:tl2br w:val="nil"/>
                    <w:tr2bl w:val="nil"/>
                  </w:tcBorders>
                  <w:noWrap w:val="0"/>
                  <w:vAlign w:val="center"/>
                </w:tcPr>
                <w:p w14:paraId="48760A8D">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减少钻具的扭矩、磨损和疲劳，延长钻具及钻头的使用寿命</w:t>
                  </w:r>
                </w:p>
              </w:tc>
            </w:tr>
            <w:tr w14:paraId="45072C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3293C61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复合堵漏剂(备用)</w:t>
                  </w:r>
                </w:p>
              </w:tc>
              <w:tc>
                <w:tcPr>
                  <w:tcW w:w="1359" w:type="pct"/>
                  <w:tcBorders>
                    <w:tl2br w:val="nil"/>
                    <w:tr2bl w:val="nil"/>
                  </w:tcBorders>
                  <w:noWrap w:val="0"/>
                  <w:vAlign w:val="center"/>
                </w:tcPr>
                <w:p w14:paraId="517B530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锯末、云母、棉籽、核桃壳等</w:t>
                  </w:r>
                </w:p>
              </w:tc>
              <w:tc>
                <w:tcPr>
                  <w:tcW w:w="505" w:type="pct"/>
                  <w:tcBorders>
                    <w:tl2br w:val="nil"/>
                    <w:tr2bl w:val="nil"/>
                  </w:tcBorders>
                  <w:noWrap w:val="0"/>
                  <w:vAlign w:val="center"/>
                </w:tcPr>
                <w:p w14:paraId="5664B71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4522CB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2D9A0B4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44" w:type="pct"/>
                  <w:tcBorders>
                    <w:tl2br w:val="nil"/>
                    <w:tr2bl w:val="nil"/>
                  </w:tcBorders>
                  <w:noWrap w:val="0"/>
                  <w:vAlign w:val="center"/>
                </w:tcPr>
                <w:p w14:paraId="526F73D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起堵漏作用</w:t>
                  </w:r>
                </w:p>
              </w:tc>
            </w:tr>
            <w:tr w14:paraId="4FC63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779" w:type="pct"/>
                  <w:tcBorders>
                    <w:tl2br w:val="nil"/>
                    <w:tr2bl w:val="nil"/>
                  </w:tcBorders>
                  <w:noWrap w:val="0"/>
                  <w:vAlign w:val="center"/>
                </w:tcPr>
                <w:p w14:paraId="5280E7B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加重材料</w:t>
                  </w:r>
                </w:p>
              </w:tc>
              <w:tc>
                <w:tcPr>
                  <w:tcW w:w="1359" w:type="pct"/>
                  <w:tcBorders>
                    <w:tl2br w:val="nil"/>
                    <w:tr2bl w:val="nil"/>
                  </w:tcBorders>
                  <w:noWrap w:val="0"/>
                  <w:vAlign w:val="center"/>
                </w:tcPr>
                <w:p w14:paraId="65F1ABD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CaCO</w:t>
                  </w:r>
                  <w:r>
                    <w:rPr>
                      <w:rFonts w:hint="default" w:ascii="Times New Roman" w:hAnsi="Times New Roman" w:cs="Times New Roman"/>
                      <w:color w:val="auto"/>
                      <w:sz w:val="21"/>
                      <w:szCs w:val="21"/>
                      <w:vertAlign w:val="subscript"/>
                    </w:rPr>
                    <w:t>3</w:t>
                  </w:r>
                </w:p>
              </w:tc>
              <w:tc>
                <w:tcPr>
                  <w:tcW w:w="505" w:type="pct"/>
                  <w:tcBorders>
                    <w:tl2br w:val="nil"/>
                    <w:tr2bl w:val="nil"/>
                  </w:tcBorders>
                  <w:noWrap w:val="0"/>
                  <w:vAlign w:val="center"/>
                </w:tcPr>
                <w:p w14:paraId="5E73292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1CEA7E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5" w:type="pct"/>
                  <w:tcBorders>
                    <w:tl2br w:val="nil"/>
                    <w:tr2bl w:val="nil"/>
                  </w:tcBorders>
                  <w:noWrap w:val="0"/>
                  <w:vAlign w:val="center"/>
                </w:tcPr>
                <w:p w14:paraId="3C930D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344" w:type="pct"/>
                  <w:tcBorders>
                    <w:tl2br w:val="nil"/>
                    <w:tr2bl w:val="nil"/>
                  </w:tcBorders>
                  <w:noWrap w:val="0"/>
                  <w:vAlign w:val="center"/>
                </w:tcPr>
                <w:p w14:paraId="7488C68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提高钻井液密度，稳定井壁</w:t>
                  </w:r>
                </w:p>
              </w:tc>
            </w:tr>
            <w:tr w14:paraId="7E780D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79" w:type="pct"/>
                  <w:tcBorders>
                    <w:tl2br w:val="nil"/>
                    <w:tr2bl w:val="nil"/>
                  </w:tcBorders>
                  <w:noWrap w:val="0"/>
                  <w:vAlign w:val="center"/>
                </w:tcPr>
                <w:p w14:paraId="5076BBF9">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合计</w:t>
                  </w:r>
                </w:p>
              </w:tc>
              <w:tc>
                <w:tcPr>
                  <w:tcW w:w="1359" w:type="pct"/>
                  <w:tcBorders>
                    <w:tl2br w:val="nil"/>
                    <w:tr2bl w:val="nil"/>
                  </w:tcBorders>
                  <w:noWrap w:val="0"/>
                  <w:vAlign w:val="center"/>
                </w:tcPr>
                <w:p w14:paraId="0D38E0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76C238F8">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sum(C2:C12)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fldChar w:fldCharType="end"/>
                  </w:r>
                </w:p>
              </w:tc>
              <w:tc>
                <w:tcPr>
                  <w:tcW w:w="505" w:type="pct"/>
                  <w:tcBorders>
                    <w:tl2br w:val="nil"/>
                    <w:tr2bl w:val="nil"/>
                  </w:tcBorders>
                  <w:noWrap w:val="0"/>
                  <w:vAlign w:val="center"/>
                </w:tcPr>
                <w:p w14:paraId="40ABDEF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sum(D2:D12)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49.5</w:t>
                  </w:r>
                  <w:r>
                    <w:rPr>
                      <w:rFonts w:hint="default" w:ascii="Times New Roman" w:hAnsi="Times New Roman" w:cs="Times New Roman"/>
                      <w:color w:val="auto"/>
                      <w:sz w:val="21"/>
                      <w:szCs w:val="21"/>
                    </w:rPr>
                    <w:fldChar w:fldCharType="end"/>
                  </w:r>
                </w:p>
              </w:tc>
              <w:tc>
                <w:tcPr>
                  <w:tcW w:w="505" w:type="pct"/>
                  <w:tcBorders>
                    <w:tl2br w:val="nil"/>
                    <w:tr2bl w:val="nil"/>
                  </w:tcBorders>
                  <w:noWrap w:val="0"/>
                  <w:vAlign w:val="center"/>
                </w:tcPr>
                <w:p w14:paraId="42D9CA16">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sum(E2:E12)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61</w:t>
                  </w:r>
                  <w:r>
                    <w:rPr>
                      <w:rFonts w:hint="default" w:ascii="Times New Roman" w:hAnsi="Times New Roman" w:cs="Times New Roman"/>
                      <w:color w:val="auto"/>
                      <w:sz w:val="21"/>
                      <w:szCs w:val="21"/>
                      <w:lang w:val="en-US" w:eastAsia="zh-CN"/>
                    </w:rPr>
                    <w:fldChar w:fldCharType="end"/>
                  </w:r>
                </w:p>
              </w:tc>
              <w:tc>
                <w:tcPr>
                  <w:tcW w:w="1344" w:type="pct"/>
                  <w:tcBorders>
                    <w:tl2br w:val="nil"/>
                    <w:tr2bl w:val="nil"/>
                  </w:tcBorders>
                  <w:noWrap w:val="0"/>
                  <w:vAlign w:val="center"/>
                </w:tcPr>
                <w:p w14:paraId="7166058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14:paraId="009272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聚丙烯酸钾</w:t>
            </w:r>
            <w:r>
              <w:rPr>
                <w:rFonts w:hint="default" w:ascii="Times New Roman" w:hAnsi="Times New Roman" w:eastAsia="宋体" w:cs="Times New Roman"/>
                <w:b w:val="0"/>
                <w:bCs w:val="0"/>
                <w:color w:val="auto"/>
                <w:sz w:val="24"/>
                <w:szCs w:val="24"/>
                <w:vertAlign w:val="baseline"/>
                <w:lang w:val="en-US" w:eastAsia="zh-CN"/>
              </w:rPr>
              <w:t>：聚丙烯酸钾(K－PAM)，是一种含羧钾聚丙烯酰胺衍生物，具有高吸水性、生产成本低、加工工艺简单、产品质量稳定、长时间储存不变质，最终分解物对生态环境无害等特点，同时还是很强的抑制页岩分散剂，具有控制地层造浆的作用并兼有降失水、改善流型及增加润滑性等功能；因此可以用于井下不分散低固性泥浆、聚合物体系的剪切稀释、防塌絮凝。</w:t>
            </w:r>
          </w:p>
          <w:p w14:paraId="2BC1E4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K-HPAN</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水解聚丙烯睛铵盐</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以腈纶废丝为主要原料，分子中有腈基，酰胺基及羧基。为棕红色或淡黄色粉末，易溶于水，水溶液呈碱性。本品为一种聚丙烯酸类岩抑制剂，对粘土有抑制水化膨胀的作用，并可降低钻井液的滤失量。</w:t>
            </w:r>
          </w:p>
          <w:p w14:paraId="5E7420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LV-CMC</w:t>
            </w:r>
            <w:r>
              <w:rPr>
                <w:rFonts w:hint="default" w:ascii="Times New Roman" w:hAnsi="Times New Roman" w:eastAsia="宋体" w:cs="Times New Roman"/>
                <w:b/>
                <w:bCs/>
                <w:color w:val="auto"/>
                <w:sz w:val="24"/>
                <w:szCs w:val="24"/>
              </w:rPr>
              <w:t>（羧甲基纤维素钠）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是纤维素的羧甲基化衍生物，又名纤维素胶，属阴离子型纤维素醚，是最主要离子型纤维素胶。通常是由天然纤维素与苛性碱及一氯醋酸反应后制得的一种阴离子型高分子化合物，化合物分子量从几千到百万不等。CMC为白色或乳白色纤维状粉末或颗粒，密度0.5-0.7克/立方厘米，几乎无臭、无味，具吸湿性。易于分散在水中成透明胶状溶液，在乙醇等有机溶媒中不溶。1%水溶液pH为6.5～8.5，当pH&gt;10或&lt;5时，胶浆粘度显著降低，在pH=7时性能最佳。对热稳定，在20℃以下粘度迅速上升，45℃时变化较慢，80℃以上长时间加热可使其胶体变性而粘度和性能明显下降。易溶于水，溶液透明；在碱性溶液中很稳定，遇酸则易水解，pH值为2-3时会出现沉淀，遇多价金属盐也会反应出现沉淀。</w:t>
            </w:r>
            <w:r>
              <w:rPr>
                <w:rFonts w:hint="default" w:ascii="Times New Roman" w:hAnsi="Times New Roman" w:eastAsia="宋体" w:cs="Times New Roman"/>
                <w:b w:val="0"/>
                <w:bCs w:val="0"/>
                <w:color w:val="auto"/>
                <w:sz w:val="24"/>
                <w:szCs w:val="24"/>
                <w:highlight w:val="none"/>
                <w:vertAlign w:val="baseline"/>
                <w:lang w:val="en-US" w:eastAsia="zh-CN"/>
              </w:rPr>
              <w:t>固体CMC对光及室温较稳定</w:t>
            </w:r>
            <w:r>
              <w:rPr>
                <w:rFonts w:hint="default" w:ascii="Times New Roman" w:hAnsi="Times New Roman" w:eastAsia="宋体" w:cs="Times New Roman"/>
                <w:b w:val="0"/>
                <w:bCs w:val="0"/>
                <w:color w:val="auto"/>
                <w:sz w:val="24"/>
                <w:szCs w:val="24"/>
                <w:vertAlign w:val="baseline"/>
                <w:lang w:val="en-US" w:eastAsia="zh-CN"/>
              </w:rPr>
              <w:t>，在干燥的环境中，可以长期保存。羧甲基纤维素钠可用作增稠剂，稳定剂，乳化剂。</w:t>
            </w:r>
          </w:p>
          <w:p w14:paraId="023124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复合堵漏剂</w:t>
            </w:r>
            <w:r>
              <w:rPr>
                <w:rFonts w:hint="default" w:ascii="Times New Roman" w:hAnsi="Times New Roman" w:eastAsia="宋体" w:cs="Times New Roman"/>
                <w:b w:val="0"/>
                <w:bCs w:val="0"/>
                <w:color w:val="auto"/>
                <w:sz w:val="24"/>
                <w:szCs w:val="24"/>
                <w:vertAlign w:val="baseline"/>
                <w:lang w:val="en-US" w:eastAsia="zh-CN"/>
              </w:rPr>
              <w:t>：堵漏剂是一种凝结硬化快，小时强度高，具有膨胀的水硬性材料，此原料无毒无味，经严格筛选，性能卓越，操作简便，用水调和即可使用，可在潮湿面上施工，亦可带水堵漏，效果奇特。</w:t>
            </w:r>
          </w:p>
          <w:p w14:paraId="0B58F9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压裂液各成分理化性质一览表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6945"/>
            </w:tblGrid>
            <w:tr w14:paraId="31B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EDB9B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原料名称</w:t>
                  </w:r>
                </w:p>
              </w:tc>
              <w:tc>
                <w:tcPr>
                  <w:tcW w:w="6945" w:type="dxa"/>
                  <w:vAlign w:val="center"/>
                </w:tcPr>
                <w:p w14:paraId="7B76CC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理化性质</w:t>
                  </w:r>
                </w:p>
              </w:tc>
            </w:tr>
            <w:tr w14:paraId="36BF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E4255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改性胍胶</w:t>
                  </w:r>
                </w:p>
              </w:tc>
              <w:tc>
                <w:tcPr>
                  <w:tcW w:w="6945" w:type="dxa"/>
                  <w:vAlign w:val="center"/>
                </w:tcPr>
                <w:p w14:paraId="49C3978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采用昆山羟丙基胍胶，羟丙基胍胶具有增稠能力强，热稳定性好的特点，对水有很强的亲和力。当胍胶粉末加入水中，胍胶的微粒便</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溶胀、水合</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，也就是聚合物分子与许多水分子形成缔合体，然后在溶液中展开、伸长。在水基体系中，聚合物线团的相互作用，产生了粘稠溶液。适合储层温度</w:t>
                  </w:r>
                  <w:r>
                    <w:rPr>
                      <w:rFonts w:hint="default" w:ascii="Times New Roman" w:hAnsi="Times New Roman" w:eastAsia="TimesNewRomanPSMT" w:cs="Times New Roman"/>
                      <w:color w:val="auto"/>
                      <w:sz w:val="21"/>
                      <w:szCs w:val="24"/>
                    </w:rPr>
                    <w:t>80℃-200℃</w:t>
                  </w:r>
                  <w:r>
                    <w:rPr>
                      <w:rFonts w:hint="default" w:ascii="Times New Roman" w:hAnsi="Times New Roman" w:eastAsia="宋体" w:cs="Times New Roman"/>
                      <w:color w:val="auto"/>
                      <w:sz w:val="21"/>
                      <w:szCs w:val="24"/>
                    </w:rPr>
                    <w:t>，降低了压裂液的残渣与施工摩阻，能满足高温、低渗储层压裂改造的需要。</w:t>
                  </w:r>
                </w:p>
              </w:tc>
            </w:tr>
            <w:tr w14:paraId="58A2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BA558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润湿改进剂</w:t>
                  </w:r>
                </w:p>
              </w:tc>
              <w:tc>
                <w:tcPr>
                  <w:tcW w:w="6945" w:type="dxa"/>
                  <w:vAlign w:val="center"/>
                </w:tcPr>
                <w:p w14:paraId="0A9EBC0C">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常用的润湿剂主要是非离子型表面活性剂，如</w:t>
                  </w:r>
                  <w:r>
                    <w:rPr>
                      <w:rFonts w:hint="default" w:ascii="Times New Roman" w:hAnsi="Times New Roman" w:eastAsia="TimesNewRomanPSMT" w:cs="Times New Roman"/>
                      <w:color w:val="auto"/>
                      <w:sz w:val="21"/>
                      <w:szCs w:val="24"/>
                    </w:rPr>
                    <w:t>AE1910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OP-10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SP169</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796A</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TA-1031</w:t>
                  </w:r>
                  <w:r>
                    <w:rPr>
                      <w:rFonts w:hint="default" w:ascii="Times New Roman" w:hAnsi="Times New Roman" w:eastAsia="宋体" w:cs="Times New Roman"/>
                      <w:color w:val="auto"/>
                      <w:sz w:val="21"/>
                      <w:szCs w:val="24"/>
                    </w:rPr>
                    <w:t>等，能将亲油砂岩润湿为亲水砂岩，有利于提高相对渗透率。</w:t>
                  </w:r>
                </w:p>
              </w:tc>
            </w:tr>
            <w:tr w14:paraId="09B8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316E53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高温交联剂</w:t>
                  </w:r>
                </w:p>
              </w:tc>
              <w:tc>
                <w:tcPr>
                  <w:tcW w:w="6945" w:type="dxa"/>
                  <w:vAlign w:val="center"/>
                </w:tcPr>
                <w:p w14:paraId="1D1286D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通过化学键或配位键与稠化剂发生交联反应的试剂称为交联剂。交联剂将聚合物的各种分子联结成一种机构，使原来的聚合物分子量明显地增加，调整压裂液的粘度。</w:t>
                  </w:r>
                </w:p>
              </w:tc>
            </w:tr>
            <w:tr w14:paraId="48E5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2833EF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有机硼</w:t>
                  </w:r>
                </w:p>
              </w:tc>
              <w:tc>
                <w:tcPr>
                  <w:tcW w:w="6945" w:type="dxa"/>
                  <w:vAlign w:val="center"/>
                </w:tcPr>
                <w:p w14:paraId="131EEC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含有硼原子的有机化合物，作为交联剂辅助用剂。</w:t>
                  </w:r>
                </w:p>
              </w:tc>
            </w:tr>
            <w:tr w14:paraId="5366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72070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高温破胶剂</w:t>
                  </w:r>
                </w:p>
              </w:tc>
              <w:tc>
                <w:tcPr>
                  <w:tcW w:w="6945" w:type="dxa"/>
                  <w:vAlign w:val="center"/>
                </w:tcPr>
                <w:p w14:paraId="395727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目前适用于水基交联冻胶体系的破胶剂，或以硫酸钾作为主要助剂。</w:t>
                  </w:r>
                </w:p>
              </w:tc>
            </w:tr>
            <w:tr w14:paraId="022B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6B6D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碳酸钠</w:t>
                  </w:r>
                </w:p>
              </w:tc>
              <w:tc>
                <w:tcPr>
                  <w:tcW w:w="6945" w:type="dxa"/>
                  <w:vAlign w:val="center"/>
                </w:tcPr>
                <w:p w14:paraId="1963A424">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无水碳酸钠为白色粉末，易溶于水，水溶液呈碱性，</w:t>
                  </w:r>
                  <w:r>
                    <w:rPr>
                      <w:rFonts w:hint="default" w:ascii="Times New Roman" w:hAnsi="Times New Roman" w:eastAsia="宋体" w:cs="Times New Roman"/>
                      <w:color w:val="auto"/>
                      <w:sz w:val="21"/>
                      <w:szCs w:val="24"/>
                      <w:lang w:val="en-US" w:eastAsia="zh-CN"/>
                    </w:rPr>
                    <w:t>p</w:t>
                  </w:r>
                  <w:r>
                    <w:rPr>
                      <w:rFonts w:hint="default" w:ascii="Times New Roman" w:hAnsi="Times New Roman" w:eastAsia="TimesNewRomanPSMT" w:cs="Times New Roman"/>
                      <w:color w:val="auto"/>
                      <w:sz w:val="21"/>
                      <w:szCs w:val="24"/>
                    </w:rPr>
                    <w:t>H</w:t>
                  </w:r>
                  <w:r>
                    <w:rPr>
                      <w:rFonts w:hint="default" w:ascii="Times New Roman" w:hAnsi="Times New Roman" w:eastAsia="宋体" w:cs="Times New Roman"/>
                      <w:color w:val="auto"/>
                      <w:sz w:val="21"/>
                      <w:szCs w:val="24"/>
                    </w:rPr>
                    <w:t>值为</w:t>
                  </w:r>
                  <w:r>
                    <w:rPr>
                      <w:rFonts w:hint="default" w:ascii="Times New Roman" w:hAnsi="Times New Roman" w:eastAsia="TimesNewRomanPSMT" w:cs="Times New Roman"/>
                      <w:color w:val="auto"/>
                      <w:sz w:val="21"/>
                      <w:szCs w:val="24"/>
                    </w:rPr>
                    <w:t>11.5</w:t>
                  </w:r>
                  <w:r>
                    <w:rPr>
                      <w:rFonts w:hint="default" w:ascii="Times New Roman" w:hAnsi="Times New Roman" w:eastAsia="宋体" w:cs="Times New Roman"/>
                      <w:color w:val="auto"/>
                      <w:sz w:val="21"/>
                      <w:szCs w:val="24"/>
                    </w:rPr>
                    <w:t>。在泥浆中发生电离和水解，提供</w:t>
                  </w:r>
                  <w:r>
                    <w:rPr>
                      <w:rFonts w:hint="default" w:ascii="Times New Roman" w:hAnsi="Times New Roman" w:eastAsia="TimesNewRomanPSMT" w:cs="Times New Roman"/>
                      <w:color w:val="auto"/>
                      <w:sz w:val="21"/>
                      <w:szCs w:val="24"/>
                    </w:rPr>
                    <w:t>Na</w:t>
                  </w:r>
                  <w:r>
                    <w:rPr>
                      <w:rFonts w:hint="default" w:ascii="Times New Roman" w:hAnsi="Times New Roman" w:eastAsia="宋体" w:cs="Times New Roman"/>
                      <w:color w:val="auto"/>
                      <w:sz w:val="21"/>
                      <w:szCs w:val="24"/>
                      <w:vertAlign w:val="superscript"/>
                      <w:lang w:val="en-US" w:eastAsia="zh-CN"/>
                    </w:rPr>
                    <w:t>+</w:t>
                  </w:r>
                  <w:r>
                    <w:rPr>
                      <w:rFonts w:hint="default" w:ascii="Times New Roman" w:hAnsi="Times New Roman" w:eastAsia="宋体" w:cs="Times New Roman"/>
                      <w:color w:val="auto"/>
                      <w:sz w:val="21"/>
                      <w:szCs w:val="24"/>
                    </w:rPr>
                    <w:t>和</w:t>
                  </w:r>
                  <w:r>
                    <w:rPr>
                      <w:rFonts w:hint="default" w:ascii="Times New Roman" w:hAnsi="Times New Roman" w:eastAsia="TimesNewRomanPSMT" w:cs="Times New Roman"/>
                      <w:color w:val="auto"/>
                      <w:sz w:val="21"/>
                      <w:szCs w:val="24"/>
                    </w:rPr>
                    <w:t>CO</w:t>
                  </w:r>
                  <w:r>
                    <w:rPr>
                      <w:rFonts w:hint="default" w:ascii="Times New Roman" w:hAnsi="Times New Roman" w:eastAsia="宋体" w:cs="Times New Roman"/>
                      <w:color w:val="auto"/>
                      <w:sz w:val="21"/>
                      <w:szCs w:val="24"/>
                      <w:vertAlign w:val="subscript"/>
                      <w:lang w:val="en-US" w:eastAsia="zh-CN"/>
                    </w:rPr>
                    <w:t>3</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在泥浆中通过离子交换和沉淀作业，使钙质粘土变为钠质粘土。另外可除掉石膏或水泥浸入泥浆中的</w:t>
                  </w:r>
                  <w:r>
                    <w:rPr>
                      <w:rFonts w:hint="default" w:ascii="Times New Roman" w:hAnsi="Times New Roman" w:eastAsia="TimesNewRomanPSMT" w:cs="Times New Roman"/>
                      <w:color w:val="auto"/>
                      <w:sz w:val="21"/>
                      <w:szCs w:val="24"/>
                    </w:rPr>
                    <w:t>Ca</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离子，使泥浆性能变好。</w:t>
                  </w:r>
                </w:p>
              </w:tc>
            </w:tr>
            <w:tr w14:paraId="7E8F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C014C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碳酸氢钠</w:t>
                  </w:r>
                </w:p>
              </w:tc>
              <w:tc>
                <w:tcPr>
                  <w:tcW w:w="6945" w:type="dxa"/>
                  <w:vAlign w:val="center"/>
                </w:tcPr>
                <w:p w14:paraId="01CD65A0">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白色细小晶体，溶于水时呈现弱碱性，固体</w:t>
                  </w:r>
                  <w:r>
                    <w:rPr>
                      <w:rFonts w:hint="default" w:ascii="Times New Roman" w:hAnsi="Times New Roman" w:eastAsia="TimesNewRomanPSMT" w:cs="Times New Roman"/>
                      <w:color w:val="auto"/>
                      <w:sz w:val="21"/>
                      <w:szCs w:val="24"/>
                    </w:rPr>
                    <w:t>50℃</w:t>
                  </w:r>
                  <w:r>
                    <w:rPr>
                      <w:rFonts w:hint="default" w:ascii="Times New Roman" w:hAnsi="Times New Roman" w:eastAsia="宋体" w:cs="Times New Roman"/>
                      <w:color w:val="auto"/>
                      <w:sz w:val="21"/>
                      <w:szCs w:val="24"/>
                    </w:rPr>
                    <w:t>以上开始逐渐分解生成碳酸钠、二氧化碳和水，</w:t>
                  </w:r>
                  <w:r>
                    <w:rPr>
                      <w:rFonts w:hint="default" w:ascii="Times New Roman" w:hAnsi="Times New Roman" w:eastAsia="TimesNewRomanPSMT" w:cs="Times New Roman"/>
                      <w:color w:val="auto"/>
                      <w:sz w:val="21"/>
                      <w:szCs w:val="24"/>
                    </w:rPr>
                    <w:t>270℃</w:t>
                  </w:r>
                  <w:r>
                    <w:rPr>
                      <w:rFonts w:hint="default" w:ascii="Times New Roman" w:hAnsi="Times New Roman" w:eastAsia="宋体" w:cs="Times New Roman"/>
                      <w:color w:val="auto"/>
                      <w:sz w:val="21"/>
                      <w:szCs w:val="24"/>
                    </w:rPr>
                    <w:t>时完全分解。</w:t>
                  </w:r>
                </w:p>
              </w:tc>
            </w:tr>
          </w:tbl>
          <w:p w14:paraId="0E6200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10</w:t>
            </w:r>
            <w:r>
              <w:rPr>
                <w:rFonts w:hint="default" w:ascii="Times New Roman" w:hAnsi="Times New Roman" w:eastAsia="宋体" w:cs="Times New Roman"/>
                <w:b/>
                <w:bCs/>
                <w:color w:val="auto"/>
                <w:sz w:val="21"/>
                <w:szCs w:val="21"/>
                <w:vertAlign w:val="baseline"/>
                <w:lang w:val="en-US" w:eastAsia="zh-CN"/>
              </w:rPr>
              <w:t xml:space="preserve"> 原辅材料成分、性质一览表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3877"/>
              <w:gridCol w:w="3322"/>
            </w:tblGrid>
            <w:tr w14:paraId="75D7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0754B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311" w:type="pct"/>
                  <w:vAlign w:val="center"/>
                </w:tcPr>
                <w:p w14:paraId="22A04E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钻井液</w:t>
                  </w:r>
                </w:p>
              </w:tc>
              <w:tc>
                <w:tcPr>
                  <w:tcW w:w="1980" w:type="pct"/>
                  <w:vAlign w:val="center"/>
                </w:tcPr>
                <w:p w14:paraId="35FF01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压裂液</w:t>
                  </w:r>
                </w:p>
              </w:tc>
            </w:tr>
            <w:tr w14:paraId="23B8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03D191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成分配方比</w:t>
                  </w:r>
                </w:p>
              </w:tc>
              <w:tc>
                <w:tcPr>
                  <w:tcW w:w="2311" w:type="pct"/>
                  <w:vAlign w:val="center"/>
                </w:tcPr>
                <w:p w14:paraId="614C58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膨润土：6~8%</w:t>
                  </w:r>
                </w:p>
                <w:p w14:paraId="19F0DE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纯碱：0.3~0.5%</w:t>
                  </w:r>
                </w:p>
                <w:p w14:paraId="4C599A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CMC：0.05~0.1%</w:t>
                  </w:r>
                </w:p>
                <w:p w14:paraId="48C32C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聚丙烯酰胺：0~0.5%</w:t>
                  </w:r>
                </w:p>
                <w:p w14:paraId="2BE905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水：90.9~93.65%</w:t>
                  </w:r>
                </w:p>
              </w:tc>
              <w:tc>
                <w:tcPr>
                  <w:tcW w:w="1980" w:type="pct"/>
                  <w:vAlign w:val="center"/>
                </w:tcPr>
                <w:p w14:paraId="7375A256">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主要由稠化剂、交联剂、高温稳定剂、破胶剂等一些助剂组成。稠化剂是压裂液主要成分，约占总体系的0.1～1％</w:t>
                  </w:r>
                </w:p>
              </w:tc>
            </w:tr>
            <w:tr w14:paraId="50E4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60F71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性质作用</w:t>
                  </w:r>
                </w:p>
              </w:tc>
              <w:tc>
                <w:tcPr>
                  <w:tcW w:w="2311" w:type="pct"/>
                  <w:vAlign w:val="center"/>
                </w:tcPr>
                <w:p w14:paraId="6B022A95">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膨润土是一种以蒙脱石矿物为主要成分的粘性土，水化能力强，膨胀性大，分散性高。泥浆中注入4-8％的膨润土钻井液，具有良好的流变性能固定颗粒含量少，称为低固相优质固壁泥浆，其特点有：1、泥浆比重小，可泵及净化性能好，适用于反循环钻进工艺。2、失水量小，形成的泥皮薄而有韧，固壁效果好。3、具有良好的流变性能，悬浮携带钻碴能力强，利于提高钻进效率。4、省电、省工和省时，机械磨损小，可降低工程成本。</w:t>
                  </w:r>
                </w:p>
              </w:tc>
              <w:tc>
                <w:tcPr>
                  <w:tcW w:w="1980" w:type="pct"/>
                  <w:vAlign w:val="center"/>
                </w:tcPr>
                <w:p w14:paraId="7A99EA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液是在钻井中将地面所形成的高压传递到下层中去，使得地层造成新的裂缝，撑开或扩大地层原有裂缝，同时把支撑剂带到裂缝中去。压裂液选用的性能要求：黏度高，润滑性好，滤失量小，低摩阻，对被压裂的流体层无堵塞及损害，对流体矿无污染，热稳定性及剪切稳定性能好、低残渣、配伍性好、破胶迅速、货源广，便于配置，经济合理</w:t>
                  </w:r>
                </w:p>
              </w:tc>
            </w:tr>
            <w:tr w14:paraId="7B29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77BDEC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临时储存环保要求</w:t>
                  </w:r>
                </w:p>
              </w:tc>
              <w:tc>
                <w:tcPr>
                  <w:tcW w:w="2311" w:type="pct"/>
                  <w:vAlign w:val="center"/>
                </w:tcPr>
                <w:p w14:paraId="324F188D">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钻井液原料和处理剂的存放，应采取“防雨、防潮、防晒、防冻”等措施；钻井液材料应有详细记录，存放位置有明显标志。钻井液材料堆放台或架应高于地面100mm以上，并加设顶篷，防治雨水淋沥、浸泡造成污染。</w:t>
                  </w:r>
                </w:p>
              </w:tc>
              <w:tc>
                <w:tcPr>
                  <w:tcW w:w="1980" w:type="pct"/>
                  <w:vAlign w:val="center"/>
                </w:tcPr>
                <w:p w14:paraId="32FCA6F4">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储存于压裂液储罐内，储区应做好防渗措施，四周设置围堰。</w:t>
                  </w:r>
                </w:p>
              </w:tc>
            </w:tr>
          </w:tbl>
          <w:p w14:paraId="5EB72B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在钻井一开、二开过程中需要注入钻井液（俗称泥浆），钻井液是钻探过程中，孔内使用的循环冲洗介质，主要功用是：①冷却钻头、清净孔底、带出岩屑；②润滑钻具；③停钻时悬浮岩屑，保护孔壁防止坍塌，平衡地层压力、压住高压油气水层；④输送岩心，为孔底动力机传递破碎孔底岩石需要的动力等。</w:t>
            </w:r>
          </w:p>
          <w:p w14:paraId="32B7A8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钻井液配置过程为：确定钻井液配比→加入按比例称取的水和膨润土→加入其他成分→利用烧碱调pH→倒入高速搅拌机搅拌→钻井液陈化→使用。钻井液配置过程中，为防止泄露对地下水及土壤影响，采取相应的环保措施，药品储存于撬装式设备中，输送过程采用管道密闭。</w:t>
            </w:r>
          </w:p>
          <w:p w14:paraId="7EE6A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七</w:t>
            </w:r>
            <w:r>
              <w:rPr>
                <w:rFonts w:hint="default" w:ascii="Times New Roman" w:hAnsi="Times New Roman" w:eastAsia="宋体" w:cs="Times New Roman"/>
                <w:b/>
                <w:bCs/>
                <w:color w:val="auto"/>
                <w:sz w:val="24"/>
                <w:szCs w:val="24"/>
                <w:vertAlign w:val="baseline"/>
                <w:lang w:val="en-US" w:eastAsia="zh-CN"/>
              </w:rPr>
              <w:t>、公用工程</w:t>
            </w:r>
          </w:p>
          <w:p w14:paraId="67937C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1、给水</w:t>
            </w:r>
          </w:p>
          <w:p w14:paraId="0DAF0C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项目用水包括生活用水和生产用水两部分，由罐车拉运至井场。</w:t>
            </w:r>
          </w:p>
          <w:p w14:paraId="2DAC43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（1）生活用水</w:t>
            </w:r>
          </w:p>
          <w:p w14:paraId="1233B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项目施工期</w:t>
            </w:r>
            <w:r>
              <w:rPr>
                <w:rFonts w:hint="default" w:ascii="Times New Roman" w:hAnsi="Times New Roman" w:eastAsia="宋体" w:cs="Times New Roman"/>
                <w:b w:val="0"/>
                <w:bCs w:val="0"/>
                <w:color w:val="auto"/>
                <w:sz w:val="24"/>
                <w:szCs w:val="24"/>
                <w:vertAlign w:val="baseline"/>
                <w:lang w:val="en-US" w:eastAsia="zh-CN"/>
              </w:rPr>
              <w:t>劳动定员35人，根据《陕西省行业用水定额》（DB61/T943-2020）中相关要求，生活用水量按65L/人·天考虑，</w:t>
            </w:r>
            <w:r>
              <w:rPr>
                <w:rFonts w:hint="eastAsia" w:ascii="Times New Roman" w:hAnsi="Times New Roman" w:eastAsia="宋体" w:cs="Times New Roman"/>
                <w:b w:val="0"/>
                <w:bCs w:val="0"/>
                <w:color w:val="auto"/>
                <w:sz w:val="24"/>
                <w:szCs w:val="24"/>
                <w:vertAlign w:val="baseline"/>
                <w:lang w:val="en-US" w:eastAsia="zh-CN"/>
              </w:rPr>
              <w:t>单井施工期</w:t>
            </w:r>
            <w:r>
              <w:rPr>
                <w:rFonts w:hint="default" w:ascii="Times New Roman" w:hAnsi="Times New Roman" w:eastAsia="宋体" w:cs="Times New Roman"/>
                <w:b w:val="0"/>
                <w:bCs w:val="0"/>
                <w:color w:val="auto"/>
                <w:sz w:val="24"/>
                <w:szCs w:val="24"/>
                <w:vertAlign w:val="baseline"/>
                <w:lang w:val="en-US" w:eastAsia="zh-CN"/>
              </w:rPr>
              <w:t>预计</w:t>
            </w:r>
            <w:r>
              <w:rPr>
                <w:rFonts w:hint="eastAsia" w:ascii="Times New Roman" w:hAnsi="Times New Roman" w:eastAsia="宋体"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天，则项目施工期</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用水量为</w:t>
            </w:r>
            <w:r>
              <w:rPr>
                <w:rFonts w:hint="eastAsia" w:ascii="Times New Roman" w:hAnsi="Times New Roman" w:eastAsia="宋体" w:cs="Times New Roman"/>
                <w:b w:val="0"/>
                <w:bCs w:val="0"/>
                <w:color w:val="auto"/>
                <w:sz w:val="24"/>
                <w:szCs w:val="24"/>
                <w:vertAlign w:val="baseline"/>
                <w:lang w:val="en-US" w:eastAsia="zh-CN"/>
              </w:rPr>
              <w:t>113.75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/井，总用水量为682.5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702EF5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（2）钻井用水</w:t>
            </w:r>
          </w:p>
          <w:p w14:paraId="363814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根据《陕西省行业用水定额》（DB61/T943-2020），常规钻井阶段平均每米进尺用水量约0.25m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本项目各井钻井用水量见下表：</w:t>
            </w:r>
          </w:p>
          <w:p w14:paraId="08F63F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表2-11   钻井用水量</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2377"/>
              <w:gridCol w:w="2918"/>
              <w:gridCol w:w="2098"/>
            </w:tblGrid>
            <w:tr w14:paraId="2204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EED8C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377" w:type="dxa"/>
                  <w:vAlign w:val="center"/>
                </w:tcPr>
                <w:p w14:paraId="331452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井号</w:t>
                  </w:r>
                </w:p>
              </w:tc>
              <w:tc>
                <w:tcPr>
                  <w:tcW w:w="2918" w:type="dxa"/>
                  <w:vAlign w:val="center"/>
                </w:tcPr>
                <w:p w14:paraId="5587AF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钻井深度</w:t>
                  </w:r>
                </w:p>
              </w:tc>
              <w:tc>
                <w:tcPr>
                  <w:tcW w:w="2098" w:type="dxa"/>
                  <w:vAlign w:val="center"/>
                </w:tcPr>
                <w:p w14:paraId="6EC8D3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钻井用水量（m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14:paraId="5695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A8126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2377" w:type="dxa"/>
                  <w:shd w:val="clear" w:color="auto" w:fill="auto"/>
                  <w:vAlign w:val="center"/>
                </w:tcPr>
                <w:p w14:paraId="051CC3C2">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米107-6MX</w:t>
                  </w:r>
                </w:p>
              </w:tc>
              <w:tc>
                <w:tcPr>
                  <w:tcW w:w="2918" w:type="dxa"/>
                  <w:shd w:val="clear" w:color="auto" w:fill="auto"/>
                  <w:vAlign w:val="center"/>
                </w:tcPr>
                <w:p w14:paraId="094F1435">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2730</w:t>
                  </w:r>
                </w:p>
              </w:tc>
              <w:tc>
                <w:tcPr>
                  <w:tcW w:w="2098" w:type="dxa"/>
                  <w:vAlign w:val="center"/>
                </w:tcPr>
                <w:p w14:paraId="11B60A4E">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682.5</w:t>
                  </w:r>
                </w:p>
              </w:tc>
            </w:tr>
            <w:tr w14:paraId="220E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13E777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2377" w:type="dxa"/>
                  <w:shd w:val="clear" w:color="auto" w:fill="auto"/>
                  <w:vAlign w:val="center"/>
                </w:tcPr>
                <w:p w14:paraId="0060DCD7">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米107-10MX</w:t>
                  </w:r>
                </w:p>
              </w:tc>
              <w:tc>
                <w:tcPr>
                  <w:tcW w:w="2918" w:type="dxa"/>
                  <w:shd w:val="clear" w:color="auto" w:fill="auto"/>
                  <w:vAlign w:val="center"/>
                </w:tcPr>
                <w:p w14:paraId="0EEAF7B3">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2800</w:t>
                  </w:r>
                </w:p>
              </w:tc>
              <w:tc>
                <w:tcPr>
                  <w:tcW w:w="2098" w:type="dxa"/>
                  <w:vAlign w:val="center"/>
                </w:tcPr>
                <w:p w14:paraId="635AE866">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700</w:t>
                  </w:r>
                </w:p>
              </w:tc>
            </w:tr>
            <w:tr w14:paraId="43B7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0692DC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c>
                <w:tcPr>
                  <w:tcW w:w="2377" w:type="dxa"/>
                  <w:shd w:val="clear" w:color="auto" w:fill="auto"/>
                  <w:vAlign w:val="center"/>
                </w:tcPr>
                <w:p w14:paraId="1FBA4252">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米107-11M</w:t>
                  </w:r>
                </w:p>
              </w:tc>
              <w:tc>
                <w:tcPr>
                  <w:tcW w:w="2918" w:type="dxa"/>
                  <w:shd w:val="clear" w:color="auto" w:fill="auto"/>
                  <w:vAlign w:val="center"/>
                </w:tcPr>
                <w:p w14:paraId="66A7DBDC">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2960</w:t>
                  </w:r>
                </w:p>
              </w:tc>
              <w:tc>
                <w:tcPr>
                  <w:tcW w:w="2098" w:type="dxa"/>
                  <w:vAlign w:val="center"/>
                </w:tcPr>
                <w:p w14:paraId="17DA8965">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740</w:t>
                  </w:r>
                </w:p>
              </w:tc>
            </w:tr>
            <w:tr w14:paraId="2B49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06564B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2377" w:type="dxa"/>
                  <w:shd w:val="clear" w:color="auto" w:fill="auto"/>
                  <w:vAlign w:val="center"/>
                </w:tcPr>
                <w:p w14:paraId="6DE00F14">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米107-12M</w:t>
                  </w:r>
                </w:p>
              </w:tc>
              <w:tc>
                <w:tcPr>
                  <w:tcW w:w="2918" w:type="dxa"/>
                  <w:shd w:val="clear" w:color="auto" w:fill="auto"/>
                  <w:vAlign w:val="center"/>
                </w:tcPr>
                <w:p w14:paraId="7E93D36B">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2700</w:t>
                  </w:r>
                </w:p>
              </w:tc>
              <w:tc>
                <w:tcPr>
                  <w:tcW w:w="2098" w:type="dxa"/>
                  <w:vAlign w:val="center"/>
                </w:tcPr>
                <w:p w14:paraId="2D1E39D8">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675</w:t>
                  </w:r>
                </w:p>
              </w:tc>
            </w:tr>
            <w:tr w14:paraId="5C8D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7C09B2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2377" w:type="dxa"/>
                  <w:shd w:val="clear" w:color="auto" w:fill="auto"/>
                  <w:vAlign w:val="center"/>
                </w:tcPr>
                <w:p w14:paraId="78222C8F">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米107-15M</w:t>
                  </w:r>
                </w:p>
              </w:tc>
              <w:tc>
                <w:tcPr>
                  <w:tcW w:w="2918" w:type="dxa"/>
                  <w:shd w:val="clear" w:color="auto" w:fill="auto"/>
                  <w:vAlign w:val="center"/>
                </w:tcPr>
                <w:p w14:paraId="5C9CEB7B">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2780</w:t>
                  </w:r>
                </w:p>
              </w:tc>
              <w:tc>
                <w:tcPr>
                  <w:tcW w:w="2098" w:type="dxa"/>
                  <w:vAlign w:val="center"/>
                </w:tcPr>
                <w:p w14:paraId="7EB132CF">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695</w:t>
                  </w:r>
                </w:p>
              </w:tc>
            </w:tr>
            <w:tr w14:paraId="098D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1B82B3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2377" w:type="dxa"/>
                  <w:shd w:val="clear" w:color="auto" w:fill="auto"/>
                  <w:vAlign w:val="center"/>
                </w:tcPr>
                <w:p w14:paraId="13D441CC">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米107-34M</w:t>
                  </w:r>
                </w:p>
              </w:tc>
              <w:tc>
                <w:tcPr>
                  <w:tcW w:w="2918" w:type="dxa"/>
                  <w:shd w:val="clear" w:color="auto" w:fill="auto"/>
                  <w:vAlign w:val="center"/>
                </w:tcPr>
                <w:p w14:paraId="3B5A5099">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2880</w:t>
                  </w:r>
                </w:p>
              </w:tc>
              <w:tc>
                <w:tcPr>
                  <w:tcW w:w="2098" w:type="dxa"/>
                  <w:vAlign w:val="center"/>
                </w:tcPr>
                <w:p w14:paraId="5EF6B4E3">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720</w:t>
                  </w:r>
                </w:p>
              </w:tc>
            </w:tr>
            <w:tr w14:paraId="0AB1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2" w:type="dxa"/>
                  <w:gridSpan w:val="3"/>
                  <w:vAlign w:val="center"/>
                </w:tcPr>
                <w:p w14:paraId="0EF2D9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合计</w:t>
                  </w:r>
                </w:p>
              </w:tc>
              <w:tc>
                <w:tcPr>
                  <w:tcW w:w="2098" w:type="dxa"/>
                  <w:shd w:val="clear" w:color="auto" w:fill="auto"/>
                  <w:vAlign w:val="center"/>
                </w:tcPr>
                <w:p w14:paraId="75B2690B">
                  <w:pPr>
                    <w:widowControl/>
                    <w:spacing w:line="240" w:lineRule="auto"/>
                    <w:ind w:firstLine="0" w:firstLineChars="0"/>
                    <w:jc w:val="center"/>
                    <w:textAlignment w:val="center"/>
                    <w:rPr>
                      <w:rFonts w:hint="default" w:ascii="宋体" w:hAnsi="宋体" w:eastAsia="宋体" w:cs="宋体"/>
                      <w:i w:val="0"/>
                      <w:iCs w:val="0"/>
                      <w:color w:val="auto"/>
                      <w:sz w:val="22"/>
                      <w:szCs w:val="22"/>
                      <w:u w:val="none"/>
                      <w:lang w:val="en-US" w:eastAsia="zh-CN" w:bidi="ar-SA"/>
                    </w:rPr>
                  </w:pPr>
                  <w:r>
                    <w:rPr>
                      <w:rFonts w:hint="eastAsia" w:ascii="Times New Roman" w:hAnsi="Times New Roman" w:eastAsia="宋体" w:cs="Times New Roman"/>
                      <w:color w:val="auto"/>
                      <w:sz w:val="21"/>
                      <w:szCs w:val="21"/>
                      <w:lang w:val="en-US" w:eastAsia="zh-CN" w:bidi="ar-SA"/>
                    </w:rPr>
                    <w:t>4212.5</w:t>
                  </w:r>
                </w:p>
              </w:tc>
            </w:tr>
          </w:tbl>
          <w:p w14:paraId="1ADAEE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（3）洗井用水</w:t>
            </w:r>
          </w:p>
          <w:p w14:paraId="1DF90E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根据本地区同类气井施工经验，</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洗井用水量为</w:t>
            </w:r>
            <w:r>
              <w:rPr>
                <w:rFonts w:hint="eastAsia" w:ascii="Times New Roman" w:hAnsi="Times New Roman" w:eastAsia="宋体"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项目洗井</w:t>
            </w:r>
            <w:r>
              <w:rPr>
                <w:rFonts w:hint="eastAsia" w:ascii="Times New Roman" w:hAnsi="Times New Roman" w:eastAsia="宋体" w:cs="Times New Roman"/>
                <w:b w:val="0"/>
                <w:bCs w:val="0"/>
                <w:color w:val="auto"/>
                <w:sz w:val="24"/>
                <w:szCs w:val="24"/>
                <w:vertAlign w:val="baseline"/>
                <w:lang w:val="en-US" w:eastAsia="zh-CN"/>
              </w:rPr>
              <w:t>总</w:t>
            </w:r>
            <w:r>
              <w:rPr>
                <w:rFonts w:hint="default" w:ascii="Times New Roman" w:hAnsi="Times New Roman" w:eastAsia="宋体" w:cs="Times New Roman"/>
                <w:b w:val="0"/>
                <w:bCs w:val="0"/>
                <w:color w:val="auto"/>
                <w:sz w:val="24"/>
                <w:szCs w:val="24"/>
                <w:vertAlign w:val="baseline"/>
                <w:lang w:val="en-US" w:eastAsia="zh-CN"/>
              </w:rPr>
              <w:t>用水量为</w:t>
            </w:r>
            <w:r>
              <w:rPr>
                <w:rFonts w:hint="eastAsia" w:ascii="Times New Roman" w:hAnsi="Times New Roman" w:eastAsia="宋体" w:cs="Times New Roman"/>
                <w:b w:val="0"/>
                <w:bCs w:val="0"/>
                <w:color w:val="auto"/>
                <w:sz w:val="24"/>
                <w:szCs w:val="24"/>
                <w:vertAlign w:val="baseline"/>
                <w:lang w:val="en-US" w:eastAsia="zh-CN"/>
              </w:rPr>
              <w:t>300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58D8E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（4）压裂用水</w:t>
            </w:r>
          </w:p>
          <w:p w14:paraId="0ED6FA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压裂用水量为</w:t>
            </w:r>
            <w:r>
              <w:rPr>
                <w:rFonts w:hint="eastAsia" w:ascii="Times New Roman" w:hAnsi="Times New Roman" w:eastAsia="宋体" w:cs="Times New Roman"/>
                <w:b w:val="0"/>
                <w:bCs w:val="0"/>
                <w:color w:val="auto"/>
                <w:sz w:val="24"/>
                <w:szCs w:val="24"/>
                <w:vertAlign w:val="baseline"/>
                <w:lang w:val="en-US" w:eastAsia="zh-CN"/>
              </w:rPr>
              <w:t>300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（压裂液为现场自行配置）</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项目压裂</w:t>
            </w:r>
            <w:r>
              <w:rPr>
                <w:rFonts w:hint="eastAsia" w:ascii="Times New Roman" w:hAnsi="Times New Roman" w:eastAsia="宋体" w:cs="Times New Roman"/>
                <w:b w:val="0"/>
                <w:bCs w:val="0"/>
                <w:color w:val="auto"/>
                <w:sz w:val="24"/>
                <w:szCs w:val="24"/>
                <w:vertAlign w:val="baseline"/>
                <w:lang w:val="en-US" w:eastAsia="zh-CN"/>
              </w:rPr>
              <w:t>总</w:t>
            </w:r>
            <w:r>
              <w:rPr>
                <w:rFonts w:hint="default" w:ascii="Times New Roman" w:hAnsi="Times New Roman" w:eastAsia="宋体" w:cs="Times New Roman"/>
                <w:b w:val="0"/>
                <w:bCs w:val="0"/>
                <w:color w:val="auto"/>
                <w:sz w:val="24"/>
                <w:szCs w:val="24"/>
                <w:vertAlign w:val="baseline"/>
                <w:lang w:val="en-US" w:eastAsia="zh-CN"/>
              </w:rPr>
              <w:t>用水量为</w:t>
            </w:r>
            <w:r>
              <w:rPr>
                <w:rFonts w:hint="eastAsia" w:ascii="Times New Roman" w:hAnsi="Times New Roman" w:eastAsia="宋体" w:cs="Times New Roman"/>
                <w:b w:val="0"/>
                <w:bCs w:val="0"/>
                <w:color w:val="auto"/>
                <w:sz w:val="24"/>
                <w:szCs w:val="24"/>
                <w:vertAlign w:val="baseline"/>
                <w:lang w:val="en-US" w:eastAsia="zh-CN"/>
              </w:rPr>
              <w:t>1800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6250BC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2、排水</w:t>
            </w:r>
          </w:p>
          <w:p w14:paraId="2DEC9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（1）生活污水</w:t>
            </w:r>
          </w:p>
          <w:p w14:paraId="32B714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生活污水产生量按照用量的80%计，项目生活污水产生量为</w:t>
            </w:r>
            <w:r>
              <w:rPr>
                <w:rFonts w:hint="eastAsia" w:ascii="Times New Roman" w:hAnsi="Times New Roman" w:eastAsia="宋体" w:cs="Times New Roman"/>
                <w:b w:val="0"/>
                <w:bCs w:val="0"/>
                <w:color w:val="auto"/>
                <w:sz w:val="24"/>
                <w:szCs w:val="24"/>
                <w:vertAlign w:val="baseline"/>
                <w:lang w:val="en-US" w:eastAsia="zh-CN"/>
              </w:rPr>
              <w:t>91</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/井（总产生量为546</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，项目井场内设置</w:t>
            </w:r>
            <w:r>
              <w:rPr>
                <w:rFonts w:hint="eastAsia" w:ascii="Times New Roman" w:hAnsi="Times New Roman" w:eastAsia="宋体" w:cs="Times New Roman"/>
                <w:b w:val="0"/>
                <w:bCs w:val="0"/>
                <w:color w:val="auto"/>
                <w:sz w:val="24"/>
                <w:szCs w:val="24"/>
                <w:vertAlign w:val="baseline"/>
                <w:lang w:val="en-US" w:eastAsia="zh-CN"/>
              </w:rPr>
              <w:t>环保卫生</w:t>
            </w:r>
            <w:r>
              <w:rPr>
                <w:rFonts w:hint="default" w:ascii="Times New Roman" w:hAnsi="Times New Roman" w:eastAsia="宋体" w:cs="Times New Roman"/>
                <w:b w:val="0"/>
                <w:bCs w:val="0"/>
                <w:color w:val="auto"/>
                <w:sz w:val="24"/>
                <w:szCs w:val="24"/>
                <w:vertAlign w:val="baseline"/>
                <w:lang w:val="en-US" w:eastAsia="zh-CN"/>
              </w:rPr>
              <w:t>旱厕，生活污水排至</w:t>
            </w:r>
            <w:r>
              <w:rPr>
                <w:rFonts w:hint="eastAsia" w:ascii="Times New Roman" w:hAnsi="Times New Roman" w:eastAsia="宋体" w:cs="Times New Roman"/>
                <w:b w:val="0"/>
                <w:bCs w:val="0"/>
                <w:color w:val="auto"/>
                <w:sz w:val="24"/>
                <w:szCs w:val="24"/>
                <w:vertAlign w:val="baseline"/>
                <w:lang w:val="en-US" w:eastAsia="zh-CN"/>
              </w:rPr>
              <w:t>污水沉淀罐</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洒水抑尘，卫生旱厕清掏用作农肥</w:t>
            </w:r>
            <w:r>
              <w:rPr>
                <w:rFonts w:hint="default" w:ascii="Times New Roman" w:hAnsi="Times New Roman" w:eastAsia="宋体" w:cs="Times New Roman"/>
                <w:b w:val="0"/>
                <w:bCs w:val="0"/>
                <w:color w:val="auto"/>
                <w:sz w:val="24"/>
                <w:szCs w:val="24"/>
                <w:vertAlign w:val="baseline"/>
                <w:lang w:val="en-US" w:eastAsia="zh-CN"/>
              </w:rPr>
              <w:t>。</w:t>
            </w:r>
          </w:p>
          <w:p w14:paraId="17E6FF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（2）生产废水</w:t>
            </w:r>
          </w:p>
          <w:p w14:paraId="36119B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①</w:t>
            </w:r>
            <w:r>
              <w:rPr>
                <w:rFonts w:hint="eastAsia" w:ascii="Times New Roman" w:hAnsi="Times New Roman" w:eastAsia="宋体" w:cs="Times New Roman"/>
                <w:b w:val="0"/>
                <w:bCs w:val="0"/>
                <w:color w:val="auto"/>
                <w:sz w:val="24"/>
                <w:szCs w:val="24"/>
                <w:vertAlign w:val="baseline"/>
                <w:lang w:val="en-US" w:eastAsia="zh-CN"/>
              </w:rPr>
              <w:t>钻井废水</w:t>
            </w:r>
          </w:p>
          <w:p w14:paraId="347252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作业的泥浆配浆过程中会根据泥浆的不同要求加入不等量的水，这些水随钻井泥浆进入井底协助钻井作业。在钻井泥浆返回地面后，进入地面的泥浆不落地系统，经系统内的振动筛筛分后，岩屑收集于岩屑收集罐内；钻井泥浆暂存于泥浆罐，经静置沉淀后，析出的上清液作为钻井泥浆配液回用，泥浆</w:t>
            </w:r>
            <w:r>
              <w:rPr>
                <w:rFonts w:hint="eastAsia" w:ascii="Times New Roman" w:hAnsi="Times New Roman" w:eastAsia="宋体" w:cs="Times New Roman"/>
                <w:b w:val="0"/>
                <w:bCs w:val="0"/>
                <w:color w:val="auto"/>
                <w:sz w:val="24"/>
                <w:szCs w:val="24"/>
                <w:vertAlign w:val="baseline"/>
                <w:lang w:val="en-US" w:eastAsia="zh-CN"/>
              </w:rPr>
              <w:t>经压滤后交陕西德禾鑫盛环保科技有限公司</w:t>
            </w:r>
            <w:r>
              <w:rPr>
                <w:rFonts w:hint="default" w:ascii="Times New Roman" w:hAnsi="Times New Roman" w:eastAsia="宋体" w:cs="Times New Roman"/>
                <w:b w:val="0"/>
                <w:bCs w:val="0"/>
                <w:color w:val="auto"/>
                <w:sz w:val="24"/>
                <w:szCs w:val="24"/>
                <w:vertAlign w:val="baseline"/>
                <w:lang w:val="en-US" w:eastAsia="zh-CN"/>
              </w:rPr>
              <w:t>集中</w:t>
            </w:r>
            <w:r>
              <w:rPr>
                <w:rFonts w:hint="eastAsia" w:ascii="Times New Roman" w:hAnsi="Times New Roman" w:eastAsia="宋体" w:cs="Times New Roman"/>
                <w:b w:val="0"/>
                <w:bCs w:val="0"/>
                <w:color w:val="auto"/>
                <w:sz w:val="24"/>
                <w:szCs w:val="24"/>
                <w:vertAlign w:val="baseline"/>
                <w:lang w:val="en-US" w:eastAsia="zh-CN"/>
              </w:rPr>
              <w:t>填埋</w:t>
            </w:r>
            <w:r>
              <w:rPr>
                <w:rFonts w:hint="default" w:ascii="Times New Roman" w:hAnsi="Times New Roman" w:eastAsia="宋体" w:cs="Times New Roman"/>
                <w:b w:val="0"/>
                <w:bCs w:val="0"/>
                <w:color w:val="auto"/>
                <w:sz w:val="24"/>
                <w:szCs w:val="24"/>
                <w:vertAlign w:val="baseline"/>
                <w:lang w:val="en-US" w:eastAsia="zh-CN"/>
              </w:rPr>
              <w:t>处置。</w:t>
            </w:r>
          </w:p>
          <w:p w14:paraId="6B11D1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根据最新钻井工艺要求，泥浆返排率约100%（若返排泥浆量小于钻入泥浆量，可能发生井漏事故），项目泥浆上清液排入井场设置的泥浆罐内，用于配制泥浆，循环使用，最终不能再利用的泥浆</w:t>
            </w:r>
            <w:r>
              <w:rPr>
                <w:rFonts w:hint="eastAsia" w:ascii="Times New Roman" w:hAnsi="Times New Roman" w:eastAsia="宋体" w:cs="Times New Roman"/>
                <w:b w:val="0"/>
                <w:bCs w:val="0"/>
                <w:color w:val="auto"/>
                <w:sz w:val="24"/>
                <w:szCs w:val="24"/>
                <w:vertAlign w:val="baseline"/>
                <w:lang w:val="en-US" w:eastAsia="zh-CN"/>
              </w:rPr>
              <w:t>压滤后交陕西德禾鑫盛环保科技有限公司</w:t>
            </w:r>
            <w:r>
              <w:rPr>
                <w:rFonts w:hint="default" w:ascii="Times New Roman" w:hAnsi="Times New Roman" w:eastAsia="宋体" w:cs="Times New Roman"/>
                <w:b w:val="0"/>
                <w:bCs w:val="0"/>
                <w:color w:val="auto"/>
                <w:sz w:val="24"/>
                <w:szCs w:val="24"/>
                <w:vertAlign w:val="baseline"/>
                <w:lang w:val="en-US" w:eastAsia="zh-CN"/>
              </w:rPr>
              <w:t>集中</w:t>
            </w:r>
            <w:r>
              <w:rPr>
                <w:rFonts w:hint="eastAsia" w:ascii="Times New Roman" w:hAnsi="Times New Roman" w:eastAsia="宋体" w:cs="Times New Roman"/>
                <w:b w:val="0"/>
                <w:bCs w:val="0"/>
                <w:color w:val="auto"/>
                <w:sz w:val="24"/>
                <w:szCs w:val="24"/>
                <w:vertAlign w:val="baseline"/>
                <w:lang w:val="en-US" w:eastAsia="zh-CN"/>
              </w:rPr>
              <w:t>填埋</w:t>
            </w:r>
            <w:r>
              <w:rPr>
                <w:rFonts w:hint="default" w:ascii="Times New Roman" w:hAnsi="Times New Roman" w:eastAsia="宋体" w:cs="Times New Roman"/>
                <w:b w:val="0"/>
                <w:bCs w:val="0"/>
                <w:color w:val="auto"/>
                <w:sz w:val="24"/>
                <w:szCs w:val="24"/>
                <w:vertAlign w:val="baseline"/>
                <w:lang w:val="en-US" w:eastAsia="zh-CN"/>
              </w:rPr>
              <w:t>处置。</w:t>
            </w:r>
          </w:p>
          <w:p w14:paraId="44B526FA">
            <w:pPr>
              <w:pStyle w:val="28"/>
              <w:bidi w:val="0"/>
              <w:rPr>
                <w:rFonts w:hint="default"/>
                <w:color w:val="auto"/>
                <w:lang w:val="en-US" w:eastAsia="zh-CN"/>
              </w:rPr>
            </w:pPr>
            <w:r>
              <w:rPr>
                <w:rFonts w:hint="eastAsia" w:ascii="宋体" w:hAnsi="宋体" w:eastAsia="宋体" w:cs="宋体"/>
                <w:color w:val="auto"/>
                <w:lang w:val="en-US" w:eastAsia="zh-CN"/>
              </w:rPr>
              <w:t>②</w:t>
            </w:r>
            <w:r>
              <w:rPr>
                <w:rFonts w:hint="eastAsia"/>
                <w:color w:val="auto"/>
                <w:lang w:val="en-US" w:eastAsia="zh-CN"/>
              </w:rPr>
              <w:t>洗井废水</w:t>
            </w:r>
          </w:p>
          <w:p w14:paraId="16EEDD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根据建设单位建设经验和统计数据，项目洗井废水约为用水量的90%，则</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洗井废水产生量为45m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04687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③</w:t>
            </w:r>
            <w:r>
              <w:rPr>
                <w:rFonts w:hint="eastAsia" w:ascii="Times New Roman" w:hAnsi="Times New Roman" w:eastAsia="宋体" w:cs="Times New Roman"/>
                <w:b w:val="0"/>
                <w:bCs w:val="0"/>
                <w:color w:val="auto"/>
                <w:sz w:val="24"/>
                <w:szCs w:val="24"/>
                <w:vertAlign w:val="baseline"/>
                <w:lang w:val="en-US" w:eastAsia="zh-CN"/>
              </w:rPr>
              <w:t>压裂返排液</w:t>
            </w:r>
          </w:p>
          <w:p w14:paraId="0B387AE5">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rPr>
              <w:t>根据最新钻井工艺要求，压裂液返排率约80%，故正常情况下单井压裂返排液量约</w:t>
            </w:r>
            <w:r>
              <w:rPr>
                <w:rFonts w:hint="default" w:ascii="Times New Roman" w:hAnsi="Times New Roman" w:eastAsia="宋体" w:cs="Times New Roman"/>
                <w:color w:val="auto"/>
                <w:lang w:val="en-US" w:eastAsia="zh-CN"/>
              </w:rPr>
              <w:t>240</w:t>
            </w:r>
            <w:r>
              <w:rPr>
                <w:rFonts w:hint="default" w:ascii="Times New Roman" w:hAnsi="Times New Roman" w:cs="Times New Roman"/>
                <w:color w:val="auto"/>
              </w:rPr>
              <w:t>m³</w:t>
            </w:r>
            <w:r>
              <w:rPr>
                <w:rFonts w:hint="default" w:ascii="Times New Roman" w:hAnsi="Times New Roman" w:eastAsia="宋体" w:cs="Times New Roman"/>
                <w:color w:val="auto"/>
                <w:lang w:eastAsia="zh-CN"/>
              </w:rPr>
              <w:t>，</w:t>
            </w:r>
            <w:r>
              <w:rPr>
                <w:rFonts w:hint="default" w:ascii="Times New Roman" w:hAnsi="Times New Roman" w:cs="Times New Roman"/>
                <w:color w:val="auto"/>
                <w:lang w:val="en-US" w:eastAsia="zh-CN"/>
              </w:rPr>
              <w:t>压裂返排液临时收集贮存于压裂返排液储罐，委托陕西榆佳环保科技有限公司外运处理。</w:t>
            </w:r>
          </w:p>
          <w:p w14:paraId="57BB44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object>
                <v:shape id="_x0000_i1025" o:spt="75" type="#_x0000_t75" style="height:163.35pt;width:419.4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505E7A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auto"/>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val="en-US" w:eastAsia="zh-CN"/>
              </w:rPr>
              <w:t xml:space="preserve"> 项目</w:t>
            </w:r>
            <w:r>
              <w:rPr>
                <w:rFonts w:hint="eastAsia" w:ascii="Times New Roman" w:hAnsi="Times New Roman" w:eastAsia="宋体" w:cs="Times New Roman"/>
                <w:b/>
                <w:bCs/>
                <w:color w:val="auto"/>
                <w:sz w:val="21"/>
                <w:szCs w:val="21"/>
                <w:vertAlign w:val="baseline"/>
                <w:lang w:val="en-US" w:eastAsia="zh-CN"/>
              </w:rPr>
              <w:t>钻井用</w:t>
            </w:r>
            <w:r>
              <w:rPr>
                <w:rFonts w:hint="default" w:ascii="Times New Roman" w:hAnsi="Times New Roman" w:eastAsia="宋体" w:cs="Times New Roman"/>
                <w:b/>
                <w:bCs/>
                <w:color w:val="auto"/>
                <w:sz w:val="21"/>
                <w:szCs w:val="21"/>
                <w:vertAlign w:val="baseline"/>
                <w:lang w:val="en-US" w:eastAsia="zh-CN"/>
              </w:rPr>
              <w:t>水平衡图（单位：m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p w14:paraId="1B91353B">
            <w:pPr>
              <w:pStyle w:val="2"/>
              <w:jc w:val="center"/>
              <w:rPr>
                <w:color w:val="auto"/>
              </w:rPr>
            </w:pPr>
            <w:r>
              <w:rPr>
                <w:color w:val="auto"/>
              </w:rPr>
              <w:object>
                <v:shape id="_x0000_i1026" o:spt="75" type="#_x0000_t75" style="height:150.45pt;width:230.8pt;" o:ole="t" filled="f" o:preferrelative="t" stroked="f" coordsize="21600,21600">
                  <v:path/>
                  <v:fill on="f" focussize="0,0"/>
                  <v:stroke on="f"/>
                  <v:imagedata r:id="rId11" croptop="5401f" o:title=""/>
                  <o:lock v:ext="edit" aspectratio="f"/>
                  <w10:wrap type="none"/>
                  <w10:anchorlock/>
                </v:shape>
                <o:OLEObject Type="Embed" ProgID="Visio.Drawing.11" ShapeID="_x0000_i1026" DrawAspect="Content" ObjectID="_1468075726" r:id="rId10">
                  <o:LockedField>false</o:LockedField>
                </o:OLEObject>
              </w:object>
            </w:r>
          </w:p>
          <w:p w14:paraId="30BA5518">
            <w:pPr>
              <w:jc w:val="center"/>
              <w:rPr>
                <w:color w:val="auto"/>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项目</w:t>
            </w:r>
            <w:r>
              <w:rPr>
                <w:rFonts w:hint="eastAsia" w:ascii="Times New Roman" w:hAnsi="Times New Roman" w:eastAsia="宋体" w:cs="Times New Roman"/>
                <w:b/>
                <w:bCs/>
                <w:color w:val="auto"/>
                <w:sz w:val="21"/>
                <w:szCs w:val="21"/>
                <w:vertAlign w:val="baseline"/>
                <w:lang w:val="en-US" w:eastAsia="zh-CN"/>
              </w:rPr>
              <w:t>其他用水</w:t>
            </w:r>
            <w:r>
              <w:rPr>
                <w:rFonts w:hint="default" w:ascii="Times New Roman" w:hAnsi="Times New Roman" w:eastAsia="宋体" w:cs="Times New Roman"/>
                <w:b/>
                <w:bCs/>
                <w:color w:val="auto"/>
                <w:sz w:val="21"/>
                <w:szCs w:val="21"/>
                <w:vertAlign w:val="baseline"/>
                <w:lang w:val="en-US" w:eastAsia="zh-CN"/>
              </w:rPr>
              <w:t>平衡图（单位：m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p w14:paraId="40D0D6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3、供电</w:t>
            </w:r>
          </w:p>
          <w:p w14:paraId="2ADD60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项目施工期由市政电网供电。</w:t>
            </w:r>
          </w:p>
          <w:p w14:paraId="7E698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4、供暖</w:t>
            </w:r>
          </w:p>
          <w:p w14:paraId="7138AB69">
            <w:pPr>
              <w:pStyle w:val="28"/>
              <w:bidi w:val="0"/>
              <w:rPr>
                <w:rFonts w:hint="default"/>
                <w:color w:val="auto"/>
                <w:lang w:val="en-US" w:eastAsia="zh-CN"/>
              </w:rPr>
            </w:pPr>
            <w:r>
              <w:rPr>
                <w:rFonts w:hint="default"/>
                <w:color w:val="auto"/>
                <w:lang w:val="en-US" w:eastAsia="zh-CN"/>
              </w:rPr>
              <w:t>项目冬季不施工，不涉及供暖。</w:t>
            </w:r>
          </w:p>
          <w:p w14:paraId="78130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八</w:t>
            </w:r>
            <w:r>
              <w:rPr>
                <w:rFonts w:hint="default" w:ascii="Times New Roman" w:hAnsi="Times New Roman" w:eastAsia="宋体" w:cs="Times New Roman"/>
                <w:b/>
                <w:bCs/>
                <w:color w:val="auto"/>
                <w:sz w:val="24"/>
                <w:szCs w:val="24"/>
                <w:vertAlign w:val="baseline"/>
                <w:lang w:val="en-US" w:eastAsia="zh-CN"/>
              </w:rPr>
              <w:t>、劳动定员及工作制度</w:t>
            </w:r>
          </w:p>
          <w:p w14:paraId="0596E5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钻井期间</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施工人数35人，每天连续工作24小时，三班两倒</w:t>
            </w:r>
            <w:r>
              <w:rPr>
                <w:rFonts w:hint="eastAsia" w:ascii="Times New Roman" w:hAnsi="Times New Roman" w:eastAsia="宋体" w:cs="Times New Roman"/>
                <w:b w:val="0"/>
                <w:bCs w:val="0"/>
                <w:color w:val="auto"/>
                <w:sz w:val="24"/>
                <w:szCs w:val="24"/>
                <w:vertAlign w:val="baseline"/>
                <w:lang w:val="en-US" w:eastAsia="zh-CN"/>
              </w:rPr>
              <w:t>，单井工期为50天</w:t>
            </w:r>
            <w:r>
              <w:rPr>
                <w:rFonts w:hint="default" w:ascii="Times New Roman" w:hAnsi="Times New Roman" w:eastAsia="宋体" w:cs="Times New Roman"/>
                <w:b w:val="0"/>
                <w:bCs w:val="0"/>
                <w:color w:val="auto"/>
                <w:sz w:val="24"/>
                <w:szCs w:val="24"/>
                <w:vertAlign w:val="baseline"/>
                <w:lang w:val="en-US" w:eastAsia="zh-CN"/>
              </w:rPr>
              <w:t>。</w:t>
            </w:r>
          </w:p>
        </w:tc>
      </w:tr>
      <w:tr w14:paraId="57D0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dxa"/>
            <w:vAlign w:val="center"/>
          </w:tcPr>
          <w:p w14:paraId="45734AC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总平面及现场布置</w:t>
            </w:r>
          </w:p>
        </w:tc>
        <w:tc>
          <w:tcPr>
            <w:tcW w:w="8616" w:type="dxa"/>
            <w:vAlign w:val="center"/>
          </w:tcPr>
          <w:p w14:paraId="7B8D9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1、工程布局</w:t>
            </w:r>
          </w:p>
          <w:p w14:paraId="339F7FA1">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工程主要由钻前工程和钻井工程两大部分组成。井场主要设备设施包括井口、钻井工作区、储罐区、材料区等。整个厂区以钻井工作区和井口为中心，</w:t>
            </w:r>
            <w:r>
              <w:rPr>
                <w:rFonts w:hint="default" w:ascii="Times New Roman" w:hAnsi="Times New Roman" w:cs="Times New Roman"/>
                <w:color w:val="auto"/>
                <w:sz w:val="24"/>
                <w:szCs w:val="24"/>
                <w:highlight w:val="none"/>
                <w:lang w:val="en-US" w:eastAsia="zh-CN"/>
              </w:rPr>
              <w:t>钻井工作区的北侧为临时停车场和临时</w:t>
            </w:r>
            <w:r>
              <w:rPr>
                <w:rFonts w:hint="eastAsia" w:ascii="Times New Roman" w:hAnsi="Times New Roman" w:cs="Times New Roman"/>
                <w:color w:val="auto"/>
                <w:sz w:val="24"/>
                <w:szCs w:val="24"/>
                <w:highlight w:val="none"/>
                <w:lang w:val="en-US" w:eastAsia="zh-CN"/>
              </w:rPr>
              <w:t>卫生</w:t>
            </w:r>
            <w:r>
              <w:rPr>
                <w:rFonts w:hint="default" w:ascii="Times New Roman" w:hAnsi="Times New Roman" w:cs="Times New Roman"/>
                <w:color w:val="auto"/>
                <w:sz w:val="24"/>
                <w:szCs w:val="24"/>
                <w:highlight w:val="none"/>
                <w:lang w:val="en-US" w:eastAsia="zh-CN"/>
              </w:rPr>
              <w:t>旱厕，东侧为钻井液值班房和钻井液材料房，南侧为储罐区，主要为泥饼和岩屑储罐、洗井废水储罐和压裂返排液储罐；西侧为修理房、材料房、综合房、发电机房和井控房。</w:t>
            </w:r>
            <w:r>
              <w:rPr>
                <w:rFonts w:hint="default" w:ascii="Times New Roman" w:hAnsi="Times New Roman" w:cs="Times New Roman"/>
                <w:color w:val="auto"/>
                <w:sz w:val="24"/>
                <w:szCs w:val="24"/>
                <w:lang w:val="en-US" w:eastAsia="zh-CN"/>
              </w:rPr>
              <w:t>整体布置符合《钻前工程及井场布置技术要求》（SY/T5466-2013）。井场平面布置见附图。</w:t>
            </w:r>
          </w:p>
          <w:p w14:paraId="40DC54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2、施工布置</w:t>
            </w:r>
          </w:p>
          <w:p w14:paraId="73BB08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（1）项目占地</w:t>
            </w:r>
          </w:p>
          <w:p w14:paraId="34DC8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本</w:t>
            </w:r>
            <w:r>
              <w:rPr>
                <w:rFonts w:hint="default" w:ascii="Times New Roman" w:hAnsi="Times New Roman" w:eastAsia="宋体" w:cs="Times New Roman"/>
                <w:b w:val="0"/>
                <w:bCs w:val="0"/>
                <w:color w:val="auto"/>
                <w:sz w:val="24"/>
                <w:szCs w:val="24"/>
                <w:highlight w:val="none"/>
                <w:vertAlign w:val="baseline"/>
                <w:lang w:val="en-US" w:eastAsia="zh-CN"/>
              </w:rPr>
              <w:t>项目现阶段为临时占地。若探井有开采价值应办理临时借地转征手续；若无开采价值，应及时办理土地复垦手续。项目占地类型主要为园地</w:t>
            </w:r>
            <w:r>
              <w:rPr>
                <w:rFonts w:hint="eastAsia" w:ascii="Times New Roman" w:hAnsi="Times New Roman" w:eastAsia="宋体" w:cs="Times New Roman"/>
                <w:b w:val="0"/>
                <w:bCs w:val="0"/>
                <w:color w:val="auto"/>
                <w:sz w:val="24"/>
                <w:szCs w:val="24"/>
                <w:highlight w:val="none"/>
                <w:vertAlign w:val="baseline"/>
                <w:lang w:val="en-US" w:eastAsia="zh-CN"/>
              </w:rPr>
              <w:t>、林地及耕地</w:t>
            </w:r>
            <w:r>
              <w:rPr>
                <w:rFonts w:hint="default" w:ascii="Times New Roman" w:hAnsi="Times New Roman" w:eastAsia="宋体" w:cs="Times New Roman"/>
                <w:b w:val="0"/>
                <w:bCs w:val="0"/>
                <w:color w:val="auto"/>
                <w:sz w:val="24"/>
                <w:szCs w:val="24"/>
                <w:highlight w:val="none"/>
                <w:vertAlign w:val="baseline"/>
                <w:lang w:val="en-US" w:eastAsia="zh-CN"/>
              </w:rPr>
              <w:t>。</w:t>
            </w:r>
          </w:p>
          <w:p w14:paraId="7F58E6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（2）项目土石方平衡</w:t>
            </w:r>
          </w:p>
          <w:p w14:paraId="294C78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本项目涉及的土方项目主要为井场施工</w:t>
            </w:r>
            <w:r>
              <w:rPr>
                <w:rFonts w:hint="eastAsia" w:ascii="Times New Roman" w:hAnsi="Times New Roman" w:eastAsia="宋体" w:cs="Times New Roman"/>
                <w:b w:val="0"/>
                <w:bCs w:val="0"/>
                <w:color w:val="auto"/>
                <w:sz w:val="24"/>
                <w:szCs w:val="24"/>
                <w:vertAlign w:val="baseline"/>
                <w:lang w:val="en-US" w:eastAsia="zh-CN"/>
              </w:rPr>
              <w:t>、井场平整、施工生活区及进场道路</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项目土石方量见下表：</w:t>
            </w:r>
          </w:p>
          <w:p w14:paraId="7BA579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表2-1</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val="en-US" w:eastAsia="zh-CN"/>
              </w:rPr>
              <w:t xml:space="preserve"> 项目土石方平衡</w:t>
            </w:r>
            <w:r>
              <w:rPr>
                <w:rFonts w:hint="eastAsia" w:ascii="Times New Roman" w:hAnsi="Times New Roman" w:eastAsia="宋体" w:cs="Times New Roman"/>
                <w:b/>
                <w:bCs/>
                <w:color w:val="auto"/>
                <w:sz w:val="21"/>
                <w:szCs w:val="21"/>
                <w:vertAlign w:val="baseline"/>
                <w:lang w:val="en-US" w:eastAsia="zh-CN"/>
              </w:rPr>
              <w:t xml:space="preserve">  单位：m</w:t>
            </w:r>
            <w:r>
              <w:rPr>
                <w:rFonts w:hint="eastAsia" w:ascii="Times New Roman" w:hAnsi="Times New Roman" w:eastAsia="宋体" w:cs="Times New Roman"/>
                <w:b/>
                <w:bCs/>
                <w:color w:val="auto"/>
                <w:sz w:val="21"/>
                <w:szCs w:val="21"/>
                <w:vertAlign w:val="superscript"/>
                <w:lang w:val="en-US" w:eastAsia="zh-CN"/>
              </w:rPr>
              <w:t>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95"/>
              <w:gridCol w:w="5"/>
              <w:gridCol w:w="1069"/>
              <w:gridCol w:w="1096"/>
              <w:gridCol w:w="1332"/>
              <w:gridCol w:w="1172"/>
              <w:gridCol w:w="977"/>
              <w:gridCol w:w="823"/>
            </w:tblGrid>
            <w:tr w14:paraId="7337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7F66DFFB">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1200" w:type="dxa"/>
                  <w:gridSpan w:val="2"/>
                  <w:vMerge w:val="restart"/>
                  <w:vAlign w:val="center"/>
                </w:tcPr>
                <w:p w14:paraId="0013E711">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井场名称</w:t>
                  </w:r>
                </w:p>
              </w:tc>
              <w:tc>
                <w:tcPr>
                  <w:tcW w:w="1069" w:type="dxa"/>
                  <w:vMerge w:val="restart"/>
                  <w:vAlign w:val="center"/>
                </w:tcPr>
                <w:p w14:paraId="292F8D2E">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1096" w:type="dxa"/>
                  <w:vMerge w:val="restart"/>
                  <w:vAlign w:val="center"/>
                </w:tcPr>
                <w:p w14:paraId="63DD6CE6">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表土</w:t>
                  </w:r>
                </w:p>
              </w:tc>
              <w:tc>
                <w:tcPr>
                  <w:tcW w:w="4304" w:type="dxa"/>
                  <w:gridSpan w:val="4"/>
                  <w:shd w:val="clear" w:color="auto" w:fill="auto"/>
                  <w:vAlign w:val="center"/>
                </w:tcPr>
                <w:p w14:paraId="3C107C9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eastAsia" w:ascii="Times New Roman" w:hAnsi="Times New Roman" w:eastAsia="宋体" w:cs="Times New Roman"/>
                      <w:b/>
                      <w:bCs/>
                      <w:i w:val="0"/>
                      <w:iCs w:val="0"/>
                      <w:color w:val="auto"/>
                      <w:sz w:val="22"/>
                      <w:szCs w:val="22"/>
                      <w:u w:val="none"/>
                      <w:lang w:val="en-US" w:eastAsia="zh-CN" w:bidi="ar-SA"/>
                    </w:rPr>
                    <w:t>一般土石方</w:t>
                  </w:r>
                </w:p>
              </w:tc>
            </w:tr>
            <w:tr w14:paraId="4FE7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D97F7B6">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200" w:type="dxa"/>
                  <w:gridSpan w:val="2"/>
                  <w:vMerge w:val="continue"/>
                  <w:vAlign w:val="center"/>
                </w:tcPr>
                <w:p w14:paraId="5287BCA9">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069" w:type="dxa"/>
                  <w:vMerge w:val="continue"/>
                  <w:vAlign w:val="center"/>
                </w:tcPr>
                <w:p w14:paraId="25B75B52">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096" w:type="dxa"/>
                  <w:vMerge w:val="continue"/>
                  <w:vAlign w:val="center"/>
                </w:tcPr>
                <w:p w14:paraId="4C2D0ABB">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332" w:type="dxa"/>
                  <w:shd w:val="clear" w:color="auto" w:fill="auto"/>
                  <w:vAlign w:val="center"/>
                </w:tcPr>
                <w:p w14:paraId="636BB7E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挖方</w:t>
                  </w:r>
                </w:p>
              </w:tc>
              <w:tc>
                <w:tcPr>
                  <w:tcW w:w="1172" w:type="dxa"/>
                  <w:shd w:val="clear" w:color="auto" w:fill="auto"/>
                  <w:vAlign w:val="center"/>
                </w:tcPr>
                <w:p w14:paraId="2B7E21C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填方</w:t>
                  </w:r>
                </w:p>
              </w:tc>
              <w:tc>
                <w:tcPr>
                  <w:tcW w:w="977" w:type="dxa"/>
                  <w:shd w:val="clear" w:color="auto" w:fill="auto"/>
                  <w:vAlign w:val="center"/>
                </w:tcPr>
                <w:p w14:paraId="30FB094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借方</w:t>
                  </w:r>
                </w:p>
              </w:tc>
              <w:tc>
                <w:tcPr>
                  <w:tcW w:w="823" w:type="dxa"/>
                  <w:shd w:val="clear" w:color="auto" w:fill="auto"/>
                  <w:vAlign w:val="center"/>
                </w:tcPr>
                <w:p w14:paraId="428DAAE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弃方</w:t>
                  </w:r>
                </w:p>
              </w:tc>
            </w:tr>
            <w:tr w14:paraId="30F7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51DD94A1">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1200" w:type="dxa"/>
                  <w:gridSpan w:val="2"/>
                  <w:vMerge w:val="restart"/>
                  <w:shd w:val="clear" w:color="auto" w:fill="auto"/>
                  <w:vAlign w:val="center"/>
                </w:tcPr>
                <w:p w14:paraId="6B465EC1">
                  <w:pPr>
                    <w:spacing w:line="240" w:lineRule="auto"/>
                    <w:ind w:firstLine="0" w:firstLineChars="0"/>
                    <w:jc w:val="center"/>
                    <w:rPr>
                      <w:rFonts w:hint="eastAsia"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米107-6MX</w:t>
                  </w:r>
                </w:p>
              </w:tc>
              <w:tc>
                <w:tcPr>
                  <w:tcW w:w="1069" w:type="dxa"/>
                  <w:shd w:val="clear" w:color="auto" w:fill="auto"/>
                  <w:vAlign w:val="center"/>
                </w:tcPr>
                <w:p w14:paraId="466558D9">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0B950523">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2764.30</w:t>
                  </w:r>
                </w:p>
              </w:tc>
              <w:tc>
                <w:tcPr>
                  <w:tcW w:w="1332" w:type="dxa"/>
                  <w:shd w:val="clear" w:color="auto" w:fill="auto"/>
                  <w:vAlign w:val="center"/>
                </w:tcPr>
                <w:p w14:paraId="10F50C7B">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21089</w:t>
                  </w:r>
                </w:p>
              </w:tc>
              <w:tc>
                <w:tcPr>
                  <w:tcW w:w="1172" w:type="dxa"/>
                  <w:shd w:val="clear" w:color="auto" w:fill="auto"/>
                  <w:vAlign w:val="center"/>
                </w:tcPr>
                <w:p w14:paraId="2E38D9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21089</w:t>
                  </w:r>
                </w:p>
              </w:tc>
              <w:tc>
                <w:tcPr>
                  <w:tcW w:w="977" w:type="dxa"/>
                  <w:shd w:val="clear" w:color="auto" w:fill="auto"/>
                  <w:vAlign w:val="center"/>
                </w:tcPr>
                <w:p w14:paraId="51786F0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014694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7954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7B6BC73">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gridSpan w:val="2"/>
                  <w:vMerge w:val="continue"/>
                  <w:shd w:val="clear" w:color="auto" w:fill="auto"/>
                  <w:vAlign w:val="center"/>
                </w:tcPr>
                <w:p w14:paraId="7F5F23C6">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36C7CC4B">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4CDEC4BF">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360</w:t>
                  </w:r>
                </w:p>
              </w:tc>
              <w:tc>
                <w:tcPr>
                  <w:tcW w:w="1332" w:type="dxa"/>
                  <w:shd w:val="clear" w:color="auto" w:fill="auto"/>
                  <w:vAlign w:val="center"/>
                </w:tcPr>
                <w:p w14:paraId="20F6E8CE">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544</w:t>
                  </w:r>
                </w:p>
              </w:tc>
              <w:tc>
                <w:tcPr>
                  <w:tcW w:w="1172" w:type="dxa"/>
                  <w:shd w:val="clear" w:color="auto" w:fill="auto"/>
                  <w:vAlign w:val="center"/>
                </w:tcPr>
                <w:p w14:paraId="217F52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544</w:t>
                  </w:r>
                </w:p>
              </w:tc>
              <w:tc>
                <w:tcPr>
                  <w:tcW w:w="977" w:type="dxa"/>
                  <w:shd w:val="clear" w:color="auto" w:fill="auto"/>
                  <w:vAlign w:val="center"/>
                </w:tcPr>
                <w:p w14:paraId="7EDBAD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DDCA6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73AC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4F02F993">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gridSpan w:val="2"/>
                  <w:vMerge w:val="continue"/>
                  <w:shd w:val="clear" w:color="auto" w:fill="auto"/>
                  <w:vAlign w:val="center"/>
                </w:tcPr>
                <w:p w14:paraId="35E62A0E">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51BC57CB">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道路</w:t>
                  </w:r>
                </w:p>
              </w:tc>
              <w:tc>
                <w:tcPr>
                  <w:tcW w:w="1096" w:type="dxa"/>
                  <w:shd w:val="clear" w:color="auto" w:fill="auto"/>
                  <w:vAlign w:val="center"/>
                </w:tcPr>
                <w:p w14:paraId="4FF2EDCA">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120.15</w:t>
                  </w:r>
                </w:p>
              </w:tc>
              <w:tc>
                <w:tcPr>
                  <w:tcW w:w="1332" w:type="dxa"/>
                  <w:shd w:val="clear" w:color="auto" w:fill="auto"/>
                  <w:vAlign w:val="center"/>
                </w:tcPr>
                <w:p w14:paraId="38A88915">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189</w:t>
                  </w:r>
                </w:p>
              </w:tc>
              <w:tc>
                <w:tcPr>
                  <w:tcW w:w="1172" w:type="dxa"/>
                  <w:shd w:val="clear" w:color="auto" w:fill="auto"/>
                  <w:vAlign w:val="center"/>
                </w:tcPr>
                <w:p w14:paraId="7DAE2E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977" w:type="dxa"/>
                  <w:shd w:val="clear" w:color="auto" w:fill="auto"/>
                  <w:vAlign w:val="center"/>
                </w:tcPr>
                <w:p w14:paraId="029FBD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FB1E7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3761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36D0351">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3"/>
                  <w:shd w:val="clear" w:color="auto" w:fill="auto"/>
                  <w:vAlign w:val="center"/>
                </w:tcPr>
                <w:p w14:paraId="46AD2D10">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5769F45F">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3244.45</w:t>
                  </w:r>
                </w:p>
              </w:tc>
              <w:tc>
                <w:tcPr>
                  <w:tcW w:w="1332" w:type="dxa"/>
                  <w:shd w:val="clear" w:color="auto" w:fill="auto"/>
                  <w:vAlign w:val="center"/>
                </w:tcPr>
                <w:p w14:paraId="4839FE69">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21822</w:t>
                  </w:r>
                </w:p>
              </w:tc>
              <w:tc>
                <w:tcPr>
                  <w:tcW w:w="1172" w:type="dxa"/>
                  <w:shd w:val="clear" w:color="auto" w:fill="auto"/>
                  <w:vAlign w:val="center"/>
                </w:tcPr>
                <w:p w14:paraId="2C0D5B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21822</w:t>
                  </w:r>
                </w:p>
              </w:tc>
              <w:tc>
                <w:tcPr>
                  <w:tcW w:w="977" w:type="dxa"/>
                  <w:shd w:val="clear" w:color="auto" w:fill="auto"/>
                  <w:vAlign w:val="center"/>
                </w:tcPr>
                <w:p w14:paraId="07B19C3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4A8EB5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2B46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5C9AB97B">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200" w:type="dxa"/>
                  <w:gridSpan w:val="2"/>
                  <w:vMerge w:val="restart"/>
                  <w:shd w:val="clear" w:color="auto" w:fill="auto"/>
                  <w:vAlign w:val="center"/>
                </w:tcPr>
                <w:p w14:paraId="09F65A49">
                  <w:pPr>
                    <w:spacing w:line="240" w:lineRule="auto"/>
                    <w:ind w:firstLine="0" w:firstLineChars="0"/>
                    <w:jc w:val="center"/>
                    <w:rPr>
                      <w:rFonts w:hint="eastAsia"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米107-10MX</w:t>
                  </w:r>
                </w:p>
              </w:tc>
              <w:tc>
                <w:tcPr>
                  <w:tcW w:w="1069" w:type="dxa"/>
                  <w:shd w:val="clear" w:color="auto" w:fill="auto"/>
                  <w:vAlign w:val="center"/>
                </w:tcPr>
                <w:p w14:paraId="014C9A02">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58413E8B">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2657.44</w:t>
                  </w:r>
                </w:p>
              </w:tc>
              <w:tc>
                <w:tcPr>
                  <w:tcW w:w="1332" w:type="dxa"/>
                  <w:shd w:val="clear" w:color="auto" w:fill="auto"/>
                  <w:vAlign w:val="center"/>
                </w:tcPr>
                <w:p w14:paraId="1EC2FF4A">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18675</w:t>
                  </w:r>
                </w:p>
              </w:tc>
              <w:tc>
                <w:tcPr>
                  <w:tcW w:w="1172" w:type="dxa"/>
                  <w:shd w:val="clear" w:color="auto" w:fill="auto"/>
                  <w:vAlign w:val="center"/>
                </w:tcPr>
                <w:p w14:paraId="231681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18675</w:t>
                  </w:r>
                </w:p>
              </w:tc>
              <w:tc>
                <w:tcPr>
                  <w:tcW w:w="977" w:type="dxa"/>
                  <w:shd w:val="clear" w:color="auto" w:fill="auto"/>
                  <w:vAlign w:val="center"/>
                </w:tcPr>
                <w:p w14:paraId="694447C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557C8D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1171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3FD54FC2">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gridSpan w:val="2"/>
                  <w:vMerge w:val="continue"/>
                  <w:shd w:val="clear" w:color="auto" w:fill="auto"/>
                  <w:vAlign w:val="center"/>
                </w:tcPr>
                <w:p w14:paraId="3E8E6CBA">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3EF89516">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69D36324">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360</w:t>
                  </w:r>
                </w:p>
              </w:tc>
              <w:tc>
                <w:tcPr>
                  <w:tcW w:w="1332" w:type="dxa"/>
                  <w:shd w:val="clear" w:color="auto" w:fill="auto"/>
                  <w:vAlign w:val="center"/>
                </w:tcPr>
                <w:p w14:paraId="7032E0FD">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469</w:t>
                  </w:r>
                </w:p>
              </w:tc>
              <w:tc>
                <w:tcPr>
                  <w:tcW w:w="1172" w:type="dxa"/>
                  <w:shd w:val="clear" w:color="auto" w:fill="auto"/>
                  <w:vAlign w:val="center"/>
                </w:tcPr>
                <w:p w14:paraId="4D720C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977" w:type="dxa"/>
                  <w:shd w:val="clear" w:color="auto" w:fill="auto"/>
                  <w:vAlign w:val="center"/>
                </w:tcPr>
                <w:p w14:paraId="2EF6952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109B8F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060A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4FA56B64">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3"/>
                  <w:shd w:val="clear" w:color="auto" w:fill="auto"/>
                  <w:vAlign w:val="center"/>
                </w:tcPr>
                <w:p w14:paraId="4B13094C">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7DA19114">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3017.44</w:t>
                  </w:r>
                </w:p>
              </w:tc>
              <w:tc>
                <w:tcPr>
                  <w:tcW w:w="1332" w:type="dxa"/>
                  <w:shd w:val="clear" w:color="auto" w:fill="auto"/>
                  <w:vAlign w:val="center"/>
                </w:tcPr>
                <w:p w14:paraId="26F322B1">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19144</w:t>
                  </w:r>
                </w:p>
              </w:tc>
              <w:tc>
                <w:tcPr>
                  <w:tcW w:w="1172" w:type="dxa"/>
                  <w:shd w:val="clear" w:color="auto" w:fill="auto"/>
                  <w:vAlign w:val="center"/>
                </w:tcPr>
                <w:p w14:paraId="2C4AF7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19144</w:t>
                  </w:r>
                </w:p>
              </w:tc>
              <w:tc>
                <w:tcPr>
                  <w:tcW w:w="977" w:type="dxa"/>
                  <w:shd w:val="clear" w:color="auto" w:fill="auto"/>
                  <w:vAlign w:val="center"/>
                </w:tcPr>
                <w:p w14:paraId="3B0065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454992A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79AE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763DA347">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c>
                <w:tcPr>
                  <w:tcW w:w="1200" w:type="dxa"/>
                  <w:gridSpan w:val="2"/>
                  <w:vMerge w:val="restart"/>
                  <w:shd w:val="clear" w:color="auto" w:fill="auto"/>
                  <w:vAlign w:val="center"/>
                </w:tcPr>
                <w:p w14:paraId="6A51338F">
                  <w:pPr>
                    <w:spacing w:line="240" w:lineRule="auto"/>
                    <w:ind w:firstLine="0" w:firstLineChars="0"/>
                    <w:jc w:val="center"/>
                    <w:rPr>
                      <w:rFonts w:hint="eastAsia"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米107-11M</w:t>
                  </w:r>
                </w:p>
              </w:tc>
              <w:tc>
                <w:tcPr>
                  <w:tcW w:w="1069" w:type="dxa"/>
                  <w:shd w:val="clear" w:color="auto" w:fill="auto"/>
                  <w:vAlign w:val="center"/>
                </w:tcPr>
                <w:p w14:paraId="79593E0B">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4F0F3486">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4859.52</w:t>
                  </w:r>
                </w:p>
              </w:tc>
              <w:tc>
                <w:tcPr>
                  <w:tcW w:w="1332" w:type="dxa"/>
                  <w:shd w:val="clear" w:color="auto" w:fill="auto"/>
                  <w:vAlign w:val="center"/>
                </w:tcPr>
                <w:p w14:paraId="2CA20ADF">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35896</w:t>
                  </w:r>
                </w:p>
              </w:tc>
              <w:tc>
                <w:tcPr>
                  <w:tcW w:w="1172" w:type="dxa"/>
                  <w:shd w:val="clear" w:color="auto" w:fill="auto"/>
                  <w:vAlign w:val="center"/>
                </w:tcPr>
                <w:p w14:paraId="00FD99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35896</w:t>
                  </w:r>
                </w:p>
              </w:tc>
              <w:tc>
                <w:tcPr>
                  <w:tcW w:w="977" w:type="dxa"/>
                  <w:shd w:val="clear" w:color="auto" w:fill="auto"/>
                  <w:vAlign w:val="center"/>
                </w:tcPr>
                <w:p w14:paraId="76F42B7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161EC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5B6D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27A01558">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gridSpan w:val="2"/>
                  <w:vMerge w:val="continue"/>
                  <w:shd w:val="clear" w:color="auto" w:fill="auto"/>
                  <w:vAlign w:val="center"/>
                </w:tcPr>
                <w:p w14:paraId="62BFFB54">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759EBC7C">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0218121C">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360</w:t>
                  </w:r>
                </w:p>
              </w:tc>
              <w:tc>
                <w:tcPr>
                  <w:tcW w:w="1332" w:type="dxa"/>
                  <w:shd w:val="clear" w:color="auto" w:fill="auto"/>
                  <w:vAlign w:val="center"/>
                </w:tcPr>
                <w:p w14:paraId="46F761B4">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477</w:t>
                  </w:r>
                </w:p>
              </w:tc>
              <w:tc>
                <w:tcPr>
                  <w:tcW w:w="1172" w:type="dxa"/>
                  <w:shd w:val="clear" w:color="auto" w:fill="auto"/>
                  <w:vAlign w:val="center"/>
                </w:tcPr>
                <w:p w14:paraId="377B45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977" w:type="dxa"/>
                  <w:shd w:val="clear" w:color="auto" w:fill="auto"/>
                  <w:vAlign w:val="center"/>
                </w:tcPr>
                <w:p w14:paraId="5F3A942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1416BB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12B9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E387741">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3"/>
                  <w:shd w:val="clear" w:color="auto" w:fill="auto"/>
                  <w:vAlign w:val="center"/>
                </w:tcPr>
                <w:p w14:paraId="287D0D57">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65A9C031">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5219.52</w:t>
                  </w:r>
                </w:p>
              </w:tc>
              <w:tc>
                <w:tcPr>
                  <w:tcW w:w="1332" w:type="dxa"/>
                  <w:shd w:val="clear" w:color="auto" w:fill="auto"/>
                  <w:vAlign w:val="center"/>
                </w:tcPr>
                <w:p w14:paraId="48A22ED9">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36373</w:t>
                  </w:r>
                </w:p>
              </w:tc>
              <w:tc>
                <w:tcPr>
                  <w:tcW w:w="1172" w:type="dxa"/>
                  <w:shd w:val="clear" w:color="auto" w:fill="auto"/>
                  <w:vAlign w:val="center"/>
                </w:tcPr>
                <w:p w14:paraId="02472F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36373</w:t>
                  </w:r>
                </w:p>
              </w:tc>
              <w:tc>
                <w:tcPr>
                  <w:tcW w:w="977" w:type="dxa"/>
                  <w:shd w:val="clear" w:color="auto" w:fill="auto"/>
                  <w:vAlign w:val="center"/>
                </w:tcPr>
                <w:p w14:paraId="0126AD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9E6838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2ED2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241E3C5F">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1200" w:type="dxa"/>
                  <w:gridSpan w:val="2"/>
                  <w:vMerge w:val="restart"/>
                  <w:shd w:val="clear" w:color="auto" w:fill="auto"/>
                  <w:vAlign w:val="center"/>
                </w:tcPr>
                <w:p w14:paraId="17FDD6D8">
                  <w:pPr>
                    <w:spacing w:line="240" w:lineRule="auto"/>
                    <w:ind w:firstLine="0" w:firstLineChars="0"/>
                    <w:jc w:val="center"/>
                    <w:rPr>
                      <w:rFonts w:hint="eastAsia"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米107-12M</w:t>
                  </w:r>
                </w:p>
              </w:tc>
              <w:tc>
                <w:tcPr>
                  <w:tcW w:w="1069" w:type="dxa"/>
                  <w:shd w:val="clear" w:color="auto" w:fill="auto"/>
                  <w:vAlign w:val="center"/>
                </w:tcPr>
                <w:p w14:paraId="6D74E481">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5E4B9679">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3105.96</w:t>
                  </w:r>
                </w:p>
              </w:tc>
              <w:tc>
                <w:tcPr>
                  <w:tcW w:w="1332" w:type="dxa"/>
                  <w:vAlign w:val="center"/>
                </w:tcPr>
                <w:p w14:paraId="5007DA60">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31421</w:t>
                  </w:r>
                </w:p>
              </w:tc>
              <w:tc>
                <w:tcPr>
                  <w:tcW w:w="1172" w:type="dxa"/>
                  <w:vAlign w:val="center"/>
                </w:tcPr>
                <w:p w14:paraId="493C8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31421</w:t>
                  </w:r>
                </w:p>
              </w:tc>
              <w:tc>
                <w:tcPr>
                  <w:tcW w:w="977" w:type="dxa"/>
                  <w:vAlign w:val="center"/>
                </w:tcPr>
                <w:p w14:paraId="3638B63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vAlign w:val="center"/>
                </w:tcPr>
                <w:p w14:paraId="7B9D1E3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73DA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1E728552">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gridSpan w:val="2"/>
                  <w:vMerge w:val="continue"/>
                  <w:shd w:val="clear" w:color="auto" w:fill="auto"/>
                  <w:vAlign w:val="center"/>
                </w:tcPr>
                <w:p w14:paraId="1041FFEF">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2B598CDB">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23C3B956">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420</w:t>
                  </w:r>
                </w:p>
              </w:tc>
              <w:tc>
                <w:tcPr>
                  <w:tcW w:w="1332" w:type="dxa"/>
                  <w:vAlign w:val="center"/>
                </w:tcPr>
                <w:p w14:paraId="07F0B4D2">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625</w:t>
                  </w:r>
                </w:p>
              </w:tc>
              <w:tc>
                <w:tcPr>
                  <w:tcW w:w="1172" w:type="dxa"/>
                  <w:vAlign w:val="center"/>
                </w:tcPr>
                <w:p w14:paraId="4F4A95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625</w:t>
                  </w:r>
                </w:p>
              </w:tc>
              <w:tc>
                <w:tcPr>
                  <w:tcW w:w="977" w:type="dxa"/>
                  <w:vAlign w:val="center"/>
                </w:tcPr>
                <w:p w14:paraId="30A7D3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vAlign w:val="center"/>
                </w:tcPr>
                <w:p w14:paraId="2BFA23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62D7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4921EBDD">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gridSpan w:val="2"/>
                  <w:vMerge w:val="continue"/>
                  <w:shd w:val="clear" w:color="auto" w:fill="auto"/>
                  <w:vAlign w:val="center"/>
                </w:tcPr>
                <w:p w14:paraId="29F52426">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2B441343">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进场道路</w:t>
                  </w:r>
                </w:p>
              </w:tc>
              <w:tc>
                <w:tcPr>
                  <w:tcW w:w="1096" w:type="dxa"/>
                  <w:shd w:val="clear" w:color="auto" w:fill="auto"/>
                  <w:vAlign w:val="center"/>
                </w:tcPr>
                <w:p w14:paraId="1923F517">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33.75</w:t>
                  </w:r>
                </w:p>
              </w:tc>
              <w:tc>
                <w:tcPr>
                  <w:tcW w:w="1332" w:type="dxa"/>
                  <w:vAlign w:val="center"/>
                </w:tcPr>
                <w:p w14:paraId="71D6AEFA">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131</w:t>
                  </w:r>
                </w:p>
              </w:tc>
              <w:tc>
                <w:tcPr>
                  <w:tcW w:w="1172" w:type="dxa"/>
                  <w:vAlign w:val="center"/>
                </w:tcPr>
                <w:p w14:paraId="387CC0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131</w:t>
                  </w:r>
                </w:p>
              </w:tc>
              <w:tc>
                <w:tcPr>
                  <w:tcW w:w="977" w:type="dxa"/>
                  <w:vAlign w:val="center"/>
                </w:tcPr>
                <w:p w14:paraId="18FB5C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vAlign w:val="center"/>
                </w:tcPr>
                <w:p w14:paraId="406900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223A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714ECCAF">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3"/>
                  <w:shd w:val="clear" w:color="auto" w:fill="auto"/>
                  <w:vAlign w:val="center"/>
                </w:tcPr>
                <w:p w14:paraId="585780E6">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3ED678FC">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3559.71</w:t>
                  </w:r>
                </w:p>
              </w:tc>
              <w:tc>
                <w:tcPr>
                  <w:tcW w:w="1332" w:type="dxa"/>
                  <w:vAlign w:val="center"/>
                </w:tcPr>
                <w:p w14:paraId="084451BE">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32177</w:t>
                  </w:r>
                </w:p>
              </w:tc>
              <w:tc>
                <w:tcPr>
                  <w:tcW w:w="1172" w:type="dxa"/>
                  <w:vAlign w:val="center"/>
                </w:tcPr>
                <w:p w14:paraId="4257F6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32177</w:t>
                  </w:r>
                </w:p>
              </w:tc>
              <w:tc>
                <w:tcPr>
                  <w:tcW w:w="977" w:type="dxa"/>
                  <w:shd w:val="clear" w:color="auto" w:fill="auto"/>
                  <w:vAlign w:val="center"/>
                </w:tcPr>
                <w:p w14:paraId="7AEFC38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26CCBBC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72B3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653121CA">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1195" w:type="dxa"/>
                  <w:vMerge w:val="restart"/>
                  <w:shd w:val="clear" w:color="auto" w:fill="auto"/>
                  <w:vAlign w:val="center"/>
                </w:tcPr>
                <w:p w14:paraId="4BC88EEC">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米107-15M</w:t>
                  </w:r>
                </w:p>
              </w:tc>
              <w:tc>
                <w:tcPr>
                  <w:tcW w:w="1074" w:type="dxa"/>
                  <w:gridSpan w:val="2"/>
                  <w:shd w:val="clear" w:color="auto" w:fill="auto"/>
                  <w:vAlign w:val="center"/>
                </w:tcPr>
                <w:p w14:paraId="44561CB8">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493218FD">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3596.01</w:t>
                  </w:r>
                </w:p>
              </w:tc>
              <w:tc>
                <w:tcPr>
                  <w:tcW w:w="1332" w:type="dxa"/>
                  <w:vAlign w:val="center"/>
                </w:tcPr>
                <w:p w14:paraId="74D1CC12">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30089</w:t>
                  </w:r>
                </w:p>
              </w:tc>
              <w:tc>
                <w:tcPr>
                  <w:tcW w:w="1172" w:type="dxa"/>
                  <w:vAlign w:val="center"/>
                </w:tcPr>
                <w:p w14:paraId="6EDF50D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30089</w:t>
                  </w:r>
                </w:p>
              </w:tc>
              <w:tc>
                <w:tcPr>
                  <w:tcW w:w="977" w:type="dxa"/>
                  <w:shd w:val="clear" w:color="auto" w:fill="auto"/>
                  <w:vAlign w:val="center"/>
                </w:tcPr>
                <w:p w14:paraId="1DC958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20A1C0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66BF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6C4E352A">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95" w:type="dxa"/>
                  <w:vMerge w:val="continue"/>
                  <w:shd w:val="clear" w:color="auto" w:fill="auto"/>
                  <w:vAlign w:val="center"/>
                </w:tcPr>
                <w:p w14:paraId="7BD36EF1">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74" w:type="dxa"/>
                  <w:gridSpan w:val="2"/>
                  <w:shd w:val="clear" w:color="auto" w:fill="auto"/>
                  <w:vAlign w:val="center"/>
                </w:tcPr>
                <w:p w14:paraId="5DADD350">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229647B4">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480</w:t>
                  </w:r>
                </w:p>
              </w:tc>
              <w:tc>
                <w:tcPr>
                  <w:tcW w:w="1332" w:type="dxa"/>
                  <w:vAlign w:val="center"/>
                </w:tcPr>
                <w:p w14:paraId="01CED66E">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684</w:t>
                  </w:r>
                </w:p>
              </w:tc>
              <w:tc>
                <w:tcPr>
                  <w:tcW w:w="1172" w:type="dxa"/>
                  <w:vAlign w:val="center"/>
                </w:tcPr>
                <w:p w14:paraId="7F986F2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684</w:t>
                  </w:r>
                </w:p>
              </w:tc>
              <w:tc>
                <w:tcPr>
                  <w:tcW w:w="977" w:type="dxa"/>
                  <w:shd w:val="clear" w:color="auto" w:fill="auto"/>
                  <w:vAlign w:val="center"/>
                </w:tcPr>
                <w:p w14:paraId="46A3D9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6B01B5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0060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7E31F477">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3"/>
                  <w:shd w:val="clear" w:color="auto" w:fill="auto"/>
                  <w:vAlign w:val="center"/>
                </w:tcPr>
                <w:p w14:paraId="461A07A3">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6741283B">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4076.01</w:t>
                  </w:r>
                </w:p>
              </w:tc>
              <w:tc>
                <w:tcPr>
                  <w:tcW w:w="1332" w:type="dxa"/>
                  <w:vAlign w:val="center"/>
                </w:tcPr>
                <w:p w14:paraId="38EB40EB">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30773</w:t>
                  </w:r>
                </w:p>
              </w:tc>
              <w:tc>
                <w:tcPr>
                  <w:tcW w:w="1172" w:type="dxa"/>
                  <w:vAlign w:val="center"/>
                </w:tcPr>
                <w:p w14:paraId="750C33F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30773</w:t>
                  </w:r>
                </w:p>
              </w:tc>
              <w:tc>
                <w:tcPr>
                  <w:tcW w:w="977" w:type="dxa"/>
                  <w:shd w:val="clear" w:color="auto" w:fill="auto"/>
                  <w:vAlign w:val="center"/>
                </w:tcPr>
                <w:p w14:paraId="7088F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8140F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57C2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70EC0B43">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1195" w:type="dxa"/>
                  <w:vMerge w:val="restart"/>
                  <w:shd w:val="clear" w:color="auto" w:fill="auto"/>
                  <w:vAlign w:val="center"/>
                </w:tcPr>
                <w:p w14:paraId="30834165">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米107-34M</w:t>
                  </w:r>
                </w:p>
              </w:tc>
              <w:tc>
                <w:tcPr>
                  <w:tcW w:w="1074" w:type="dxa"/>
                  <w:gridSpan w:val="2"/>
                  <w:shd w:val="clear" w:color="auto" w:fill="auto"/>
                  <w:vAlign w:val="center"/>
                </w:tcPr>
                <w:p w14:paraId="3470CCD5">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7C5CB734">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3479.58</w:t>
                  </w:r>
                </w:p>
              </w:tc>
              <w:tc>
                <w:tcPr>
                  <w:tcW w:w="1332" w:type="dxa"/>
                  <w:vAlign w:val="center"/>
                </w:tcPr>
                <w:p w14:paraId="517C0A72">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30159</w:t>
                  </w:r>
                </w:p>
              </w:tc>
              <w:tc>
                <w:tcPr>
                  <w:tcW w:w="1172" w:type="dxa"/>
                  <w:vAlign w:val="center"/>
                </w:tcPr>
                <w:p w14:paraId="6502608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30159</w:t>
                  </w:r>
                </w:p>
              </w:tc>
              <w:tc>
                <w:tcPr>
                  <w:tcW w:w="977" w:type="dxa"/>
                  <w:shd w:val="clear" w:color="auto" w:fill="auto"/>
                  <w:vAlign w:val="center"/>
                </w:tcPr>
                <w:p w14:paraId="764769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3BCF2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5C2C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04A8F448">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95" w:type="dxa"/>
                  <w:vMerge w:val="continue"/>
                  <w:shd w:val="clear" w:color="auto" w:fill="auto"/>
                  <w:vAlign w:val="center"/>
                </w:tcPr>
                <w:p w14:paraId="78560CA5">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74" w:type="dxa"/>
                  <w:gridSpan w:val="2"/>
                  <w:shd w:val="clear" w:color="auto" w:fill="auto"/>
                  <w:vAlign w:val="center"/>
                </w:tcPr>
                <w:p w14:paraId="0B4322D4">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754C49A4">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360</w:t>
                  </w:r>
                </w:p>
              </w:tc>
              <w:tc>
                <w:tcPr>
                  <w:tcW w:w="1332" w:type="dxa"/>
                  <w:vAlign w:val="center"/>
                </w:tcPr>
                <w:p w14:paraId="5C949B2E">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479</w:t>
                  </w:r>
                </w:p>
              </w:tc>
              <w:tc>
                <w:tcPr>
                  <w:tcW w:w="1172" w:type="dxa"/>
                  <w:vAlign w:val="center"/>
                </w:tcPr>
                <w:p w14:paraId="783506C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479</w:t>
                  </w:r>
                </w:p>
              </w:tc>
              <w:tc>
                <w:tcPr>
                  <w:tcW w:w="977" w:type="dxa"/>
                  <w:shd w:val="clear" w:color="auto" w:fill="auto"/>
                  <w:vAlign w:val="center"/>
                </w:tcPr>
                <w:p w14:paraId="310C19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40D9C2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r w14:paraId="2C56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6ACE7935">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3"/>
                  <w:shd w:val="clear" w:color="auto" w:fill="auto"/>
                  <w:vAlign w:val="center"/>
                </w:tcPr>
                <w:p w14:paraId="327BE90F">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0C8CFA01">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3839.58</w:t>
                  </w:r>
                </w:p>
              </w:tc>
              <w:tc>
                <w:tcPr>
                  <w:tcW w:w="1332" w:type="dxa"/>
                  <w:vAlign w:val="center"/>
                </w:tcPr>
                <w:p w14:paraId="6700E403">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30638</w:t>
                  </w:r>
                </w:p>
              </w:tc>
              <w:tc>
                <w:tcPr>
                  <w:tcW w:w="1172" w:type="dxa"/>
                  <w:vAlign w:val="center"/>
                </w:tcPr>
                <w:p w14:paraId="29DC946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30638</w:t>
                  </w:r>
                </w:p>
              </w:tc>
              <w:tc>
                <w:tcPr>
                  <w:tcW w:w="977" w:type="dxa"/>
                  <w:shd w:val="clear" w:color="auto" w:fill="auto"/>
                  <w:vAlign w:val="center"/>
                </w:tcPr>
                <w:p w14:paraId="75F87E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595D70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r>
          </w:tbl>
          <w:p w14:paraId="325530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项目井场在开挖地表、平整土地时，</w:t>
            </w:r>
            <w:r>
              <w:rPr>
                <w:rFonts w:hint="eastAsia" w:ascii="Times New Roman" w:hAnsi="Times New Roman" w:eastAsia="宋体" w:cs="Times New Roman"/>
                <w:b w:val="0"/>
                <w:bCs w:val="0"/>
                <w:color w:val="auto"/>
                <w:sz w:val="24"/>
                <w:szCs w:val="24"/>
                <w:vertAlign w:val="baseline"/>
                <w:lang w:val="en-US" w:eastAsia="zh-CN"/>
              </w:rPr>
              <w:t>在</w:t>
            </w:r>
            <w:r>
              <w:rPr>
                <w:rFonts w:hint="default" w:ascii="Times New Roman" w:hAnsi="Times New Roman" w:eastAsia="宋体" w:cs="Times New Roman"/>
                <w:b w:val="0"/>
                <w:bCs w:val="0"/>
                <w:color w:val="auto"/>
                <w:sz w:val="24"/>
                <w:szCs w:val="24"/>
                <w:vertAlign w:val="baseline"/>
                <w:lang w:val="en-US" w:eastAsia="zh-CN"/>
              </w:rPr>
              <w:t>施工场地的征地范围内设置表土堆场，表土厚度为0.</w:t>
            </w:r>
            <w:r>
              <w:rPr>
                <w:rFonts w:hint="eastAsia" w:ascii="Times New Roman" w:hAnsi="Times New Roman" w:eastAsia="宋体" w:cs="Times New Roman"/>
                <w:b w:val="0"/>
                <w:bCs w:val="0"/>
                <w:color w:val="auto"/>
                <w:sz w:val="24"/>
                <w:szCs w:val="24"/>
                <w:vertAlign w:val="baseline"/>
                <w:lang w:val="en-US" w:eastAsia="zh-CN"/>
              </w:rPr>
              <w:t>3</w:t>
            </w:r>
            <w:r>
              <w:rPr>
                <w:rFonts w:hint="default" w:ascii="Times New Roman" w:hAnsi="Times New Roman" w:eastAsia="宋体" w:cs="Times New Roman"/>
                <w:b w:val="0"/>
                <w:bCs w:val="0"/>
                <w:color w:val="auto"/>
                <w:sz w:val="24"/>
                <w:szCs w:val="24"/>
                <w:vertAlign w:val="baseline"/>
                <w:lang w:val="en-US" w:eastAsia="zh-CN"/>
              </w:rPr>
              <w:t>m，对表土进行单独堆放并</w:t>
            </w:r>
            <w:r>
              <w:rPr>
                <w:rFonts w:hint="eastAsia" w:ascii="Times New Roman" w:hAnsi="Times New Roman" w:eastAsia="宋体" w:cs="Times New Roman"/>
                <w:b w:val="0"/>
                <w:bCs w:val="0"/>
                <w:color w:val="auto"/>
                <w:sz w:val="24"/>
                <w:szCs w:val="24"/>
                <w:vertAlign w:val="baseline"/>
                <w:lang w:val="en-US" w:eastAsia="zh-CN"/>
              </w:rPr>
              <w:t>采用密目网</w:t>
            </w:r>
            <w:r>
              <w:rPr>
                <w:rFonts w:hint="default" w:ascii="Times New Roman" w:hAnsi="Times New Roman" w:eastAsia="宋体" w:cs="Times New Roman"/>
                <w:b w:val="0"/>
                <w:bCs w:val="0"/>
                <w:color w:val="auto"/>
                <w:sz w:val="24"/>
                <w:szCs w:val="24"/>
                <w:vertAlign w:val="baseline"/>
                <w:lang w:val="en-US" w:eastAsia="zh-CN"/>
              </w:rPr>
              <w:t>苫盖</w:t>
            </w:r>
            <w:r>
              <w:rPr>
                <w:rFonts w:hint="eastAsia" w:ascii="Times New Roman" w:hAnsi="Times New Roman" w:eastAsia="宋体" w:cs="Times New Roman"/>
                <w:b w:val="0"/>
                <w:bCs w:val="0"/>
                <w:color w:val="auto"/>
                <w:sz w:val="24"/>
                <w:szCs w:val="24"/>
                <w:vertAlign w:val="baseline"/>
                <w:lang w:val="en-US" w:eastAsia="zh-CN"/>
              </w:rPr>
              <w:t>，堆场位于井场内距离敏感目标较近的一侧</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一般土石方随挖随填，不在井场内长期堆放</w:t>
            </w:r>
            <w:r>
              <w:rPr>
                <w:rFonts w:hint="default" w:ascii="Times New Roman" w:hAnsi="Times New Roman" w:eastAsia="宋体" w:cs="Times New Roman"/>
                <w:b w:val="0"/>
                <w:bCs w:val="0"/>
                <w:color w:val="auto"/>
                <w:sz w:val="24"/>
                <w:szCs w:val="24"/>
                <w:vertAlign w:val="baseline"/>
                <w:lang w:val="en-US" w:eastAsia="zh-CN"/>
              </w:rPr>
              <w:t>；施工完毕，应尽快整理施工现场，将表土覆盖在原地表，对临时占地进行植被恢复，恢复原有用地性质。</w:t>
            </w:r>
          </w:p>
          <w:p w14:paraId="5A9ABE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ascii="Times New Roman" w:hAnsi="Times New Roman" w:eastAsia="宋体" w:cs="Times New Roman"/>
                <w:b w:val="0"/>
                <w:bCs w:val="0"/>
                <w:color w:val="auto"/>
                <w:sz w:val="24"/>
                <w:szCs w:val="24"/>
                <w:vertAlign w:val="baseline"/>
                <w:lang w:val="en-US" w:eastAsia="zh-CN"/>
              </w:rPr>
              <w:t>本项目各井场表土堆场及一般土石方堆场设置情况见下表：</w:t>
            </w:r>
          </w:p>
          <w:p w14:paraId="57B2FD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表2-13   各井场表土及一般土石方堆场设置情况一览表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975"/>
              <w:gridCol w:w="1961"/>
              <w:gridCol w:w="1720"/>
              <w:gridCol w:w="1350"/>
            </w:tblGrid>
            <w:tr w14:paraId="6F0B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Align w:val="center"/>
                </w:tcPr>
                <w:p w14:paraId="2D6359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井场名称</w:t>
                  </w:r>
                </w:p>
              </w:tc>
              <w:tc>
                <w:tcPr>
                  <w:tcW w:w="1177" w:type="pct"/>
                  <w:vAlign w:val="center"/>
                </w:tcPr>
                <w:p w14:paraId="2BF282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土石方量（m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169" w:type="pct"/>
                  <w:vAlign w:val="center"/>
                </w:tcPr>
                <w:p w14:paraId="2F7D40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堆场类型</w:t>
                  </w:r>
                </w:p>
              </w:tc>
              <w:tc>
                <w:tcPr>
                  <w:tcW w:w="1025" w:type="pct"/>
                  <w:vAlign w:val="center"/>
                </w:tcPr>
                <w:p w14:paraId="5A8C78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堆场面积（m</w:t>
                  </w:r>
                  <w:r>
                    <w:rPr>
                      <w:rFonts w:hint="eastAsia" w:ascii="Times New Roman" w:hAnsi="Times New Roman" w:eastAsia="宋体" w:cs="Times New Roman"/>
                      <w:b/>
                      <w:bCs/>
                      <w:color w:val="auto"/>
                      <w:sz w:val="21"/>
                      <w:szCs w:val="21"/>
                      <w:vertAlign w:val="superscript"/>
                      <w:lang w:val="en-US" w:eastAsia="zh-CN"/>
                    </w:rPr>
                    <w:t>2</w:t>
                  </w:r>
                  <w:r>
                    <w:rPr>
                      <w:rFonts w:hint="eastAsia" w:ascii="Times New Roman" w:hAnsi="Times New Roman" w:eastAsia="宋体" w:cs="Times New Roman"/>
                      <w:b/>
                      <w:bCs/>
                      <w:color w:val="auto"/>
                      <w:sz w:val="21"/>
                      <w:szCs w:val="21"/>
                      <w:vertAlign w:val="baseline"/>
                      <w:lang w:val="en-US" w:eastAsia="zh-CN"/>
                    </w:rPr>
                    <w:t>）</w:t>
                  </w:r>
                </w:p>
              </w:tc>
              <w:tc>
                <w:tcPr>
                  <w:tcW w:w="805" w:type="pct"/>
                  <w:vAlign w:val="center"/>
                </w:tcPr>
                <w:p w14:paraId="6D6004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堆高（m）</w:t>
                  </w:r>
                </w:p>
              </w:tc>
            </w:tr>
            <w:tr w14:paraId="5D83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0E53F7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米107-6MX</w:t>
                  </w:r>
                </w:p>
              </w:tc>
              <w:tc>
                <w:tcPr>
                  <w:tcW w:w="1177" w:type="pct"/>
                  <w:shd w:val="clear" w:color="auto" w:fill="auto"/>
                  <w:vAlign w:val="center"/>
                </w:tcPr>
                <w:p w14:paraId="3AF989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表土：3244.45</w:t>
                  </w:r>
                </w:p>
              </w:tc>
              <w:tc>
                <w:tcPr>
                  <w:tcW w:w="1169" w:type="pct"/>
                  <w:vAlign w:val="center"/>
                </w:tcPr>
                <w:p w14:paraId="5F7969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1CAEE9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1200</w:t>
                  </w:r>
                </w:p>
              </w:tc>
              <w:tc>
                <w:tcPr>
                  <w:tcW w:w="805" w:type="pct"/>
                  <w:vAlign w:val="center"/>
                </w:tcPr>
                <w:p w14:paraId="16A220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6428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6A203A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0FDF46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w:t>
                  </w:r>
                  <w:r>
                    <w:rPr>
                      <w:rFonts w:hint="default" w:ascii="Times New Roman" w:hAnsi="Times New Roman" w:eastAsia="宋体" w:cs="Times New Roman"/>
                      <w:b w:val="0"/>
                      <w:bCs w:val="0"/>
                      <w:color w:val="auto"/>
                      <w:sz w:val="21"/>
                      <w:szCs w:val="21"/>
                      <w:vertAlign w:val="baseline"/>
                      <w:lang w:val="en-US" w:eastAsia="zh-CN"/>
                    </w:rPr>
                    <w:t>21822</w:t>
                  </w:r>
                </w:p>
              </w:tc>
              <w:tc>
                <w:tcPr>
                  <w:tcW w:w="1169" w:type="pct"/>
                  <w:vAlign w:val="center"/>
                </w:tcPr>
                <w:p w14:paraId="799A1F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75ED1B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3000</w:t>
                  </w:r>
                </w:p>
              </w:tc>
              <w:tc>
                <w:tcPr>
                  <w:tcW w:w="805" w:type="pct"/>
                  <w:vAlign w:val="center"/>
                </w:tcPr>
                <w:p w14:paraId="254B32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1DBA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4613E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米107-10MX</w:t>
                  </w:r>
                </w:p>
              </w:tc>
              <w:tc>
                <w:tcPr>
                  <w:tcW w:w="1177" w:type="pct"/>
                  <w:shd w:val="clear" w:color="auto" w:fill="auto"/>
                  <w:vAlign w:val="center"/>
                </w:tcPr>
                <w:p w14:paraId="0D68B3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表土：3017.44</w:t>
                  </w:r>
                </w:p>
              </w:tc>
              <w:tc>
                <w:tcPr>
                  <w:tcW w:w="1169" w:type="pct"/>
                  <w:shd w:val="clear" w:color="auto" w:fill="auto"/>
                  <w:vAlign w:val="center"/>
                </w:tcPr>
                <w:p w14:paraId="3809C0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380F68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1200</w:t>
                  </w:r>
                </w:p>
              </w:tc>
              <w:tc>
                <w:tcPr>
                  <w:tcW w:w="805" w:type="pct"/>
                  <w:vAlign w:val="center"/>
                </w:tcPr>
                <w:p w14:paraId="597E09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430B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68780E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68B5B9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w:t>
                  </w:r>
                  <w:r>
                    <w:rPr>
                      <w:rFonts w:hint="default" w:ascii="Times New Roman" w:hAnsi="Times New Roman" w:eastAsia="宋体" w:cs="Times New Roman"/>
                      <w:b w:val="0"/>
                      <w:bCs w:val="0"/>
                      <w:color w:val="auto"/>
                      <w:sz w:val="21"/>
                      <w:szCs w:val="21"/>
                      <w:vertAlign w:val="baseline"/>
                      <w:lang w:val="en-US" w:eastAsia="zh-CN"/>
                    </w:rPr>
                    <w:t>19144</w:t>
                  </w:r>
                </w:p>
              </w:tc>
              <w:tc>
                <w:tcPr>
                  <w:tcW w:w="1169" w:type="pct"/>
                  <w:shd w:val="clear" w:color="auto" w:fill="auto"/>
                  <w:vAlign w:val="center"/>
                </w:tcPr>
                <w:p w14:paraId="571FDB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36179C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2800</w:t>
                  </w:r>
                </w:p>
              </w:tc>
              <w:tc>
                <w:tcPr>
                  <w:tcW w:w="805" w:type="pct"/>
                  <w:vAlign w:val="center"/>
                </w:tcPr>
                <w:p w14:paraId="04D6E8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1F9F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2BE698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米107-11M</w:t>
                  </w:r>
                </w:p>
              </w:tc>
              <w:tc>
                <w:tcPr>
                  <w:tcW w:w="1177" w:type="pct"/>
                  <w:shd w:val="clear" w:color="auto" w:fill="auto"/>
                  <w:vAlign w:val="center"/>
                </w:tcPr>
                <w:p w14:paraId="20DB21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表土：5219.52</w:t>
                  </w:r>
                </w:p>
              </w:tc>
              <w:tc>
                <w:tcPr>
                  <w:tcW w:w="1169" w:type="pct"/>
                  <w:shd w:val="clear" w:color="auto" w:fill="auto"/>
                  <w:vAlign w:val="center"/>
                </w:tcPr>
                <w:p w14:paraId="24AA92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013BC8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1800</w:t>
                  </w:r>
                </w:p>
              </w:tc>
              <w:tc>
                <w:tcPr>
                  <w:tcW w:w="805" w:type="pct"/>
                  <w:vAlign w:val="center"/>
                </w:tcPr>
                <w:p w14:paraId="453FD6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1571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26A742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14ABC6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w:t>
                  </w:r>
                  <w:r>
                    <w:rPr>
                      <w:rFonts w:hint="default" w:ascii="Times New Roman" w:hAnsi="Times New Roman" w:eastAsia="宋体" w:cs="Times New Roman"/>
                      <w:b w:val="0"/>
                      <w:bCs w:val="0"/>
                      <w:color w:val="auto"/>
                      <w:sz w:val="21"/>
                      <w:szCs w:val="21"/>
                      <w:vertAlign w:val="baseline"/>
                      <w:lang w:val="en-US" w:eastAsia="zh-CN"/>
                    </w:rPr>
                    <w:t>36373</w:t>
                  </w:r>
                </w:p>
              </w:tc>
              <w:tc>
                <w:tcPr>
                  <w:tcW w:w="1169" w:type="pct"/>
                  <w:shd w:val="clear" w:color="auto" w:fill="auto"/>
                  <w:vAlign w:val="center"/>
                </w:tcPr>
                <w:p w14:paraId="2EC93B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1DA1D9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3200</w:t>
                  </w:r>
                </w:p>
              </w:tc>
              <w:tc>
                <w:tcPr>
                  <w:tcW w:w="805" w:type="pct"/>
                  <w:vAlign w:val="center"/>
                </w:tcPr>
                <w:p w14:paraId="601768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5754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2A6B0A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米107-12M</w:t>
                  </w:r>
                </w:p>
              </w:tc>
              <w:tc>
                <w:tcPr>
                  <w:tcW w:w="1177" w:type="pct"/>
                  <w:shd w:val="clear" w:color="auto" w:fill="auto"/>
                  <w:vAlign w:val="center"/>
                </w:tcPr>
                <w:p w14:paraId="023E31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表土：3559.71</w:t>
                  </w:r>
                </w:p>
              </w:tc>
              <w:tc>
                <w:tcPr>
                  <w:tcW w:w="1169" w:type="pct"/>
                  <w:shd w:val="clear" w:color="auto" w:fill="auto"/>
                  <w:vAlign w:val="center"/>
                </w:tcPr>
                <w:p w14:paraId="6F3EFA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79468C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1300</w:t>
                  </w:r>
                </w:p>
              </w:tc>
              <w:tc>
                <w:tcPr>
                  <w:tcW w:w="805" w:type="pct"/>
                  <w:vAlign w:val="center"/>
                </w:tcPr>
                <w:p w14:paraId="155457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299B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48CFB8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29CB82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w:t>
                  </w:r>
                  <w:r>
                    <w:rPr>
                      <w:rFonts w:hint="default" w:ascii="Times New Roman" w:hAnsi="Times New Roman" w:eastAsia="宋体" w:cs="Times New Roman"/>
                      <w:b w:val="0"/>
                      <w:bCs w:val="0"/>
                      <w:color w:val="auto"/>
                      <w:sz w:val="21"/>
                      <w:szCs w:val="21"/>
                      <w:vertAlign w:val="baseline"/>
                      <w:lang w:val="en-US" w:eastAsia="zh-CN"/>
                    </w:rPr>
                    <w:t>32177</w:t>
                  </w:r>
                </w:p>
              </w:tc>
              <w:tc>
                <w:tcPr>
                  <w:tcW w:w="1169" w:type="pct"/>
                  <w:shd w:val="clear" w:color="auto" w:fill="auto"/>
                  <w:vAlign w:val="center"/>
                </w:tcPr>
                <w:p w14:paraId="2907D1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48632E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3200</w:t>
                  </w:r>
                </w:p>
              </w:tc>
              <w:tc>
                <w:tcPr>
                  <w:tcW w:w="805" w:type="pct"/>
                  <w:vAlign w:val="center"/>
                </w:tcPr>
                <w:p w14:paraId="3E64CF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56B8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0517BF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米107-15M</w:t>
                  </w:r>
                </w:p>
              </w:tc>
              <w:tc>
                <w:tcPr>
                  <w:tcW w:w="1177" w:type="pct"/>
                  <w:shd w:val="clear" w:color="auto" w:fill="auto"/>
                  <w:vAlign w:val="center"/>
                </w:tcPr>
                <w:p w14:paraId="075552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表土：4076.01</w:t>
                  </w:r>
                </w:p>
              </w:tc>
              <w:tc>
                <w:tcPr>
                  <w:tcW w:w="1169" w:type="pct"/>
                  <w:shd w:val="clear" w:color="auto" w:fill="auto"/>
                  <w:vAlign w:val="center"/>
                </w:tcPr>
                <w:p w14:paraId="774467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477571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1500</w:t>
                  </w:r>
                </w:p>
              </w:tc>
              <w:tc>
                <w:tcPr>
                  <w:tcW w:w="805" w:type="pct"/>
                  <w:vAlign w:val="center"/>
                </w:tcPr>
                <w:p w14:paraId="45C84B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0C91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42C3DB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31B85E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一般：30773</w:t>
                  </w:r>
                </w:p>
              </w:tc>
              <w:tc>
                <w:tcPr>
                  <w:tcW w:w="1169" w:type="pct"/>
                  <w:shd w:val="clear" w:color="auto" w:fill="auto"/>
                  <w:vAlign w:val="center"/>
                </w:tcPr>
                <w:p w14:paraId="7EBE35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1C9CC5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3200</w:t>
                  </w:r>
                </w:p>
              </w:tc>
              <w:tc>
                <w:tcPr>
                  <w:tcW w:w="805" w:type="pct"/>
                  <w:vAlign w:val="center"/>
                </w:tcPr>
                <w:p w14:paraId="78190E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4A41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005001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米107-34M</w:t>
                  </w:r>
                </w:p>
              </w:tc>
              <w:tc>
                <w:tcPr>
                  <w:tcW w:w="1177" w:type="pct"/>
                  <w:shd w:val="clear" w:color="auto" w:fill="auto"/>
                  <w:vAlign w:val="center"/>
                </w:tcPr>
                <w:p w14:paraId="113A7D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表土：3839.58</w:t>
                  </w:r>
                </w:p>
              </w:tc>
              <w:tc>
                <w:tcPr>
                  <w:tcW w:w="1169" w:type="pct"/>
                  <w:shd w:val="clear" w:color="auto" w:fill="auto"/>
                  <w:vAlign w:val="center"/>
                </w:tcPr>
                <w:p w14:paraId="2D49AA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2C1166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1500</w:t>
                  </w:r>
                </w:p>
              </w:tc>
              <w:tc>
                <w:tcPr>
                  <w:tcW w:w="805" w:type="pct"/>
                  <w:vAlign w:val="center"/>
                </w:tcPr>
                <w:p w14:paraId="4344A7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0A8A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4E4257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22EE39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一般：30638</w:t>
                  </w:r>
                </w:p>
              </w:tc>
              <w:tc>
                <w:tcPr>
                  <w:tcW w:w="1169" w:type="pct"/>
                  <w:shd w:val="clear" w:color="auto" w:fill="auto"/>
                  <w:vAlign w:val="center"/>
                </w:tcPr>
                <w:p w14:paraId="72A92E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4674CA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3200</w:t>
                  </w:r>
                </w:p>
              </w:tc>
              <w:tc>
                <w:tcPr>
                  <w:tcW w:w="805" w:type="pct"/>
                  <w:vAlign w:val="center"/>
                </w:tcPr>
                <w:p w14:paraId="62FBBE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bl>
          <w:p w14:paraId="16CDF2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备注：本项目一般土石方随挖随填，一般土石方堆场能够满足开挖土石方堆存要求。</w:t>
            </w:r>
          </w:p>
          <w:p w14:paraId="0F428C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井场内按照</w:t>
            </w:r>
            <w:r>
              <w:rPr>
                <w:rFonts w:hint="default" w:ascii="Times New Roman" w:hAnsi="Times New Roman" w:eastAsia="宋体" w:cs="Times New Roman"/>
                <w:b w:val="0"/>
                <w:bCs w:val="0"/>
                <w:color w:val="auto"/>
                <w:sz w:val="24"/>
                <w:szCs w:val="24"/>
                <w:vertAlign w:val="baseline"/>
                <w:lang w:val="en-US" w:eastAsia="zh-CN"/>
              </w:rPr>
              <w:t>《钻前工程及井场布置技术要求》（SY/T5466-20</w:t>
            </w:r>
            <w:r>
              <w:rPr>
                <w:rFonts w:hint="eastAsia" w:ascii="Times New Roman" w:hAnsi="Times New Roman" w:eastAsia="宋体" w:cs="Times New Roman"/>
                <w:b w:val="0"/>
                <w:bCs w:val="0"/>
                <w:color w:val="auto"/>
                <w:sz w:val="24"/>
                <w:szCs w:val="24"/>
                <w:vertAlign w:val="baseline"/>
                <w:lang w:val="en-US" w:eastAsia="zh-CN"/>
              </w:rPr>
              <w:t>13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布置设备，</w:t>
            </w:r>
            <w:r>
              <w:rPr>
                <w:rFonts w:hint="default" w:ascii="Times New Roman" w:hAnsi="Times New Roman" w:eastAsia="宋体" w:cs="Times New Roman"/>
                <w:b w:val="0"/>
                <w:bCs w:val="0"/>
                <w:color w:val="auto"/>
                <w:sz w:val="24"/>
                <w:szCs w:val="24"/>
                <w:vertAlign w:val="baseline"/>
                <w:lang w:val="en-US" w:eastAsia="zh-CN"/>
              </w:rPr>
              <w:t>钻井平台、泥浆不落地系统区、泥浆储罐区、污水罐区、储液罐等</w:t>
            </w:r>
            <w:r>
              <w:rPr>
                <w:rFonts w:hint="eastAsia" w:ascii="Times New Roman" w:hAnsi="Times New Roman" w:eastAsia="宋体" w:cs="Times New Roman"/>
                <w:b w:val="0"/>
                <w:bCs w:val="0"/>
                <w:color w:val="auto"/>
                <w:sz w:val="24"/>
                <w:szCs w:val="24"/>
                <w:vertAlign w:val="baseline"/>
                <w:lang w:val="en-US" w:eastAsia="zh-CN"/>
              </w:rPr>
              <w:t>均为地面设施或设备</w:t>
            </w:r>
            <w:r>
              <w:rPr>
                <w:rFonts w:hint="default" w:ascii="Times New Roman" w:hAnsi="Times New Roman" w:eastAsia="宋体" w:cs="Times New Roman"/>
                <w:b w:val="0"/>
                <w:bCs w:val="0"/>
                <w:color w:val="auto"/>
                <w:sz w:val="24"/>
                <w:szCs w:val="24"/>
                <w:vertAlign w:val="baseline"/>
                <w:lang w:val="en-US" w:eastAsia="zh-CN"/>
              </w:rPr>
              <w:t>。井场内其他构筑物采用活动板房结构，设置均为撬装，生活区设置移动式环保厕所和垃圾收集</w:t>
            </w:r>
            <w:r>
              <w:rPr>
                <w:rFonts w:hint="eastAsia" w:ascii="Times New Roman" w:hAnsi="Times New Roman" w:eastAsia="宋体" w:cs="Times New Roman"/>
                <w:b w:val="0"/>
                <w:bCs w:val="0"/>
                <w:color w:val="auto"/>
                <w:sz w:val="24"/>
                <w:szCs w:val="24"/>
                <w:vertAlign w:val="baseline"/>
                <w:lang w:val="en-US" w:eastAsia="zh-CN"/>
              </w:rPr>
              <w:t>桶</w:t>
            </w:r>
            <w:r>
              <w:rPr>
                <w:rFonts w:hint="default" w:ascii="Times New Roman" w:hAnsi="Times New Roman" w:eastAsia="宋体" w:cs="Times New Roman"/>
                <w:b w:val="0"/>
                <w:bCs w:val="0"/>
                <w:color w:val="auto"/>
                <w:sz w:val="24"/>
                <w:szCs w:val="24"/>
                <w:vertAlign w:val="baseline"/>
                <w:lang w:val="en-US" w:eastAsia="zh-CN"/>
              </w:rPr>
              <w:t>。</w:t>
            </w:r>
          </w:p>
        </w:tc>
      </w:tr>
      <w:tr w14:paraId="255A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dxa"/>
            <w:vAlign w:val="center"/>
          </w:tcPr>
          <w:p w14:paraId="337D9C3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施工方案</w:t>
            </w:r>
          </w:p>
        </w:tc>
        <w:tc>
          <w:tcPr>
            <w:tcW w:w="8616" w:type="dxa"/>
            <w:vAlign w:val="center"/>
          </w:tcPr>
          <w:p w14:paraId="668E19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本次评价仅涉及天然气井的勘探过程，不涉及天然气的开采和集输。</w:t>
            </w:r>
          </w:p>
          <w:p w14:paraId="50D1B1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1、钻井工程及产污特点</w:t>
            </w:r>
          </w:p>
          <w:p w14:paraId="04CDE777">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项目建设内容包括钻前工程、钻井、试井、完井封井。</w:t>
            </w:r>
          </w:p>
          <w:p w14:paraId="3E91A922">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包括井场平整、设备基础、活动房搭建等；钻井工程包括设备安装、钻井、完井三部分；试井包括试井设备安装及试井两部分；完井测试结果若表明勘探井有工业开采的价值，拆除与采气无关的设备，剩余临时占地恢复为原有地貌、进行完井搬迁。若完井测试后勘探井不产天然气或所产天然气不具有工业开采价值，则用水泥封井后搬迁，将放弃的井场临时占地恢复为原有地貌。</w:t>
            </w:r>
          </w:p>
          <w:p w14:paraId="522AE648">
            <w:pPr>
              <w:spacing w:line="360" w:lineRule="auto"/>
              <w:ind w:firstLine="48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4"/>
                <w:szCs w:val="24"/>
                <w:lang w:eastAsia="zh-CN"/>
              </w:rPr>
              <w:t>项目主要流程及产污环节见图2-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p>
          <w:p w14:paraId="352E80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4506595" cy="5082540"/>
                  <wp:effectExtent l="0" t="0" r="8255" b="3810"/>
                  <wp:docPr id="12" name="图片 12" descr="174703331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7033310194"/>
                          <pic:cNvPicPr>
                            <a:picLocks noChangeAspect="1"/>
                          </pic:cNvPicPr>
                        </pic:nvPicPr>
                        <pic:blipFill>
                          <a:blip r:embed="rId12"/>
                          <a:stretch>
                            <a:fillRect/>
                          </a:stretch>
                        </pic:blipFill>
                        <pic:spPr>
                          <a:xfrm>
                            <a:off x="0" y="0"/>
                            <a:ext cx="4506595" cy="5082540"/>
                          </a:xfrm>
                          <a:prstGeom prst="rect">
                            <a:avLst/>
                          </a:prstGeom>
                        </pic:spPr>
                      </pic:pic>
                    </a:graphicData>
                  </a:graphic>
                </wp:inline>
              </w:drawing>
            </w:r>
          </w:p>
          <w:p w14:paraId="738633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项目主要工艺流程及产污环节图</w:t>
            </w:r>
          </w:p>
          <w:p w14:paraId="0AE904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2、施工工艺过程</w:t>
            </w:r>
          </w:p>
          <w:p w14:paraId="7D1DCFED">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钻前工程满足钻井作业要求时，各类作业车辆将各类设备逐步运至井场进行安装，通过检查满足钻井要求时开始进行钻井作业。</w:t>
            </w:r>
          </w:p>
          <w:p w14:paraId="6AE03302">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作业均包括钻进、钻进辅助作业、固井、完井测试等过程。钻井过程中均使用水基泥浆体系。钻进由起下钻、接单根、钻进等作业组成；钻进辅助作业由电测井、取心钻进、综合录井、中途测试等作业组成；固井由下套管和水泥固井两个过程组成。</w:t>
            </w:r>
          </w:p>
          <w:p w14:paraId="15EB7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①钻井</w:t>
            </w:r>
          </w:p>
          <w:p w14:paraId="45070A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钻前工程完成后，进入钻井工程。项目钻井采用直井钻探，预计勘探</w:t>
            </w:r>
            <w:r>
              <w:rPr>
                <w:rFonts w:hint="eastAsia" w:ascii="Times New Roman" w:hAnsi="Times New Roman" w:eastAsia="宋体" w:cs="Times New Roman"/>
                <w:b w:val="0"/>
                <w:bCs w:val="0"/>
                <w:color w:val="auto"/>
                <w:sz w:val="24"/>
                <w:szCs w:val="24"/>
                <w:highlight w:val="none"/>
                <w:vertAlign w:val="baseline"/>
                <w:lang w:val="en-US" w:eastAsia="zh-CN"/>
              </w:rPr>
              <w:t>深度在2700~3000m之间</w:t>
            </w:r>
            <w:r>
              <w:rPr>
                <w:rFonts w:hint="default" w:ascii="Times New Roman" w:hAnsi="Times New Roman" w:eastAsia="宋体" w:cs="Times New Roman"/>
                <w:b w:val="0"/>
                <w:bCs w:val="0"/>
                <w:color w:val="auto"/>
                <w:sz w:val="24"/>
                <w:szCs w:val="24"/>
                <w:highlight w:val="none"/>
                <w:vertAlign w:val="baseline"/>
                <w:lang w:val="en-US" w:eastAsia="zh-CN"/>
              </w:rPr>
              <w:t>。钻井工程分为一开和二开钻井工程。一开包括下标称套管6</w:t>
            </w:r>
            <w:r>
              <w:rPr>
                <w:rFonts w:hint="eastAsia" w:ascii="Times New Roman" w:hAnsi="Times New Roman" w:eastAsia="宋体" w:cs="Times New Roman"/>
                <w:b w:val="0"/>
                <w:bCs w:val="0"/>
                <w:color w:val="auto"/>
                <w:sz w:val="24"/>
                <w:szCs w:val="24"/>
                <w:highlight w:val="none"/>
                <w:vertAlign w:val="baseline"/>
                <w:lang w:val="en-US" w:eastAsia="zh-CN"/>
              </w:rPr>
              <w:t>0</w:t>
            </w:r>
            <w:r>
              <w:rPr>
                <w:rFonts w:hint="default" w:ascii="Times New Roman" w:hAnsi="Times New Roman" w:eastAsia="宋体" w:cs="Times New Roman"/>
                <w:b w:val="0"/>
                <w:bCs w:val="0"/>
                <w:color w:val="auto"/>
                <w:sz w:val="24"/>
                <w:szCs w:val="24"/>
                <w:highlight w:val="none"/>
                <w:vertAlign w:val="baseline"/>
                <w:lang w:val="en-US" w:eastAsia="zh-CN"/>
              </w:rPr>
              <w:t>0m，固表层套管，套管口径273.1mm，此阶段采用清水泥浆（泥浆配方：清水+0.2-0.3%Na</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CO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+6-7%）迅速钻井，在套管的保护下能有效的保护浅层地下水；二开包括下气层套管、固气层套管，为生产、后期改造做好准备。二开</w:t>
            </w:r>
            <w:r>
              <w:rPr>
                <w:rFonts w:hint="default" w:ascii="Times New Roman" w:hAnsi="Times New Roman" w:eastAsia="宋体" w:cs="Times New Roman"/>
                <w:b w:val="0"/>
                <w:bCs w:val="0"/>
                <w:color w:val="auto"/>
                <w:sz w:val="24"/>
                <w:szCs w:val="24"/>
                <w:vertAlign w:val="baseline"/>
                <w:lang w:val="en-US" w:eastAsia="zh-CN"/>
              </w:rPr>
              <w:t>口径</w:t>
            </w:r>
            <w:r>
              <w:rPr>
                <w:rFonts w:hint="eastAsia" w:ascii="Times New Roman" w:hAnsi="Times New Roman" w:eastAsia="宋体" w:cs="Times New Roman"/>
                <w:b w:val="0"/>
                <w:bCs w:val="0"/>
                <w:color w:val="auto"/>
                <w:sz w:val="24"/>
                <w:szCs w:val="24"/>
                <w:vertAlign w:val="baseline"/>
                <w:lang w:val="en-US" w:eastAsia="zh-CN"/>
              </w:rPr>
              <w:t>219.1</w:t>
            </w:r>
            <w:r>
              <w:rPr>
                <w:rFonts w:hint="default" w:ascii="Times New Roman" w:hAnsi="Times New Roman" w:eastAsia="宋体" w:cs="Times New Roman"/>
                <w:b w:val="0"/>
                <w:bCs w:val="0"/>
                <w:color w:val="auto"/>
                <w:sz w:val="24"/>
                <w:szCs w:val="24"/>
                <w:vertAlign w:val="baseline"/>
                <w:lang w:val="en-US" w:eastAsia="zh-CN"/>
              </w:rPr>
              <w:t>mm。主要的工序简述如下：</w:t>
            </w:r>
          </w:p>
          <w:p w14:paraId="48483D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即钻头破碎岩石并通过钻井液带出岩屑并形成井筒的过程。钻井作业时，依靠钻机动力带动钻杆和钻头旋转，钻头逐次向下破碎岩层，同时通过空心钻杆向地下注入钻井液，将破碎岩屑通过循环钻井液带到地面形成返排液。地面设置泥浆循环系统将返排液中的岩屑清除后，将钻井液再次打入井内循环使用。</w:t>
            </w:r>
          </w:p>
          <w:p w14:paraId="51181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循环系统是钻井工程的核心部分，主要包括钻井液振动筛、真空除气器、除砂器、除泥器、搅拌器、泵及泥浆罐等设备。将返排液通过泥浆管输入振动筛进行固液分离，将泥浆中粒径大于0.1mm的固相物质留于筛上，振动筛筛下的液相进入循环罐暂存，再依次通过除砂器、除泥器分离出粒径大于0.01mm的固相物质后，用于钻井作业和后续的配浆作业。</w:t>
            </w:r>
          </w:p>
          <w:p w14:paraId="62C76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施工结束后无法回用的废弃泥浆通过压滤机处理后，上清液暂存于钻井废水储存罐，完井后由罐车</w:t>
            </w:r>
            <w:r>
              <w:rPr>
                <w:rFonts w:hint="default" w:ascii="Times New Roman" w:hAnsi="Times New Roman" w:eastAsia="宋体" w:cs="Times New Roman"/>
                <w:b w:val="0"/>
                <w:bCs w:val="0"/>
                <w:color w:val="auto"/>
                <w:sz w:val="24"/>
                <w:szCs w:val="24"/>
                <w:highlight w:val="none"/>
                <w:vertAlign w:val="baseline"/>
                <w:lang w:val="en-US" w:eastAsia="zh-CN"/>
              </w:rPr>
              <w:t>送有</w:t>
            </w:r>
            <w:r>
              <w:rPr>
                <w:rFonts w:hint="eastAsia" w:ascii="Times New Roman" w:hAnsi="Times New Roman" w:eastAsia="宋体" w:cs="Times New Roman"/>
                <w:b w:val="0"/>
                <w:bCs w:val="0"/>
                <w:color w:val="auto"/>
                <w:sz w:val="24"/>
                <w:szCs w:val="24"/>
                <w:highlight w:val="none"/>
                <w:vertAlign w:val="baseline"/>
                <w:lang w:val="en-US" w:eastAsia="zh-CN"/>
              </w:rPr>
              <w:t>能力</w:t>
            </w:r>
            <w:r>
              <w:rPr>
                <w:rFonts w:hint="default" w:ascii="Times New Roman" w:hAnsi="Times New Roman" w:eastAsia="宋体" w:cs="Times New Roman"/>
                <w:b w:val="0"/>
                <w:bCs w:val="0"/>
                <w:color w:val="auto"/>
                <w:sz w:val="24"/>
                <w:szCs w:val="24"/>
                <w:highlight w:val="none"/>
                <w:vertAlign w:val="baseline"/>
                <w:lang w:val="en-US" w:eastAsia="zh-CN"/>
              </w:rPr>
              <w:t>单位处置</w:t>
            </w:r>
            <w:r>
              <w:rPr>
                <w:rFonts w:hint="default" w:ascii="Times New Roman" w:hAnsi="Times New Roman" w:eastAsia="宋体" w:cs="Times New Roman"/>
                <w:b w:val="0"/>
                <w:bCs w:val="0"/>
                <w:color w:val="auto"/>
                <w:sz w:val="24"/>
                <w:szCs w:val="24"/>
                <w:vertAlign w:val="baseline"/>
                <w:lang w:val="en-US" w:eastAsia="zh-CN"/>
              </w:rPr>
              <w:t>；压滤后的泥饼暂存于固渣储存罐中；振动筛、除砂器、除泥器、离心机分离出的固相物质即岩屑，暂存于固渣储存罐中，施工结束后委托</w:t>
            </w:r>
            <w:r>
              <w:rPr>
                <w:rFonts w:hint="default" w:ascii="Times New Roman" w:hAnsi="Times New Roman" w:eastAsia="宋体" w:cs="Times New Roman"/>
                <w:b w:val="0"/>
                <w:bCs w:val="0"/>
                <w:color w:val="auto"/>
                <w:sz w:val="24"/>
                <w:szCs w:val="24"/>
                <w:highlight w:val="none"/>
                <w:vertAlign w:val="baseline"/>
                <w:lang w:val="en-US" w:eastAsia="zh-CN"/>
              </w:rPr>
              <w:t>送有</w:t>
            </w:r>
            <w:r>
              <w:rPr>
                <w:rFonts w:hint="eastAsia" w:ascii="Times New Roman" w:hAnsi="Times New Roman" w:eastAsia="宋体" w:cs="Times New Roman"/>
                <w:b w:val="0"/>
                <w:bCs w:val="0"/>
                <w:color w:val="auto"/>
                <w:sz w:val="24"/>
                <w:szCs w:val="24"/>
                <w:highlight w:val="none"/>
                <w:vertAlign w:val="baseline"/>
                <w:lang w:val="en-US" w:eastAsia="zh-CN"/>
              </w:rPr>
              <w:t>能力</w:t>
            </w:r>
            <w:r>
              <w:rPr>
                <w:rFonts w:hint="default" w:ascii="Times New Roman" w:hAnsi="Times New Roman" w:eastAsia="宋体" w:cs="Times New Roman"/>
                <w:b w:val="0"/>
                <w:bCs w:val="0"/>
                <w:color w:val="auto"/>
                <w:sz w:val="24"/>
                <w:szCs w:val="24"/>
                <w:highlight w:val="none"/>
                <w:vertAlign w:val="baseline"/>
                <w:lang w:val="en-US" w:eastAsia="zh-CN"/>
              </w:rPr>
              <w:t>单位处置。</w:t>
            </w:r>
          </w:p>
          <w:p w14:paraId="7E2FD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②录井、测井</w:t>
            </w:r>
          </w:p>
          <w:p w14:paraId="535467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录井：按设计要求进行地质录井、钻时录井、岩屑录井、岩心录井、钻井液录井等。</w:t>
            </w:r>
          </w:p>
          <w:p w14:paraId="599F2A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井：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23AFB8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③固井</w:t>
            </w:r>
          </w:p>
          <w:p w14:paraId="79123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固井是钻井达到预定深度后，下入套管并注入水泥浆，封固套管和井壁之间环形空间的作业。固井的主要目的是封隔疏松的易塌易漏地层，封隔油、气、水层，防止互相串漏，以保证安全继续钻进下一段井眼的工艺过程。固井水泥的返高也是封隔井筒与地下水的主要措施，本项目导管和一开固井水泥均返高至地面，可以多层防护与隔绝井内流体与含水层之间的联系。</w:t>
            </w:r>
          </w:p>
          <w:p w14:paraId="1C4AA0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④取芯工艺</w:t>
            </w:r>
          </w:p>
          <w:p w14:paraId="04B5C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天然气埋藏在地下有孔隙裂缝的岩石中。为</w:t>
            </w:r>
            <w:r>
              <w:rPr>
                <w:rFonts w:hint="eastAsia" w:ascii="Times New Roman" w:hAnsi="Times New Roman" w:eastAsia="宋体" w:cs="Times New Roman"/>
                <w:b w:val="0"/>
                <w:bCs w:val="0"/>
                <w:color w:val="auto"/>
                <w:sz w:val="24"/>
                <w:szCs w:val="24"/>
                <w:vertAlign w:val="baseline"/>
                <w:lang w:val="en-US" w:eastAsia="zh-CN"/>
              </w:rPr>
              <w:t>了</w:t>
            </w:r>
            <w:r>
              <w:rPr>
                <w:rFonts w:hint="default" w:ascii="Times New Roman" w:hAnsi="Times New Roman" w:eastAsia="宋体" w:cs="Times New Roman"/>
                <w:b w:val="0"/>
                <w:bCs w:val="0"/>
                <w:color w:val="auto"/>
                <w:sz w:val="24"/>
                <w:szCs w:val="24"/>
                <w:vertAlign w:val="baseline"/>
                <w:lang w:val="en-US" w:eastAsia="zh-CN"/>
              </w:rPr>
              <w:t>了解地层中油气的真实面貌本项目采取常规钻并进行钻井取芯。</w:t>
            </w:r>
          </w:p>
          <w:p w14:paraId="7DF32F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取芯时，要在下入井内钻柱的最下端，接上一套特制的取工具，取态钻头在垂直载荷和扭矩的联合作用下，对并底的岩石进行环形破碎，中间保留圆柱状岩芯进入岩芯筒。当钻进取芯到一定长度后，采用与工具相匹配的方法和措施，将钻头端部的岩芯割断后起钻，取工具与钻具一起提出地面，即可取出岩芯筒内的岩芯。钻并取芯可以充分满足地质家对岩芯进行多种项目的化验和测试，是对获取地下储层岩性、物性和储层评价有重要意义的手段。</w:t>
            </w:r>
          </w:p>
          <w:p w14:paraId="0ED79E7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5321300" cy="2965450"/>
                  <wp:effectExtent l="0" t="0" r="12700" b="6350"/>
                  <wp:docPr id="3" name="图片 3" descr="171939110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391105229"/>
                          <pic:cNvPicPr>
                            <a:picLocks noChangeAspect="1"/>
                          </pic:cNvPicPr>
                        </pic:nvPicPr>
                        <pic:blipFill>
                          <a:blip r:embed="rId13"/>
                          <a:stretch>
                            <a:fillRect/>
                          </a:stretch>
                        </pic:blipFill>
                        <pic:spPr>
                          <a:xfrm>
                            <a:off x="0" y="0"/>
                            <a:ext cx="5321300" cy="2965450"/>
                          </a:xfrm>
                          <a:prstGeom prst="rect">
                            <a:avLst/>
                          </a:prstGeom>
                        </pic:spPr>
                      </pic:pic>
                    </a:graphicData>
                  </a:graphic>
                </wp:inline>
              </w:drawing>
            </w:r>
          </w:p>
          <w:p w14:paraId="57E638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图2-5 一开、二开井口示意图</w:t>
            </w:r>
          </w:p>
          <w:p w14:paraId="7907C3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3</w:t>
            </w:r>
            <w:r>
              <w:rPr>
                <w:rFonts w:hint="default" w:ascii="Times New Roman" w:hAnsi="Times New Roman" w:eastAsia="宋体" w:cs="Times New Roman"/>
                <w:b w:val="0"/>
                <w:bCs w:val="0"/>
                <w:color w:val="auto"/>
                <w:sz w:val="24"/>
                <w:szCs w:val="24"/>
                <w:vertAlign w:val="baseline"/>
                <w:lang w:val="en-US" w:eastAsia="zh-CN"/>
              </w:rPr>
              <w:t>）完井测试</w:t>
            </w:r>
          </w:p>
          <w:p w14:paraId="125F81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0B38FF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①</w:t>
            </w:r>
            <w:r>
              <w:rPr>
                <w:rFonts w:hint="default" w:ascii="Times New Roman" w:hAnsi="Times New Roman" w:eastAsia="宋体" w:cs="Times New Roman"/>
                <w:b w:val="0"/>
                <w:bCs w:val="0"/>
                <w:color w:val="auto"/>
                <w:sz w:val="24"/>
                <w:szCs w:val="24"/>
                <w:vertAlign w:val="baseline"/>
                <w:lang w:val="en-US" w:eastAsia="zh-CN"/>
              </w:rPr>
              <w:t>洗井</w:t>
            </w:r>
          </w:p>
          <w:p w14:paraId="7680CD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项目完钻后开展洗井作业，采用清水清洗套管。洗井废水从井口返排进入专用收集罐中，</w:t>
            </w:r>
            <w:r>
              <w:rPr>
                <w:rFonts w:hint="eastAsia" w:ascii="Times New Roman" w:hAnsi="Times New Roman" w:eastAsia="宋体" w:cs="Times New Roman"/>
                <w:b w:val="0"/>
                <w:bCs w:val="0"/>
                <w:color w:val="auto"/>
                <w:sz w:val="24"/>
                <w:szCs w:val="24"/>
                <w:vertAlign w:val="baseline"/>
                <w:lang w:val="en-US" w:eastAsia="zh-CN"/>
              </w:rPr>
              <w:t>洗井废水循环使用，剩余未利用部分委托</w:t>
            </w:r>
            <w:r>
              <w:rPr>
                <w:rFonts w:hint="default" w:ascii="Times New Roman" w:hAnsi="Times New Roman" w:eastAsia="宋体" w:cs="Times New Roman"/>
                <w:b w:val="0"/>
                <w:bCs w:val="0"/>
                <w:color w:val="auto"/>
                <w:sz w:val="24"/>
                <w:szCs w:val="24"/>
                <w:vertAlign w:val="baseline"/>
                <w:lang w:val="en-US" w:eastAsia="zh-CN"/>
              </w:rPr>
              <w:t>陕西</w:t>
            </w:r>
            <w:r>
              <w:rPr>
                <w:rFonts w:hint="eastAsia" w:ascii="Times New Roman" w:hAnsi="Times New Roman" w:eastAsia="宋体" w:cs="Times New Roman"/>
                <w:b w:val="0"/>
                <w:bCs w:val="0"/>
                <w:color w:val="auto"/>
                <w:sz w:val="24"/>
                <w:szCs w:val="24"/>
                <w:vertAlign w:val="baseline"/>
                <w:lang w:val="en-US" w:eastAsia="zh-CN"/>
              </w:rPr>
              <w:t>榆佳环保科技有限公司外运处理。</w:t>
            </w:r>
          </w:p>
          <w:p w14:paraId="1DB359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②</w:t>
            </w:r>
            <w:r>
              <w:rPr>
                <w:rFonts w:hint="default" w:ascii="Times New Roman" w:hAnsi="Times New Roman" w:eastAsia="宋体" w:cs="Times New Roman"/>
                <w:b w:val="0"/>
                <w:bCs w:val="0"/>
                <w:color w:val="auto"/>
                <w:sz w:val="24"/>
                <w:szCs w:val="24"/>
                <w:vertAlign w:val="baseline"/>
                <w:lang w:val="en-US" w:eastAsia="zh-CN"/>
              </w:rPr>
              <w:t>射孔</w:t>
            </w:r>
          </w:p>
          <w:p w14:paraId="720C2D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本项目采用射孔完井方式。射孔完井是指下入</w:t>
            </w:r>
            <w:r>
              <w:rPr>
                <w:rFonts w:hint="eastAsia" w:ascii="Times New Roman" w:hAnsi="Times New Roman" w:eastAsia="宋体" w:cs="Times New Roman"/>
                <w:b w:val="0"/>
                <w:bCs w:val="0"/>
                <w:color w:val="auto"/>
                <w:sz w:val="24"/>
                <w:szCs w:val="24"/>
                <w:vertAlign w:val="baseline"/>
                <w:lang w:val="en-US" w:eastAsia="zh-CN"/>
              </w:rPr>
              <w:t>气</w:t>
            </w:r>
            <w:r>
              <w:rPr>
                <w:rFonts w:hint="default" w:ascii="Times New Roman" w:hAnsi="Times New Roman" w:eastAsia="宋体" w:cs="Times New Roman"/>
                <w:b w:val="0"/>
                <w:bCs w:val="0"/>
                <w:color w:val="auto"/>
                <w:sz w:val="24"/>
                <w:szCs w:val="24"/>
                <w:vertAlign w:val="baseline"/>
                <w:lang w:val="en-US" w:eastAsia="zh-CN"/>
              </w:rPr>
              <w:t>层套管封固产层后再用电缆射孔将套管、水泥环、部分产层射穿，形成气流通道。射穿产层后</w:t>
            </w:r>
            <w:r>
              <w:rPr>
                <w:rFonts w:hint="eastAsia" w:ascii="Times New Roman" w:hAnsi="Times New Roman" w:eastAsia="宋体" w:cs="Times New Roman"/>
                <w:b w:val="0"/>
                <w:bCs w:val="0"/>
                <w:color w:val="auto"/>
                <w:sz w:val="24"/>
                <w:szCs w:val="24"/>
                <w:vertAlign w:val="baseline"/>
                <w:lang w:val="en-US" w:eastAsia="zh-CN"/>
              </w:rPr>
              <w:t>气</w:t>
            </w:r>
            <w:r>
              <w:rPr>
                <w:rFonts w:hint="default" w:ascii="Times New Roman" w:hAnsi="Times New Roman" w:eastAsia="宋体" w:cs="Times New Roman"/>
                <w:b w:val="0"/>
                <w:bCs w:val="0"/>
                <w:color w:val="auto"/>
                <w:sz w:val="24"/>
                <w:szCs w:val="24"/>
                <w:vertAlign w:val="baseline"/>
                <w:lang w:val="en-US" w:eastAsia="zh-CN"/>
              </w:rPr>
              <w:t>井的生产能力受产层压力、产层性质、射孔参数及质量影响。根据建设单位以往经验，项目单井射孔一般需要射孔液36m³。射孔液主要成分为无机盐类（KCl、NaCl）水溶液加适量粘土稳定剂。</w:t>
            </w:r>
          </w:p>
          <w:p w14:paraId="77F85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③</w:t>
            </w:r>
            <w:r>
              <w:rPr>
                <w:rFonts w:hint="default" w:ascii="Times New Roman" w:hAnsi="Times New Roman" w:eastAsia="宋体" w:cs="Times New Roman"/>
                <w:b w:val="0"/>
                <w:bCs w:val="0"/>
                <w:color w:val="auto"/>
                <w:sz w:val="24"/>
                <w:szCs w:val="24"/>
                <w:vertAlign w:val="baseline"/>
                <w:lang w:val="en-US" w:eastAsia="zh-CN"/>
              </w:rPr>
              <w:t>压裂</w:t>
            </w:r>
          </w:p>
          <w:p w14:paraId="441C7B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射孔后，为提高产层的渗透能力将实施压裂作业。利用地面高压泵，将高黏液体以大大超过地层吸收能力的排量注入井中，随即在井底附近产生高压，当压力超过井壁附近地应力和岩石抗张强度后，在地层中形成裂缝，继续将带有支撑剂（石英砂或陶粒）的压裂液注入裂缝中。停泵后，压裂液返排至地面，支撑剂则留在地层中，形成填砂（或陶粒）裂缝带以提高</w:t>
            </w:r>
            <w:r>
              <w:rPr>
                <w:rFonts w:hint="eastAsia" w:ascii="Times New Roman" w:hAnsi="Times New Roman" w:eastAsia="宋体" w:cs="Times New Roman"/>
                <w:b w:val="0"/>
                <w:bCs w:val="0"/>
                <w:color w:val="auto"/>
                <w:sz w:val="24"/>
                <w:szCs w:val="24"/>
                <w:vertAlign w:val="baseline"/>
                <w:lang w:val="en-US" w:eastAsia="zh-CN"/>
              </w:rPr>
              <w:t>气层</w:t>
            </w:r>
            <w:r>
              <w:rPr>
                <w:rFonts w:hint="default" w:ascii="Times New Roman" w:hAnsi="Times New Roman" w:eastAsia="宋体" w:cs="Times New Roman"/>
                <w:b w:val="0"/>
                <w:bCs w:val="0"/>
                <w:color w:val="auto"/>
                <w:sz w:val="24"/>
                <w:szCs w:val="24"/>
                <w:vertAlign w:val="baseline"/>
                <w:lang w:val="en-US" w:eastAsia="zh-CN"/>
              </w:rPr>
              <w:t>渗透性，从而达到增产的目的。</w:t>
            </w:r>
          </w:p>
          <w:p w14:paraId="689A92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压裂后需要关井一段时间，使缝闭合施工造成的力波在地层中有逐步扩散，液体逐渐水化。压裂放喷一般分为两个阶段。第一阶段：压裂后，由于地层弹性能量较足，使用</w:t>
            </w:r>
            <w:r>
              <w:rPr>
                <w:rFonts w:hint="eastAsia" w:ascii="Times New Roman" w:hAnsi="Times New Roman" w:eastAsia="宋体" w:cs="Times New Roman"/>
                <w:b w:val="0"/>
                <w:bCs w:val="0"/>
                <w:color w:val="auto"/>
                <w:sz w:val="24"/>
                <w:szCs w:val="24"/>
                <w:vertAlign w:val="baseline"/>
                <w:lang w:val="en-US" w:eastAsia="zh-CN"/>
              </w:rPr>
              <w:t>气嘴</w:t>
            </w:r>
            <w:r>
              <w:rPr>
                <w:rFonts w:hint="default" w:ascii="Times New Roman" w:hAnsi="Times New Roman" w:eastAsia="宋体" w:cs="Times New Roman"/>
                <w:b w:val="0"/>
                <w:bCs w:val="0"/>
                <w:color w:val="auto"/>
                <w:sz w:val="24"/>
                <w:szCs w:val="24"/>
                <w:vertAlign w:val="baseline"/>
                <w:lang w:val="en-US" w:eastAsia="zh-CN"/>
              </w:rPr>
              <w:t>控制排量。总体要求尽可能多的排除压裂液，同时准确计量出液量。第二阶段：压裂后第一次放喷连续2~3小时不出液后，即可以关井，等压力恢复后再放喷。</w:t>
            </w:r>
          </w:p>
          <w:p w14:paraId="1EA29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）试气</w:t>
            </w:r>
          </w:p>
          <w:p w14:paraId="5A5A06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为了解气井的产气量，在完井及压裂后，需进行测试放喷。测试放喷是在固井、压裂作业后，利用测试放喷专用管线将井内天然气引至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点火燃烧对天然气产量进行测试的过程，放喷前需接一条可测试流量的专用管线。依据测试气量，采用间歇性放喷，每次放喷时间约4～6h，废气排放属不连续排放。</w:t>
            </w:r>
          </w:p>
          <w:p w14:paraId="04B92D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）完井搬迁</w:t>
            </w:r>
          </w:p>
          <w:p w14:paraId="7B4ED3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本项目主要进行预探井的勘探开发，通过完井后</w:t>
            </w:r>
            <w:r>
              <w:rPr>
                <w:rFonts w:hint="eastAsia" w:ascii="Times New Roman" w:hAnsi="Times New Roman" w:eastAsia="宋体" w:cs="Times New Roman"/>
                <w:b w:val="0"/>
                <w:bCs w:val="0"/>
                <w:color w:val="auto"/>
                <w:sz w:val="24"/>
                <w:szCs w:val="24"/>
                <w:vertAlign w:val="baseline"/>
                <w:lang w:val="en-US" w:eastAsia="zh-CN"/>
              </w:rPr>
              <w:t>试气</w:t>
            </w:r>
            <w:r>
              <w:rPr>
                <w:rFonts w:hint="default" w:ascii="Times New Roman" w:hAnsi="Times New Roman" w:eastAsia="宋体" w:cs="Times New Roman"/>
                <w:b w:val="0"/>
                <w:bCs w:val="0"/>
                <w:color w:val="auto"/>
                <w:sz w:val="24"/>
                <w:szCs w:val="24"/>
                <w:vertAlign w:val="baseline"/>
                <w:lang w:val="en-US" w:eastAsia="zh-CN"/>
              </w:rPr>
              <w:t>测试评价情况，若完井或良好产量则临时封井后完善永久征地手续</w:t>
            </w:r>
            <w:r>
              <w:rPr>
                <w:rFonts w:hint="eastAsia" w:ascii="Times New Roman" w:hAnsi="Times New Roman" w:eastAsia="宋体" w:cs="Times New Roman"/>
                <w:b w:val="0"/>
                <w:bCs w:val="0"/>
                <w:color w:val="auto"/>
                <w:sz w:val="24"/>
                <w:szCs w:val="24"/>
                <w:vertAlign w:val="baseline"/>
                <w:lang w:val="en-US" w:eastAsia="zh-CN"/>
              </w:rPr>
              <w:t>并转为生产井（需另行办理相应的环评手续）</w:t>
            </w:r>
            <w:r>
              <w:rPr>
                <w:rFonts w:hint="default" w:ascii="Times New Roman" w:hAnsi="Times New Roman" w:eastAsia="宋体" w:cs="Times New Roman"/>
                <w:b w:val="0"/>
                <w:bCs w:val="0"/>
                <w:color w:val="auto"/>
                <w:sz w:val="24"/>
                <w:szCs w:val="24"/>
                <w:vertAlign w:val="baseline"/>
                <w:lang w:val="en-US" w:eastAsia="zh-CN"/>
              </w:rPr>
              <w:t>，若未获得可利用的资源则永久封井处理（无永久占地，临时占地恢复原貌）。</w:t>
            </w:r>
          </w:p>
          <w:p w14:paraId="4870D6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①临时封井：</w:t>
            </w:r>
            <w:r>
              <w:rPr>
                <w:rFonts w:hint="default" w:ascii="Times New Roman" w:hAnsi="Times New Roman" w:eastAsia="宋体" w:cs="Times New Roman"/>
                <w:color w:val="auto"/>
                <w:sz w:val="24"/>
                <w:szCs w:val="24"/>
              </w:rPr>
              <w:t>在试气获得相关参数后，临时封井时按行业规范进行封井作业，对钻井设备、基础进行拆除、搬迁，在井下50-100m注入水泥形成水泥塞，水泥塞试压合格后完成临时封井。在井口位置设标记，注明该井的启用与封闭时间及使用 单位等，在封井结束后清理探井场地，然后对场地的植被予以恢复。</w:t>
            </w:r>
          </w:p>
          <w:p w14:paraId="20CB2E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②永久封井：</w:t>
            </w:r>
            <w:r>
              <w:rPr>
                <w:rFonts w:hint="default" w:ascii="Times New Roman" w:hAnsi="Times New Roman" w:eastAsia="宋体" w:cs="Times New Roman"/>
                <w:color w:val="auto"/>
                <w:sz w:val="24"/>
                <w:szCs w:val="24"/>
              </w:rPr>
              <w:t>首先，利用钻井过程中套管及套管壁用水泥固封防止天然气窜入地层，同时在射孔段的上部注水泥形成水泥塞面封隔气层；其次，回填并做碉堡（边2m、高2.2m的三角形）和标识，设置醒目的警示标志。永久封井后应保证该井眼无遗留风险。</w:t>
            </w:r>
          </w:p>
          <w:p w14:paraId="462A4216">
            <w:pPr>
              <w:spacing w:line="360" w:lineRule="auto"/>
              <w:ind w:firstLine="480" w:firstLineChars="20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drawing>
                <wp:inline distT="0" distB="0" distL="114300" distR="114300">
                  <wp:extent cx="4505325" cy="3524250"/>
                  <wp:effectExtent l="0" t="0" r="9525" b="0"/>
                  <wp:docPr id="11" name="图片 11" descr="174761899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7618992194"/>
                          <pic:cNvPicPr>
                            <a:picLocks noChangeAspect="1"/>
                          </pic:cNvPicPr>
                        </pic:nvPicPr>
                        <pic:blipFill>
                          <a:blip r:embed="rId14"/>
                          <a:stretch>
                            <a:fillRect/>
                          </a:stretch>
                        </pic:blipFill>
                        <pic:spPr>
                          <a:xfrm>
                            <a:off x="0" y="0"/>
                            <a:ext cx="4505325" cy="3524250"/>
                          </a:xfrm>
                          <a:prstGeom prst="rect">
                            <a:avLst/>
                          </a:prstGeom>
                        </pic:spPr>
                      </pic:pic>
                    </a:graphicData>
                  </a:graphic>
                </wp:inline>
              </w:drawing>
            </w:r>
          </w:p>
          <w:p w14:paraId="265A2696">
            <w:pPr>
              <w:spacing w:line="360" w:lineRule="auto"/>
              <w:ind w:firstLine="442" w:firstLineChars="20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lang w:val="en-US" w:eastAsia="zh-CN"/>
              </w:rPr>
              <w:t>图2-</w:t>
            </w: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井口及射孔封堵示意图</w:t>
            </w:r>
          </w:p>
          <w:p w14:paraId="7E5BFCC6">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完井搬迁主要包括设备和设施的拆除和搬迁，钻井机、泥浆循环系统等设备和生活设施拆除后搬迁至周边其他井场继续使用。搬迁完成后即对场内基础设施进行拆除，如清除场地碎石、拆除硬化地面等。根据钻井作业规范和钻井环保管理规定，钻井液全部回收，不得遗弃在井场，废水和固体废物须交有</w:t>
            </w:r>
            <w:r>
              <w:rPr>
                <w:rFonts w:hint="eastAsia" w:ascii="Times New Roman" w:hAnsi="Times New Roman" w:eastAsia="宋体" w:cs="Times New Roman"/>
                <w:color w:val="auto"/>
                <w:sz w:val="24"/>
                <w:szCs w:val="24"/>
                <w:lang w:val="en-US" w:eastAsia="zh-CN"/>
              </w:rPr>
              <w:t>能力</w:t>
            </w:r>
            <w:r>
              <w:rPr>
                <w:rFonts w:hint="default" w:ascii="Times New Roman" w:hAnsi="Times New Roman" w:eastAsia="宋体" w:cs="Times New Roman"/>
                <w:color w:val="auto"/>
                <w:sz w:val="24"/>
                <w:szCs w:val="24"/>
                <w:lang w:eastAsia="zh-CN"/>
              </w:rPr>
              <w:t>单位处置，做到“工完、料尽、场地清”，并办理竣工环保验收合格后方可交井。</w:t>
            </w:r>
          </w:p>
          <w:p w14:paraId="3A4719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3、泥浆不落地措施</w:t>
            </w:r>
          </w:p>
          <w:p w14:paraId="3499B7DB">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泥浆处理过程中严格执行“泥浆不落地”措施，采用振动筛、除泥除沙器离心机、螺旋输送机、缓冲罐、泥浆</w:t>
            </w:r>
            <w:r>
              <w:rPr>
                <w:rFonts w:hint="eastAsia" w:ascii="Times New Roman" w:hAnsi="Times New Roman" w:eastAsia="宋体" w:cs="Times New Roman"/>
                <w:b w:val="0"/>
                <w:bCs w:val="0"/>
                <w:color w:val="auto"/>
                <w:sz w:val="24"/>
                <w:szCs w:val="24"/>
                <w:vertAlign w:val="baseline"/>
                <w:lang w:val="en-US" w:eastAsia="zh-CN"/>
              </w:rPr>
              <w:t>循环</w:t>
            </w:r>
            <w:r>
              <w:rPr>
                <w:rFonts w:hint="default" w:ascii="Times New Roman" w:hAnsi="Times New Roman" w:eastAsia="宋体" w:cs="Times New Roman"/>
                <w:b w:val="0"/>
                <w:bCs w:val="0"/>
                <w:color w:val="auto"/>
                <w:sz w:val="24"/>
                <w:szCs w:val="24"/>
                <w:vertAlign w:val="baseline"/>
                <w:lang w:val="en-US" w:eastAsia="zh-CN"/>
              </w:rPr>
              <w:t>罐等设备。钻井泥浆</w:t>
            </w:r>
            <w:r>
              <w:rPr>
                <w:rFonts w:hint="eastAsia" w:ascii="Times New Roman" w:hAnsi="Times New Roman" w:eastAsia="宋体" w:cs="Times New Roman"/>
                <w:b w:val="0"/>
                <w:bCs w:val="0"/>
                <w:color w:val="auto"/>
                <w:sz w:val="24"/>
                <w:szCs w:val="24"/>
                <w:vertAlign w:val="baseline"/>
                <w:lang w:val="en-US" w:eastAsia="zh-CN"/>
              </w:rPr>
              <w:t>经</w:t>
            </w:r>
            <w:r>
              <w:rPr>
                <w:rFonts w:hint="default" w:ascii="Times New Roman" w:hAnsi="Times New Roman" w:eastAsia="宋体" w:cs="Times New Roman"/>
                <w:b w:val="0"/>
                <w:bCs w:val="0"/>
                <w:color w:val="auto"/>
                <w:sz w:val="24"/>
                <w:szCs w:val="24"/>
                <w:vertAlign w:val="baseline"/>
                <w:lang w:val="en-US" w:eastAsia="zh-CN"/>
              </w:rPr>
              <w:t>岩屑</w:t>
            </w:r>
            <w:r>
              <w:rPr>
                <w:rFonts w:hint="eastAsia" w:ascii="Times New Roman" w:hAnsi="Times New Roman" w:eastAsia="宋体" w:cs="Times New Roman"/>
                <w:b w:val="0"/>
                <w:bCs w:val="0"/>
                <w:color w:val="auto"/>
                <w:sz w:val="24"/>
                <w:szCs w:val="24"/>
                <w:vertAlign w:val="baseline"/>
                <w:lang w:val="en-US" w:eastAsia="zh-CN"/>
              </w:rPr>
              <w:t>收集罐收集</w:t>
            </w:r>
            <w:r>
              <w:rPr>
                <w:rFonts w:hint="default" w:ascii="Times New Roman" w:hAnsi="Times New Roman" w:eastAsia="宋体" w:cs="Times New Roman"/>
                <w:b w:val="0"/>
                <w:bCs w:val="0"/>
                <w:color w:val="auto"/>
                <w:sz w:val="24"/>
                <w:szCs w:val="24"/>
                <w:vertAlign w:val="baseline"/>
                <w:lang w:val="en-US" w:eastAsia="zh-CN"/>
              </w:rPr>
              <w:t>，固液混合收集入罐，在罐内进行破胶脱稳后实现固液分类，分离后的固相经板框压滤机进一步脱水，上清液同洗井废水、</w:t>
            </w:r>
            <w:r>
              <w:rPr>
                <w:rFonts w:hint="default" w:ascii="Times New Roman" w:hAnsi="Times New Roman" w:eastAsia="宋体" w:cs="Times New Roman"/>
                <w:b w:val="0"/>
                <w:bCs w:val="0"/>
                <w:color w:val="auto"/>
                <w:sz w:val="24"/>
                <w:szCs w:val="24"/>
                <w:highlight w:val="none"/>
                <w:vertAlign w:val="baseline"/>
                <w:lang w:val="en-US" w:eastAsia="zh-CN"/>
              </w:rPr>
              <w:t>反排液委托有组织单位处置。</w:t>
            </w:r>
            <w:r>
              <w:rPr>
                <w:rFonts w:hint="default" w:ascii="Times New Roman" w:hAnsi="Times New Roman" w:eastAsia="宋体" w:cs="Times New Roman"/>
                <w:b w:val="0"/>
                <w:bCs w:val="0"/>
                <w:color w:val="auto"/>
                <w:sz w:val="24"/>
                <w:szCs w:val="24"/>
                <w:vertAlign w:val="baseline"/>
                <w:lang w:val="en-US" w:eastAsia="zh-CN"/>
              </w:rPr>
              <w:t>处理后的固相在施工结束后交有</w:t>
            </w:r>
            <w:r>
              <w:rPr>
                <w:rFonts w:hint="eastAsia" w:ascii="Times New Roman" w:hAnsi="Times New Roman" w:eastAsia="宋体" w:cs="Times New Roman"/>
                <w:b w:val="0"/>
                <w:bCs w:val="0"/>
                <w:color w:val="auto"/>
                <w:sz w:val="24"/>
                <w:szCs w:val="24"/>
                <w:vertAlign w:val="baseline"/>
                <w:lang w:val="en-US" w:eastAsia="zh-CN"/>
              </w:rPr>
              <w:t>能力</w:t>
            </w:r>
            <w:r>
              <w:rPr>
                <w:rFonts w:hint="default" w:ascii="Times New Roman" w:hAnsi="Times New Roman" w:eastAsia="宋体" w:cs="Times New Roman"/>
                <w:b w:val="0"/>
                <w:bCs w:val="0"/>
                <w:color w:val="auto"/>
                <w:sz w:val="24"/>
                <w:szCs w:val="24"/>
                <w:vertAlign w:val="baseline"/>
                <w:lang w:val="en-US" w:eastAsia="zh-CN"/>
              </w:rPr>
              <w:t>单位处置</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对于临时存放的固相，暂存时间不得超过1个月，应在施工结束后及时拉运；堆放点要采取“</w:t>
            </w:r>
            <w:r>
              <w:rPr>
                <w:rFonts w:hint="eastAsia" w:ascii="Times New Roman" w:hAnsi="Times New Roman" w:eastAsia="宋体" w:cs="Times New Roman"/>
                <w:b w:val="0"/>
                <w:bCs w:val="0"/>
                <w:color w:val="auto"/>
                <w:sz w:val="24"/>
                <w:szCs w:val="24"/>
                <w:vertAlign w:val="baseline"/>
                <w:lang w:val="en-US" w:eastAsia="zh-CN"/>
              </w:rPr>
              <w:t>四</w:t>
            </w:r>
            <w:r>
              <w:rPr>
                <w:rFonts w:hint="default" w:ascii="Times New Roman" w:hAnsi="Times New Roman" w:eastAsia="宋体" w:cs="Times New Roman"/>
                <w:b w:val="0"/>
                <w:bCs w:val="0"/>
                <w:color w:val="auto"/>
                <w:sz w:val="24"/>
                <w:szCs w:val="24"/>
                <w:vertAlign w:val="baseline"/>
                <w:lang w:val="en-US" w:eastAsia="zh-CN"/>
              </w:rPr>
              <w:t>防”措施，采用四周围堰和“</w:t>
            </w:r>
            <w:r>
              <w:rPr>
                <w:rFonts w:hint="eastAsia" w:ascii="Times New Roman" w:hAnsi="Times New Roman" w:eastAsia="宋体" w:cs="Times New Roman"/>
                <w:b w:val="0"/>
                <w:bCs w:val="0"/>
                <w:color w:val="auto"/>
                <w:sz w:val="24"/>
                <w:szCs w:val="24"/>
                <w:vertAlign w:val="baseline"/>
                <w:lang w:val="en-US" w:eastAsia="zh-CN"/>
              </w:rPr>
              <w:t>下铺上盖</w:t>
            </w:r>
            <w:r>
              <w:rPr>
                <w:rFonts w:hint="default" w:ascii="Times New Roman" w:hAnsi="Times New Roman" w:eastAsia="宋体" w:cs="Times New Roman"/>
                <w:b w:val="0"/>
                <w:bCs w:val="0"/>
                <w:color w:val="auto"/>
                <w:sz w:val="24"/>
                <w:szCs w:val="24"/>
                <w:vertAlign w:val="baseline"/>
                <w:lang w:val="en-US" w:eastAsia="zh-CN"/>
              </w:rPr>
              <w:t>”的防渗防尘技术要求。防渗满足一般防渗区要求，铺设HDPE土工膜进行防渗处理。</w:t>
            </w:r>
          </w:p>
          <w:p w14:paraId="1B6427FA">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2、施工时序</w:t>
            </w:r>
          </w:p>
          <w:p w14:paraId="799B3B31">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施工时尽可能保证施工连续、均衡和经济，对工程具有控制作用的项目节点作为重点，予以优先安排。施工时首先进行地面平整、井场设施安装，接着完成钻井和固井，钻井分为一开、二开，在每个工段先钻井再下管套然后固井，最后洗井，再根据勘探情况考虑封井或者弃井。本项目单个井场施工时间为50d，具体施工方式由建设单位统筹安排。</w:t>
            </w:r>
          </w:p>
          <w:p w14:paraId="7D92193F">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rPr>
            </w:pPr>
            <w:r>
              <w:rPr>
                <w:rFonts w:hint="default" w:ascii="Times New Roman" w:hAnsi="Times New Roman" w:cs="Times New Roman"/>
                <w:b/>
                <w:bCs/>
                <w:color w:val="auto"/>
              </w:rPr>
              <w:t>3、建设周期</w:t>
            </w:r>
          </w:p>
          <w:p w14:paraId="7E098685">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lang w:val="en-US" w:eastAsia="zh-CN"/>
              </w:rPr>
              <w:t>本项目米107-34M、米107-10MX、米107-12M计划开工时间为</w:t>
            </w:r>
            <w:r>
              <w:rPr>
                <w:rFonts w:hint="default" w:ascii="Times New Roman" w:hAnsi="Times New Roman" w:cs="Times New Roman"/>
                <w:color w:val="auto"/>
                <w:lang w:val="en-US" w:eastAsia="en-US"/>
              </w:rPr>
              <w:t>202</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en-US"/>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en-US"/>
              </w:rPr>
              <w:t>月</w:t>
            </w:r>
            <w:r>
              <w:rPr>
                <w:rFonts w:hint="eastAsia" w:ascii="Times New Roman" w:hAnsi="Times New Roman" w:cs="Times New Roman"/>
                <w:color w:val="auto"/>
                <w:lang w:val="en-US" w:eastAsia="zh-CN"/>
              </w:rPr>
              <w:t>，钻井工期为50天，2025年7月底完工，完工之后设备分别搬至米107-6MX、米107-11M、米107-15M进行钻探，总工期约为100天，预计完工时间为2025年9月</w:t>
            </w:r>
            <w:r>
              <w:rPr>
                <w:rFonts w:hint="default" w:ascii="Times New Roman" w:hAnsi="Times New Roman" w:cs="Times New Roman"/>
                <w:color w:val="auto"/>
                <w:lang w:val="en-US" w:eastAsia="en-US"/>
              </w:rPr>
              <w:t>。</w:t>
            </w:r>
          </w:p>
        </w:tc>
      </w:tr>
      <w:tr w14:paraId="322A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dxa"/>
            <w:vAlign w:val="center"/>
          </w:tcPr>
          <w:p w14:paraId="46E0180B">
            <w:pPr>
              <w:numPr>
                <w:ilvl w:val="0"/>
                <w:numId w:val="0"/>
              </w:numPr>
              <w:jc w:val="center"/>
              <w:rPr>
                <w:rFonts w:hint="default" w:ascii="Times New Roman" w:hAnsi="Times New Roman" w:cs="Times New Roman" w:eastAsiaTheme="minorHAnsi"/>
                <w:color w:val="auto"/>
                <w:kern w:val="0"/>
                <w:sz w:val="24"/>
                <w:szCs w:val="21"/>
                <w:lang w:val="en-US" w:eastAsia="zh-CN" w:bidi="ar-SA"/>
              </w:rPr>
            </w:pPr>
            <w:r>
              <w:rPr>
                <w:rFonts w:hint="default" w:ascii="Times New Roman" w:hAnsi="Times New Roman" w:cs="Times New Roman" w:eastAsiaTheme="minorHAnsi"/>
                <w:color w:val="auto"/>
                <w:kern w:val="0"/>
                <w:sz w:val="24"/>
                <w:szCs w:val="21"/>
                <w:lang w:val="en-US" w:eastAsia="zh-CN" w:bidi="ar-SA"/>
              </w:rPr>
              <w:t>其他</w:t>
            </w:r>
          </w:p>
        </w:tc>
        <w:tc>
          <w:tcPr>
            <w:tcW w:w="8616" w:type="dxa"/>
            <w:vAlign w:val="center"/>
          </w:tcPr>
          <w:p w14:paraId="69B026E0">
            <w:pPr>
              <w:numPr>
                <w:ilvl w:val="0"/>
                <w:numId w:val="0"/>
              </w:numPr>
              <w:ind w:firstLine="480" w:firstLineChars="200"/>
              <w:jc w:val="both"/>
              <w:rPr>
                <w:rFonts w:hint="default" w:ascii="Times New Roman" w:hAnsi="Times New Roman" w:cs="Times New Roman" w:eastAsiaTheme="minorHAnsi"/>
                <w:color w:val="auto"/>
                <w:kern w:val="0"/>
                <w:sz w:val="24"/>
                <w:szCs w:val="21"/>
                <w:lang w:val="en-US" w:eastAsia="zh-CN" w:bidi="ar-SA"/>
              </w:rPr>
            </w:pPr>
            <w:r>
              <w:rPr>
                <w:rFonts w:hint="default" w:ascii="Times New Roman" w:hAnsi="Times New Roman" w:cs="Times New Roman" w:eastAsiaTheme="minorHAnsi"/>
                <w:color w:val="auto"/>
                <w:kern w:val="0"/>
                <w:sz w:val="24"/>
                <w:szCs w:val="21"/>
                <w:lang w:val="en-US" w:eastAsia="zh-CN" w:bidi="ar-SA"/>
              </w:rPr>
              <w:t>本项目无其他比选方案。</w:t>
            </w:r>
          </w:p>
          <w:p w14:paraId="064A1A50">
            <w:pPr>
              <w:numPr>
                <w:ilvl w:val="0"/>
                <w:numId w:val="0"/>
              </w:numPr>
              <w:jc w:val="both"/>
              <w:rPr>
                <w:rFonts w:hint="default" w:ascii="Times New Roman" w:hAnsi="Times New Roman" w:cs="Times New Roman" w:eastAsiaTheme="minorHAnsi"/>
                <w:color w:val="auto"/>
                <w:kern w:val="0"/>
                <w:sz w:val="24"/>
                <w:szCs w:val="21"/>
                <w:lang w:val="en-US" w:eastAsia="zh-CN" w:bidi="ar-SA"/>
              </w:rPr>
            </w:pPr>
          </w:p>
          <w:p w14:paraId="4AA784DF">
            <w:pPr>
              <w:pStyle w:val="2"/>
              <w:jc w:val="both"/>
              <w:rPr>
                <w:rFonts w:hint="default" w:ascii="Times New Roman" w:hAnsi="Times New Roman" w:cs="Times New Roman" w:eastAsiaTheme="minorHAnsi"/>
                <w:color w:val="auto"/>
                <w:kern w:val="0"/>
                <w:sz w:val="24"/>
                <w:szCs w:val="21"/>
                <w:lang w:val="en-US" w:eastAsia="zh-CN" w:bidi="ar-SA"/>
              </w:rPr>
            </w:pPr>
          </w:p>
          <w:p w14:paraId="0A973E6D">
            <w:pPr>
              <w:rPr>
                <w:rFonts w:hint="default" w:ascii="Times New Roman" w:hAnsi="Times New Roman" w:cs="Times New Roman" w:eastAsiaTheme="minorHAnsi"/>
                <w:color w:val="auto"/>
                <w:kern w:val="0"/>
                <w:sz w:val="24"/>
                <w:szCs w:val="21"/>
                <w:lang w:val="en-US" w:eastAsia="zh-CN" w:bidi="ar-SA"/>
              </w:rPr>
            </w:pPr>
          </w:p>
          <w:p w14:paraId="43548F67">
            <w:pPr>
              <w:pStyle w:val="2"/>
              <w:rPr>
                <w:rFonts w:hint="default" w:ascii="Times New Roman" w:hAnsi="Times New Roman" w:cs="Times New Roman" w:eastAsiaTheme="minorHAnsi"/>
                <w:color w:val="auto"/>
                <w:kern w:val="0"/>
                <w:sz w:val="24"/>
                <w:szCs w:val="21"/>
                <w:lang w:val="en-US" w:eastAsia="zh-CN" w:bidi="ar-SA"/>
              </w:rPr>
            </w:pPr>
          </w:p>
          <w:p w14:paraId="0A9739C4">
            <w:pPr>
              <w:rPr>
                <w:rFonts w:hint="default" w:ascii="Times New Roman" w:hAnsi="Times New Roman" w:cs="Times New Roman" w:eastAsiaTheme="minorHAnsi"/>
                <w:color w:val="auto"/>
                <w:kern w:val="0"/>
                <w:sz w:val="24"/>
                <w:szCs w:val="21"/>
                <w:lang w:val="en-US" w:eastAsia="zh-CN" w:bidi="ar-SA"/>
              </w:rPr>
            </w:pPr>
          </w:p>
          <w:p w14:paraId="0E832BE8">
            <w:pPr>
              <w:pStyle w:val="2"/>
              <w:rPr>
                <w:rFonts w:hint="default" w:ascii="Times New Roman" w:hAnsi="Times New Roman" w:cs="Times New Roman" w:eastAsiaTheme="minorHAnsi"/>
                <w:color w:val="auto"/>
                <w:kern w:val="0"/>
                <w:sz w:val="24"/>
                <w:szCs w:val="21"/>
                <w:lang w:val="en-US" w:eastAsia="zh-CN" w:bidi="ar-SA"/>
              </w:rPr>
            </w:pPr>
          </w:p>
          <w:p w14:paraId="4899347F">
            <w:pPr>
              <w:rPr>
                <w:rFonts w:hint="default" w:ascii="Times New Roman" w:hAnsi="Times New Roman" w:cs="Times New Roman" w:eastAsiaTheme="minorHAnsi"/>
                <w:color w:val="auto"/>
                <w:kern w:val="0"/>
                <w:sz w:val="24"/>
                <w:szCs w:val="21"/>
                <w:lang w:val="en-US" w:eastAsia="zh-CN" w:bidi="ar-SA"/>
              </w:rPr>
            </w:pPr>
          </w:p>
          <w:p w14:paraId="06031ED3">
            <w:pPr>
              <w:pStyle w:val="2"/>
              <w:rPr>
                <w:rFonts w:hint="default"/>
                <w:color w:val="auto"/>
                <w:lang w:val="en-US" w:eastAsia="zh-CN"/>
              </w:rPr>
            </w:pPr>
          </w:p>
          <w:p w14:paraId="283652E3">
            <w:pPr>
              <w:jc w:val="both"/>
              <w:rPr>
                <w:rFonts w:hint="default" w:ascii="Times New Roman" w:hAnsi="Times New Roman" w:cs="Times New Roman" w:eastAsiaTheme="minorHAnsi"/>
                <w:color w:val="auto"/>
                <w:kern w:val="0"/>
                <w:sz w:val="24"/>
                <w:szCs w:val="21"/>
                <w:lang w:val="en-US" w:eastAsia="zh-CN" w:bidi="ar-SA"/>
              </w:rPr>
            </w:pPr>
          </w:p>
          <w:p w14:paraId="784C11D6">
            <w:pPr>
              <w:jc w:val="both"/>
              <w:rPr>
                <w:rFonts w:hint="default"/>
                <w:color w:val="auto"/>
                <w:lang w:val="en-US" w:eastAsia="zh-CN"/>
              </w:rPr>
            </w:pPr>
          </w:p>
        </w:tc>
      </w:tr>
    </w:tbl>
    <w:p w14:paraId="67ABF4C0">
      <w:pPr>
        <w:numPr>
          <w:ilvl w:val="0"/>
          <w:numId w:val="0"/>
        </w:numPr>
        <w:jc w:val="both"/>
        <w:rPr>
          <w:rFonts w:hint="default" w:ascii="Times New Roman" w:hAnsi="Times New Roman" w:eastAsia="黑体" w:cs="Times New Roman"/>
          <w:b w:val="0"/>
          <w:bCs w:val="0"/>
          <w:color w:val="auto"/>
          <w:sz w:val="28"/>
          <w:szCs w:val="28"/>
          <w:lang w:val="en-US" w:eastAsia="zh-CN"/>
        </w:rPr>
        <w:sectPr>
          <w:footerReference r:id="rId5" w:type="default"/>
          <w:pgSz w:w="11906" w:h="16838"/>
          <w:pgMar w:top="1417" w:right="1417" w:bottom="1417" w:left="1417" w:header="992" w:footer="896" w:gutter="0"/>
          <w:pgBorders>
            <w:top w:val="none" w:sz="0" w:space="0"/>
            <w:left w:val="none" w:sz="0" w:space="0"/>
            <w:bottom w:val="none" w:sz="0" w:space="0"/>
            <w:right w:val="none" w:sz="0" w:space="0"/>
          </w:pgBorders>
          <w:pgNumType w:fmt="decimal" w:start="1"/>
          <w:cols w:space="0" w:num="1"/>
          <w:rtlGutter w:val="0"/>
          <w:docGrid w:type="lines" w:linePitch="318" w:charSpace="0"/>
        </w:sectPr>
      </w:pPr>
    </w:p>
    <w:p w14:paraId="68C24F04">
      <w:pPr>
        <w:numPr>
          <w:ilvl w:val="0"/>
          <w:numId w:val="4"/>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生态环境现状、保护目标及评价标准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521"/>
      </w:tblGrid>
      <w:tr w14:paraId="420C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2DEB7A5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生态环境现状</w:t>
            </w:r>
          </w:p>
        </w:tc>
        <w:tc>
          <w:tcPr>
            <w:tcW w:w="8521" w:type="dxa"/>
            <w:vAlign w:val="center"/>
          </w:tcPr>
          <w:p w14:paraId="55105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一、生态环境现状</w:t>
            </w:r>
          </w:p>
          <w:p w14:paraId="75AC81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1、主体功能区划和生态功能区划</w:t>
            </w:r>
          </w:p>
          <w:p w14:paraId="7D73F3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根据《陕西省主体功能区划》中陕西省重点开发区域分布图，项目位于国家层面限制开发区域（重点生态功能区）。具体见图3-1。</w:t>
            </w:r>
          </w:p>
          <w:p w14:paraId="78F810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生态功能区划》，本项目位于陕西省生态功能区中黄土高原农牧生态区（一级区）、黄土丘陵沟壑水土流失控制生态功能区（二级区）、黄土峁状丘陵沟壑水土流失控制区（三级区）。该区生态敏感性特征为：沟壑纵横，土壤侵蚀极敏感-高度敏感，土壤保持功能极重要。建立基本农田，坡地退耕还林还草，开展流域综合治理，控制水土流失。本项目为陆地矿产资源地质勘察类项目，运行期产生的主要污染物为员工生活污水及生活垃圾，均不外排，不会对当地土壤造成影响，且项目会采取设置排水沟、集水池、临时占用的草地会在施工结束后及时恢复等水土保持措施，因此对当地的水土流失影响较小，因此与《陕西省生态功能区划》相符。</w:t>
            </w:r>
          </w:p>
          <w:p w14:paraId="778937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生态功能区划图见图3-2。</w:t>
            </w:r>
          </w:p>
          <w:p w14:paraId="1BA633A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color w:val="auto"/>
                <w:sz w:val="22"/>
              </w:rPr>
              <mc:AlternateContent>
                <mc:Choice Requires="wps">
                  <w:drawing>
                    <wp:anchor distT="0" distB="0" distL="114300" distR="114300" simplePos="0" relativeHeight="251663360" behindDoc="0" locked="0" layoutInCell="1" allowOverlap="1">
                      <wp:simplePos x="0" y="0"/>
                      <wp:positionH relativeFrom="column">
                        <wp:posOffset>3834130</wp:posOffset>
                      </wp:positionH>
                      <wp:positionV relativeFrom="paragraph">
                        <wp:posOffset>1440815</wp:posOffset>
                      </wp:positionV>
                      <wp:extent cx="234315" cy="205105"/>
                      <wp:effectExtent l="20955" t="19050" r="30480" b="23495"/>
                      <wp:wrapNone/>
                      <wp:docPr id="9" name="五角星 9"/>
                      <wp:cNvGraphicFramePr/>
                      <a:graphic xmlns:a="http://schemas.openxmlformats.org/drawingml/2006/main">
                        <a:graphicData uri="http://schemas.microsoft.com/office/word/2010/wordprocessingShape">
                          <wps:wsp>
                            <wps:cNvSpPr/>
                            <wps:spPr>
                              <a:xfrm>
                                <a:off x="3212465" y="3749675"/>
                                <a:ext cx="234315" cy="205105"/>
                              </a:xfrm>
                              <a:prstGeom prst="star5">
                                <a:avLst/>
                              </a:prstGeom>
                              <a:solidFill>
                                <a:srgbClr val="FF0000"/>
                              </a:solidFill>
                              <a:ln>
                                <a:solidFill>
                                  <a:schemeClr val="tx1">
                                    <a:lumMod val="95000"/>
                                    <a:lumOff val="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1.9pt;margin-top:113.45pt;height:16.15pt;width:18.45pt;z-index:251663360;v-text-anchor:middle;mso-width-relative:page;mso-height-relative:page;" fillcolor="#FF0000" filled="t" stroked="t" coordsize="234315,205105" o:gfxdata="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Btnm3ZAAAACwEAAA8AAAAAAAAAAQAgAAAAIgAAAGRycy9kb3ducmV2LnhtbFBL&#10;AQIUABQAAAAIAIdO4kAJZ1YIoAIAADsFAAAOAAAAAAAAAAEAIAAAACgBAABkcnMvZTJvRG9jLnht&#10;bFBLBQYAAAAABgAGAFkBAAA6BgAAAAA=&#10;" path="m0,78342l89500,78343,117157,0,144814,78343,234314,78342,161906,126761,189564,205104,117157,156685,44750,205104,72408,126761xe">
                      <v:path o:connectlocs="117157,0;0,78342;44750,205104;189564,205104;234314,78342" o:connectangles="247,164,82,82,0"/>
                      <v:fill on="t" focussize="0,0"/>
                      <v:stroke weight="1pt" color="#0D0D0D [3069]" miterlimit="8" joinstyle="miter"/>
                      <v:imagedata o:title=""/>
                      <o:lock v:ext="edit" aspectratio="f"/>
                    </v:shape>
                  </w:pict>
                </mc:Fallback>
              </mc:AlternateContent>
            </w:r>
            <w:r>
              <w:rPr>
                <w:color w:val="auto"/>
                <w:sz w:val="22"/>
              </w:rPr>
              <mc:AlternateContent>
                <mc:Choice Requires="wps">
                  <w:drawing>
                    <wp:anchor distT="0" distB="0" distL="114300" distR="114300" simplePos="0" relativeHeight="251664384" behindDoc="0" locked="0" layoutInCell="1" allowOverlap="1">
                      <wp:simplePos x="0" y="0"/>
                      <wp:positionH relativeFrom="column">
                        <wp:posOffset>2942590</wp:posOffset>
                      </wp:positionH>
                      <wp:positionV relativeFrom="paragraph">
                        <wp:posOffset>526415</wp:posOffset>
                      </wp:positionV>
                      <wp:extent cx="930910" cy="358140"/>
                      <wp:effectExtent l="6350" t="6350" r="53340" b="683260"/>
                      <wp:wrapNone/>
                      <wp:docPr id="21" name="圆角矩形标注 21"/>
                      <wp:cNvGraphicFramePr/>
                      <a:graphic xmlns:a="http://schemas.openxmlformats.org/drawingml/2006/main">
                        <a:graphicData uri="http://schemas.microsoft.com/office/word/2010/wordprocessingShape">
                          <wps:wsp>
                            <wps:cNvSpPr/>
                            <wps:spPr>
                              <a:xfrm>
                                <a:off x="2633345" y="3385820"/>
                                <a:ext cx="930910" cy="358140"/>
                              </a:xfrm>
                              <a:prstGeom prst="wedgeRoundRectCallout">
                                <a:avLst>
                                  <a:gd name="adj1" fmla="val 52609"/>
                                  <a:gd name="adj2" fmla="val 22729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1.7pt;margin-top:41.45pt;height:28.2pt;width:73.3pt;z-index:251664384;v-text-anchor:middle;mso-width-relative:page;mso-height-relative:page;" filled="f" stroked="t" coordsize="21600,21600" o:gfxdata="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82z&#10;4NgAAAAKAQAADwAAAAAAAAABACAAAAAiAAAAZHJzL2Rvd25yZXYueG1sUEsBAhQAFAAAAAgAh07i&#10;QIgSXsnNAgAAdgUAAA4AAAAAAAAAAQAgAAAAJwEAAGRycy9lMm9Eb2MueG1sUEsFBgAAAAAGAAYA&#10;WQEAAGYGAAAAAA==&#10;" adj="22164,59896,14400">
                      <v:fill on="f" focussize="0,0"/>
                      <v:stroke weight="1pt" color="#FF0000 [2404]" miterlimit="8" joinstyle="miter"/>
                      <v:imagedata o:title=""/>
                      <o:lock v:ext="edit" aspectratio="f"/>
                      <v:textbo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rFonts w:hint="default" w:ascii="Times New Roman" w:hAnsi="Times New Roman" w:cs="Times New Roman"/>
                <w:color w:val="auto"/>
              </w:rPr>
              <w:drawing>
                <wp:inline distT="0" distB="0" distL="114300" distR="114300">
                  <wp:extent cx="4754880" cy="6735445"/>
                  <wp:effectExtent l="9525" t="9525" r="17145" b="17780"/>
                  <wp:docPr id="17" name="图片 4" descr="78f3d18833ce67903d4d2bb06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8f3d18833ce67903d4d2bb064fe325"/>
                          <pic:cNvPicPr>
                            <a:picLocks noChangeAspect="1"/>
                          </pic:cNvPicPr>
                        </pic:nvPicPr>
                        <pic:blipFill>
                          <a:blip r:embed="rId15"/>
                          <a:srcRect b="-408"/>
                          <a:stretch>
                            <a:fillRect/>
                          </a:stretch>
                        </pic:blipFill>
                        <pic:spPr>
                          <a:xfrm>
                            <a:off x="0" y="0"/>
                            <a:ext cx="4754880" cy="6735445"/>
                          </a:xfrm>
                          <a:prstGeom prst="rect">
                            <a:avLst/>
                          </a:prstGeom>
                          <a:noFill/>
                          <a:ln>
                            <a:solidFill>
                              <a:schemeClr val="tx1"/>
                            </a:solidFill>
                          </a:ln>
                        </pic:spPr>
                      </pic:pic>
                    </a:graphicData>
                  </a:graphic>
                </wp:inline>
              </w:drawing>
            </w:r>
          </w:p>
          <w:p w14:paraId="6E3FFB0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图3-1 陕西省主体功能区划图</w:t>
            </w:r>
          </w:p>
          <w:p w14:paraId="174828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生态功能区划图见图3-2。</w:t>
            </w:r>
          </w:p>
          <w:p w14:paraId="485580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3638550</wp:posOffset>
                      </wp:positionH>
                      <wp:positionV relativeFrom="paragraph">
                        <wp:posOffset>797560</wp:posOffset>
                      </wp:positionV>
                      <wp:extent cx="948690" cy="403860"/>
                      <wp:effectExtent l="6350" t="6350" r="16510" b="599440"/>
                      <wp:wrapNone/>
                      <wp:docPr id="20" name="圆角矩形标注 20"/>
                      <wp:cNvGraphicFramePr/>
                      <a:graphic xmlns:a="http://schemas.openxmlformats.org/drawingml/2006/main">
                        <a:graphicData uri="http://schemas.microsoft.com/office/word/2010/wordprocessingShape">
                          <wps:wsp>
                            <wps:cNvSpPr/>
                            <wps:spPr>
                              <a:xfrm>
                                <a:off x="0" y="0"/>
                                <a:ext cx="948690" cy="403860"/>
                              </a:xfrm>
                              <a:prstGeom prst="wedgeRoundRectCallout">
                                <a:avLst>
                                  <a:gd name="adj1" fmla="val 35809"/>
                                  <a:gd name="adj2" fmla="val 18694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6.5pt;margin-top:62.8pt;height:31.8pt;width:74.7pt;z-index:251662336;v-text-anchor:middle;mso-width-relative:page;mso-height-relative:page;" filled="f" stroked="t" coordsize="21600,21600" o:gfxdata="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7LY+3aAAAACwEAAA8A&#10;AAAAAAAAAQAgAAAAIgAAAGRycy9kb3ducmV2LnhtbFBLAQIUABQAAAAIAIdO4kAGOdGJwAIAAGoF&#10;AAAOAAAAAAAAAAEAIAAAACkBAABkcnMvZTJvRG9jLnhtbFBLBQYAAAAABgAGAFkBAABbBgAAAAA=&#10;" adj="18535,51181,14400">
                      <v:fill on="f" focussize="0,0"/>
                      <v:stroke weight="1pt" color="#FF0000 [2404]" miterlimit="8" joinstyle="miter"/>
                      <v:imagedata o:title=""/>
                      <o:lock v:ext="edit" aspectratio="f"/>
                      <v:textbo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v:textbox>
                    </v:shape>
                  </w:pict>
                </mc:Fallback>
              </mc:AlternateContent>
            </w:r>
            <w:r>
              <w:rPr>
                <w:rFonts w:hint="default" w:ascii="Times New Roman" w:hAnsi="Times New Roman" w:cs="Times New Roman"/>
                <w:color w:val="auto"/>
                <w:sz w:val="22"/>
              </w:rPr>
              <mc:AlternateContent>
                <mc:Choice Requires="wps">
                  <w:drawing>
                    <wp:anchor distT="0" distB="0" distL="114300" distR="114300" simplePos="0" relativeHeight="251661312" behindDoc="0" locked="0" layoutInCell="1" allowOverlap="1">
                      <wp:simplePos x="0" y="0"/>
                      <wp:positionH relativeFrom="column">
                        <wp:posOffset>4382770</wp:posOffset>
                      </wp:positionH>
                      <wp:positionV relativeFrom="paragraph">
                        <wp:posOffset>1670050</wp:posOffset>
                      </wp:positionV>
                      <wp:extent cx="263525" cy="248920"/>
                      <wp:effectExtent l="19685" t="20320" r="21590" b="16510"/>
                      <wp:wrapNone/>
                      <wp:docPr id="19" name="五角星 19"/>
                      <wp:cNvGraphicFramePr/>
                      <a:graphic xmlns:a="http://schemas.openxmlformats.org/drawingml/2006/main">
                        <a:graphicData uri="http://schemas.microsoft.com/office/word/2010/wordprocessingShape">
                          <wps:wsp>
                            <wps:cNvSpPr/>
                            <wps:spPr>
                              <a:xfrm>
                                <a:off x="5631180" y="2743200"/>
                                <a:ext cx="263525" cy="248920"/>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1pt;margin-top:131.5pt;height:19.6pt;width:20.75pt;z-index:251661312;v-text-anchor:middle;mso-width-relative:page;mso-height-relative:page;" fillcolor="#FF0000" filled="t" stroked="t" coordsize="263525,248920" o:gfxdata="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ki0eC2AAAAAsBAAAPAAAAAAAA&#10;AAEAIAAAACIAAABkcnMvZG93bnJldi54bWxQSwECFAAUAAAACACHTuJA6bA4VIQCAAAFBQAADgAA&#10;AAAAAAABACAAAAAnAQAAZHJzL2Uyb0RvYy54bWxQSwUGAAAAAAYABgBZAQAAHQYAAAAA&#10;" path="m0,95078l100658,95079,131762,0,162866,95079,263524,95078,182090,153840,213196,248919,131762,190156,50328,248919,81434,153840xe">
                      <v:path o:connectlocs="131762,0;0,95078;50328,248919;213196,248919;263524,95078" o:connectangles="247,164,82,82,0"/>
                      <v:fill on="t" focussize="0,0"/>
                      <v:stroke weight="1pt" color="#000000 [3213]" miterlimit="8" joinstyle="miter"/>
                      <v:imagedata o:title=""/>
                      <o:lock v:ext="edit" aspectratio="f"/>
                    </v:shape>
                  </w:pict>
                </mc:Fallback>
              </mc:AlternateContent>
            </w:r>
            <w:r>
              <w:rPr>
                <w:rFonts w:hint="default" w:ascii="Times New Roman" w:hAnsi="Times New Roman" w:cs="Times New Roman"/>
                <w:color w:val="auto"/>
              </w:rPr>
              <w:drawing>
                <wp:inline distT="0" distB="0" distL="114300" distR="114300">
                  <wp:extent cx="5372100" cy="6767830"/>
                  <wp:effectExtent l="9525" t="9525" r="9525" b="23495"/>
                  <wp:docPr id="18" name="图片 5" descr="65faaeef0722c45aed252ee0c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65faaeef0722c45aed252ee0c126857"/>
                          <pic:cNvPicPr>
                            <a:picLocks noChangeAspect="1"/>
                          </pic:cNvPicPr>
                        </pic:nvPicPr>
                        <pic:blipFill>
                          <a:blip r:embed="rId16"/>
                          <a:stretch>
                            <a:fillRect/>
                          </a:stretch>
                        </pic:blipFill>
                        <pic:spPr>
                          <a:xfrm>
                            <a:off x="0" y="0"/>
                            <a:ext cx="5372100" cy="6767830"/>
                          </a:xfrm>
                          <a:prstGeom prst="rect">
                            <a:avLst/>
                          </a:prstGeom>
                          <a:noFill/>
                          <a:ln>
                            <a:solidFill>
                              <a:schemeClr val="tx1"/>
                            </a:solidFill>
                          </a:ln>
                        </pic:spPr>
                      </pic:pic>
                    </a:graphicData>
                  </a:graphic>
                </wp:inline>
              </w:drawing>
            </w:r>
          </w:p>
          <w:p w14:paraId="492074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图3-2 陕西省生态功能区划图</w:t>
            </w:r>
          </w:p>
          <w:p w14:paraId="62E48A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2、土地利用现状</w:t>
            </w:r>
          </w:p>
          <w:p w14:paraId="519B01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根据《榆林市投资项目选址“一张图”控制线检测报告》（编号：202</w:t>
            </w:r>
            <w:r>
              <w:rPr>
                <w:rFonts w:hint="eastAsia" w:ascii="Times New Roman" w:hAnsi="Times New Roman" w:eastAsia="宋体"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2588</w:t>
            </w:r>
            <w:r>
              <w:rPr>
                <w:rFonts w:hint="default" w:ascii="Times New Roman" w:hAnsi="Times New Roman" w:eastAsia="宋体" w:cs="Times New Roman"/>
                <w:b w:val="0"/>
                <w:bCs w:val="0"/>
                <w:color w:val="auto"/>
                <w:sz w:val="24"/>
                <w:szCs w:val="24"/>
                <w:highlight w:val="none"/>
                <w:vertAlign w:val="baseline"/>
                <w:lang w:val="en-US" w:eastAsia="zh-CN"/>
              </w:rPr>
              <w:t>）号、202</w:t>
            </w:r>
            <w:r>
              <w:rPr>
                <w:rFonts w:hint="eastAsia" w:ascii="Times New Roman" w:hAnsi="Times New Roman" w:eastAsia="宋体"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2589</w:t>
            </w:r>
            <w:r>
              <w:rPr>
                <w:rFonts w:hint="default" w:ascii="Times New Roman" w:hAnsi="Times New Roman" w:eastAsia="宋体" w:cs="Times New Roman"/>
                <w:b w:val="0"/>
                <w:bCs w:val="0"/>
                <w:color w:val="auto"/>
                <w:sz w:val="24"/>
                <w:szCs w:val="24"/>
                <w:highlight w:val="none"/>
                <w:vertAlign w:val="baseline"/>
                <w:lang w:val="en-US" w:eastAsia="zh-CN"/>
              </w:rPr>
              <w:t>）号</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202</w:t>
            </w:r>
            <w:r>
              <w:rPr>
                <w:rFonts w:hint="eastAsia" w:ascii="Times New Roman" w:hAnsi="Times New Roman" w:eastAsia="宋体"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2590</w:t>
            </w:r>
            <w:r>
              <w:rPr>
                <w:rFonts w:hint="default" w:ascii="Times New Roman" w:hAnsi="Times New Roman" w:eastAsia="宋体" w:cs="Times New Roman"/>
                <w:b w:val="0"/>
                <w:bCs w:val="0"/>
                <w:color w:val="auto"/>
                <w:sz w:val="24"/>
                <w:szCs w:val="24"/>
                <w:highlight w:val="none"/>
                <w:vertAlign w:val="baseline"/>
                <w:lang w:val="en-US" w:eastAsia="zh-CN"/>
              </w:rPr>
              <w:t>）号、202</w:t>
            </w:r>
            <w:r>
              <w:rPr>
                <w:rFonts w:hint="eastAsia" w:ascii="Times New Roman" w:hAnsi="Times New Roman" w:eastAsia="宋体"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2591</w:t>
            </w:r>
            <w:r>
              <w:rPr>
                <w:rFonts w:hint="default" w:ascii="Times New Roman" w:hAnsi="Times New Roman" w:eastAsia="宋体" w:cs="Times New Roman"/>
                <w:b w:val="0"/>
                <w:bCs w:val="0"/>
                <w:color w:val="auto"/>
                <w:sz w:val="24"/>
                <w:szCs w:val="24"/>
                <w:highlight w:val="none"/>
                <w:vertAlign w:val="baseline"/>
                <w:lang w:val="en-US" w:eastAsia="zh-CN"/>
              </w:rPr>
              <w:t>）号、202</w:t>
            </w:r>
            <w:r>
              <w:rPr>
                <w:rFonts w:hint="eastAsia" w:ascii="Times New Roman" w:hAnsi="Times New Roman" w:eastAsia="宋体"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2592</w:t>
            </w:r>
            <w:r>
              <w:rPr>
                <w:rFonts w:hint="default" w:ascii="Times New Roman" w:hAnsi="Times New Roman" w:eastAsia="宋体" w:cs="Times New Roman"/>
                <w:b w:val="0"/>
                <w:bCs w:val="0"/>
                <w:color w:val="auto"/>
                <w:sz w:val="24"/>
                <w:szCs w:val="24"/>
                <w:highlight w:val="none"/>
                <w:vertAlign w:val="baseline"/>
                <w:lang w:val="en-US" w:eastAsia="zh-CN"/>
              </w:rPr>
              <w:t>）号</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202</w:t>
            </w:r>
            <w:r>
              <w:rPr>
                <w:rFonts w:hint="eastAsia" w:ascii="Times New Roman" w:hAnsi="Times New Roman" w:eastAsia="宋体"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2594</w:t>
            </w:r>
            <w:r>
              <w:rPr>
                <w:rFonts w:hint="default" w:ascii="Times New Roman" w:hAnsi="Times New Roman" w:eastAsia="宋体" w:cs="Times New Roman"/>
                <w:b w:val="0"/>
                <w:bCs w:val="0"/>
                <w:color w:val="auto"/>
                <w:sz w:val="24"/>
                <w:szCs w:val="24"/>
                <w:highlight w:val="none"/>
                <w:vertAlign w:val="baseline"/>
                <w:lang w:val="en-US" w:eastAsia="zh-CN"/>
              </w:rPr>
              <w:t>）号</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，本项目土地利用类型为林地、</w:t>
            </w:r>
            <w:r>
              <w:rPr>
                <w:rFonts w:hint="eastAsia" w:ascii="Times New Roman" w:hAnsi="Times New Roman" w:eastAsia="宋体" w:cs="Times New Roman"/>
                <w:b w:val="0"/>
                <w:bCs w:val="0"/>
                <w:color w:val="auto"/>
                <w:sz w:val="24"/>
                <w:szCs w:val="24"/>
                <w:highlight w:val="none"/>
                <w:vertAlign w:val="baseline"/>
                <w:lang w:val="en-US" w:eastAsia="zh-CN"/>
              </w:rPr>
              <w:t>耕地</w:t>
            </w:r>
            <w:r>
              <w:rPr>
                <w:rFonts w:hint="default" w:ascii="Times New Roman" w:hAnsi="Times New Roman" w:eastAsia="宋体" w:cs="Times New Roman"/>
                <w:b w:val="0"/>
                <w:bCs w:val="0"/>
                <w:color w:val="auto"/>
                <w:sz w:val="24"/>
                <w:szCs w:val="24"/>
                <w:highlight w:val="none"/>
                <w:vertAlign w:val="baseline"/>
                <w:lang w:val="en-US" w:eastAsia="zh-CN"/>
              </w:rPr>
              <w:t>、园地</w:t>
            </w:r>
            <w:r>
              <w:rPr>
                <w:rFonts w:hint="eastAsia" w:ascii="Times New Roman" w:hAnsi="Times New Roman" w:eastAsia="宋体" w:cs="Times New Roman"/>
                <w:b w:val="0"/>
                <w:bCs w:val="0"/>
                <w:color w:val="auto"/>
                <w:sz w:val="24"/>
                <w:szCs w:val="24"/>
                <w:highlight w:val="none"/>
                <w:vertAlign w:val="baseline"/>
                <w:lang w:val="en-US" w:eastAsia="zh-CN"/>
              </w:rPr>
              <w:t>等</w:t>
            </w:r>
            <w:r>
              <w:rPr>
                <w:rFonts w:hint="default" w:ascii="Times New Roman" w:hAnsi="Times New Roman" w:eastAsia="宋体" w:cs="Times New Roman"/>
                <w:b w:val="0"/>
                <w:bCs w:val="0"/>
                <w:color w:val="auto"/>
                <w:sz w:val="24"/>
                <w:szCs w:val="24"/>
                <w:highlight w:val="none"/>
                <w:vertAlign w:val="baseline"/>
                <w:lang w:val="en-US" w:eastAsia="zh-CN"/>
              </w:rPr>
              <w:t>。</w:t>
            </w:r>
          </w:p>
          <w:p w14:paraId="6F7A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3、植被环境现状</w:t>
            </w:r>
          </w:p>
          <w:p w14:paraId="0BFCD9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yellow"/>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根据植被类型及地理分布特征，佳县植被可分为三个区，即北部防风固沙林带区，西南丘陵沟壑农作物种植区，东南黄河沿岸土石天然草地和枣林区。</w:t>
            </w:r>
            <w:r>
              <w:rPr>
                <w:rFonts w:hint="default" w:ascii="Times New Roman" w:hAnsi="Times New Roman" w:eastAsia="宋体" w:cs="Times New Roman"/>
                <w:b w:val="0"/>
                <w:bCs w:val="0"/>
                <w:color w:val="auto"/>
                <w:sz w:val="24"/>
                <w:szCs w:val="24"/>
                <w:highlight w:val="none"/>
                <w:vertAlign w:val="baseline"/>
                <w:lang w:val="en-US" w:eastAsia="zh-CN"/>
              </w:rPr>
              <w:t>项目所在地属北部防风固沙林带区，主要由乔木林地、灌木林地组成。</w:t>
            </w:r>
          </w:p>
          <w:p w14:paraId="5FD825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4、动物资源现状</w:t>
            </w:r>
          </w:p>
          <w:p w14:paraId="65C2DD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根据野外调查资料及现场调查，调查评价区未见珍稀、濒危野生动物和保护物种，小型野生动物较多，主要是松鼠、田鼠、草兔、蛇等。</w:t>
            </w:r>
          </w:p>
          <w:p w14:paraId="6C2248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二、环境空气现状</w:t>
            </w:r>
          </w:p>
          <w:p w14:paraId="07967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1、大气环境</w:t>
            </w:r>
          </w:p>
          <w:p w14:paraId="5AA018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（1）区域现状评价</w:t>
            </w:r>
          </w:p>
          <w:p w14:paraId="594E41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位于榆林市佳县，本次优先采用国家或地方生态环境主管部门公开发布的评价基准年环境质量公告或环境质量报告中的数据或结论。本次评价环境空气质量现状数据陕西省生态环境厅办公室发布的环保快报（202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1</w:t>
            </w:r>
            <w:r>
              <w:rPr>
                <w:rFonts w:hint="default" w:ascii="Times New Roman" w:hAnsi="Times New Roman" w:eastAsia="宋体" w:cs="Times New Roman"/>
                <w:b w:val="0"/>
                <w:bCs w:val="0"/>
                <w:color w:val="auto"/>
                <w:sz w:val="24"/>
                <w:szCs w:val="24"/>
                <w:vertAlign w:val="baseline"/>
                <w:lang w:val="en-US" w:eastAsia="zh-CN"/>
              </w:rPr>
              <w:t>）《202</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年</w:t>
            </w:r>
            <w:r>
              <w:rPr>
                <w:rFonts w:hint="eastAsia" w:ascii="Times New Roman" w:hAnsi="Times New Roman" w:eastAsia="宋体" w:cs="Times New Roman"/>
                <w:b w:val="0"/>
                <w:bCs w:val="0"/>
                <w:color w:val="auto"/>
                <w:sz w:val="24"/>
                <w:szCs w:val="24"/>
                <w:vertAlign w:val="baseline"/>
                <w:lang w:val="en-US" w:eastAsia="zh-CN"/>
              </w:rPr>
              <w:t>12月</w:t>
            </w:r>
            <w:r>
              <w:rPr>
                <w:rFonts w:hint="default" w:ascii="Times New Roman" w:hAnsi="Times New Roman" w:eastAsia="宋体" w:cs="Times New Roman"/>
                <w:b w:val="0"/>
                <w:bCs w:val="0"/>
                <w:color w:val="auto"/>
                <w:sz w:val="24"/>
                <w:szCs w:val="24"/>
                <w:vertAlign w:val="baseline"/>
                <w:lang w:val="en-US" w:eastAsia="zh-CN"/>
              </w:rPr>
              <w:t>及1～12月全省环境空气质量状况》中佳县环境空气质量监测数据对该项目空气质量进行评价，具体统计数据见表3-1。</w:t>
            </w:r>
          </w:p>
          <w:p w14:paraId="48FF46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表3-1   202</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年佳县环境空气质量状况统计表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070"/>
              <w:gridCol w:w="1530"/>
              <w:gridCol w:w="1130"/>
              <w:gridCol w:w="1500"/>
              <w:gridCol w:w="1165"/>
            </w:tblGrid>
            <w:tr w14:paraId="045E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150B88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2070" w:type="dxa"/>
                  <w:vAlign w:val="center"/>
                </w:tcPr>
                <w:p w14:paraId="77E685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年评价指标</w:t>
                  </w:r>
                </w:p>
              </w:tc>
              <w:tc>
                <w:tcPr>
                  <w:tcW w:w="1530" w:type="dxa"/>
                  <w:vAlign w:val="center"/>
                </w:tcPr>
                <w:p w14:paraId="25B7D3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现状浓度</w:t>
                  </w:r>
                </w:p>
              </w:tc>
              <w:tc>
                <w:tcPr>
                  <w:tcW w:w="1130" w:type="dxa"/>
                  <w:vAlign w:val="center"/>
                </w:tcPr>
                <w:p w14:paraId="2D6E8B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标准值</w:t>
                  </w:r>
                </w:p>
              </w:tc>
              <w:tc>
                <w:tcPr>
                  <w:tcW w:w="1500" w:type="dxa"/>
                  <w:vAlign w:val="center"/>
                </w:tcPr>
                <w:p w14:paraId="0B03B7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占标率</w:t>
                  </w:r>
                </w:p>
              </w:tc>
              <w:tc>
                <w:tcPr>
                  <w:tcW w:w="1165" w:type="dxa"/>
                  <w:vAlign w:val="center"/>
                </w:tcPr>
                <w:p w14:paraId="43046F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达标情况</w:t>
                  </w:r>
                </w:p>
              </w:tc>
            </w:tr>
            <w:tr w14:paraId="5EBE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E4F80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106269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37A667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0915A8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3CC64A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13.33%</w:t>
                  </w:r>
                </w:p>
              </w:tc>
              <w:tc>
                <w:tcPr>
                  <w:tcW w:w="1165" w:type="dxa"/>
                  <w:vAlign w:val="center"/>
                </w:tcPr>
                <w:p w14:paraId="09F467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1464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9CEE7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12F19E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03D545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719C50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05F528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1165" w:type="dxa"/>
                  <w:vAlign w:val="center"/>
                </w:tcPr>
                <w:p w14:paraId="036C45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618A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4C85A9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10</w:t>
                  </w:r>
                </w:p>
              </w:tc>
              <w:tc>
                <w:tcPr>
                  <w:tcW w:w="2070" w:type="dxa"/>
                  <w:vAlign w:val="center"/>
                </w:tcPr>
                <w:p w14:paraId="24EE2C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3A168E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3FAACE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69A7BA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64.29%</w:t>
                  </w:r>
                </w:p>
              </w:tc>
              <w:tc>
                <w:tcPr>
                  <w:tcW w:w="1165" w:type="dxa"/>
                  <w:vAlign w:val="center"/>
                </w:tcPr>
                <w:p w14:paraId="083975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79D5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CCCE2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2.5</w:t>
                  </w:r>
                </w:p>
              </w:tc>
              <w:tc>
                <w:tcPr>
                  <w:tcW w:w="2070" w:type="dxa"/>
                  <w:vAlign w:val="center"/>
                </w:tcPr>
                <w:p w14:paraId="2A3504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4ACF0B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72332F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5EBF6F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71.43%</w:t>
                  </w:r>
                </w:p>
              </w:tc>
              <w:tc>
                <w:tcPr>
                  <w:tcW w:w="1165" w:type="dxa"/>
                  <w:vAlign w:val="center"/>
                </w:tcPr>
                <w:p w14:paraId="6DB279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2C76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2667E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w:t>
                  </w:r>
                </w:p>
              </w:tc>
              <w:tc>
                <w:tcPr>
                  <w:tcW w:w="2070" w:type="dxa"/>
                  <w:vAlign w:val="center"/>
                </w:tcPr>
                <w:p w14:paraId="26E0E3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第95百分位日平均质量浓度</w:t>
                  </w:r>
                </w:p>
              </w:tc>
              <w:tc>
                <w:tcPr>
                  <w:tcW w:w="1530" w:type="dxa"/>
                  <w:vAlign w:val="center"/>
                </w:tcPr>
                <w:p w14:paraId="31CD91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w:t>
                  </w:r>
                  <w:r>
                    <w:rPr>
                      <w:rFonts w:hint="default" w:ascii="Times New Roman" w:hAnsi="Times New Roman" w:eastAsia="宋体" w:cs="Times New Roman"/>
                      <w:b w:val="0"/>
                      <w:bCs w:val="0"/>
                      <w:color w:val="auto"/>
                      <w:sz w:val="21"/>
                      <w:szCs w:val="21"/>
                      <w:vertAlign w:val="baseline"/>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14527F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4mg/m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3EF0EC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w:t>
                  </w:r>
                </w:p>
              </w:tc>
              <w:tc>
                <w:tcPr>
                  <w:tcW w:w="1165" w:type="dxa"/>
                  <w:vAlign w:val="center"/>
                </w:tcPr>
                <w:p w14:paraId="370110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01E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1C560F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O</w:t>
                  </w:r>
                  <w:r>
                    <w:rPr>
                      <w:rFonts w:hint="default" w:ascii="Times New Roman" w:hAnsi="Times New Roman" w:eastAsia="宋体" w:cs="Times New Roman"/>
                      <w:b w:val="0"/>
                      <w:bCs w:val="0"/>
                      <w:color w:val="auto"/>
                      <w:sz w:val="21"/>
                      <w:szCs w:val="21"/>
                      <w:vertAlign w:val="subscript"/>
                      <w:lang w:val="en-US" w:eastAsia="zh-CN"/>
                    </w:rPr>
                    <w:t>3</w:t>
                  </w:r>
                </w:p>
              </w:tc>
              <w:tc>
                <w:tcPr>
                  <w:tcW w:w="2070" w:type="dxa"/>
                  <w:vAlign w:val="center"/>
                </w:tcPr>
                <w:p w14:paraId="129C8A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第90百分位8h平均质量浓度</w:t>
                  </w:r>
                </w:p>
              </w:tc>
              <w:tc>
                <w:tcPr>
                  <w:tcW w:w="1530" w:type="dxa"/>
                  <w:vAlign w:val="center"/>
                </w:tcPr>
                <w:p w14:paraId="062523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164</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13C6E5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27E6CA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102.5%</w:t>
                  </w:r>
                </w:p>
              </w:tc>
              <w:tc>
                <w:tcPr>
                  <w:tcW w:w="1165" w:type="dxa"/>
                  <w:vAlign w:val="center"/>
                </w:tcPr>
                <w:p w14:paraId="46DC11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超标</w:t>
                  </w:r>
                </w:p>
              </w:tc>
            </w:tr>
          </w:tbl>
          <w:p w14:paraId="67A86F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由表3-1可知，佳县属于环境空气质量</w:t>
            </w:r>
            <w:r>
              <w:rPr>
                <w:rFonts w:hint="eastAsia" w:ascii="Times New Roman" w:hAnsi="Times New Roman" w:eastAsia="宋体" w:cs="Times New Roman"/>
                <w:b w:val="0"/>
                <w:bCs w:val="0"/>
                <w:color w:val="auto"/>
                <w:sz w:val="24"/>
                <w:szCs w:val="24"/>
                <w:vertAlign w:val="baseline"/>
                <w:lang w:val="en-US" w:eastAsia="zh-CN"/>
              </w:rPr>
              <w:t>不</w:t>
            </w:r>
            <w:r>
              <w:rPr>
                <w:rFonts w:hint="default" w:ascii="Times New Roman" w:hAnsi="Times New Roman" w:eastAsia="宋体" w:cs="Times New Roman"/>
                <w:b w:val="0"/>
                <w:bCs w:val="0"/>
                <w:color w:val="auto"/>
                <w:sz w:val="24"/>
                <w:szCs w:val="24"/>
                <w:vertAlign w:val="baseline"/>
                <w:lang w:val="en-US" w:eastAsia="zh-CN"/>
              </w:rPr>
              <w:t>达标区域。</w:t>
            </w:r>
          </w:p>
          <w:p w14:paraId="611070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2、声环境</w:t>
            </w:r>
          </w:p>
          <w:p w14:paraId="399C7B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项目场地外周边50m范围内不存在声环境保护目标，不需要开展声环境现状监测。</w:t>
            </w:r>
          </w:p>
          <w:p w14:paraId="5F7E17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w:t>
            </w:r>
          </w:p>
          <w:p w14:paraId="4F0BF5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依据建设项目环境影响报告表编制技术指南</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生态影响类</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试行</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中“水、生态、土壤等其他环境要素参照环境影响评价相关技术导则开展补充监测和调查”。对照《环境影响评价技术导则地下水环境》</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HJ610-2016</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项目行业类别为</w:t>
            </w:r>
            <w:r>
              <w:rPr>
                <w:rFonts w:hint="eastAsia" w:ascii="Times New Roman" w:hAnsi="Times New Roman" w:eastAsia="宋体" w:cs="Times New Roman"/>
                <w:b w:val="0"/>
                <w:bCs w:val="0"/>
                <w:color w:val="auto"/>
                <w:sz w:val="24"/>
                <w:szCs w:val="24"/>
                <w:vertAlign w:val="baseline"/>
                <w:lang w:val="en-US" w:eastAsia="zh-CN"/>
              </w:rPr>
              <w:t>“C</w:t>
            </w:r>
            <w:r>
              <w:rPr>
                <w:rFonts w:hint="default" w:ascii="Times New Roman" w:hAnsi="Times New Roman" w:eastAsia="宋体" w:cs="Times New Roman"/>
                <w:b w:val="0"/>
                <w:bCs w:val="0"/>
                <w:color w:val="auto"/>
                <w:sz w:val="24"/>
                <w:szCs w:val="24"/>
                <w:vertAlign w:val="baseline"/>
                <w:lang w:val="en-US" w:eastAsia="zh-CN"/>
              </w:rPr>
              <w:t>地质勘査 24 矿产资源地质勘查</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包括勘探活动</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，属于地下水Ⅳ类建设项目，</w:t>
            </w:r>
            <w:r>
              <w:rPr>
                <w:rFonts w:hint="eastAsia" w:ascii="Times New Roman" w:hAnsi="Times New Roman" w:eastAsia="宋体" w:cs="Times New Roman"/>
                <w:b w:val="0"/>
                <w:bCs w:val="0"/>
                <w:color w:val="auto"/>
                <w:sz w:val="24"/>
                <w:szCs w:val="24"/>
                <w:vertAlign w:val="baseline"/>
                <w:lang w:val="en-US" w:eastAsia="zh-CN"/>
              </w:rPr>
              <w:t>且</w:t>
            </w:r>
            <w:r>
              <w:rPr>
                <w:rFonts w:hint="default" w:ascii="Times New Roman" w:hAnsi="Times New Roman" w:eastAsia="宋体" w:cs="Times New Roman"/>
                <w:b w:val="0"/>
                <w:bCs w:val="0"/>
                <w:color w:val="auto"/>
                <w:sz w:val="24"/>
                <w:szCs w:val="24"/>
                <w:vertAlign w:val="baseline"/>
                <w:lang w:val="en-US" w:eastAsia="zh-CN"/>
              </w:rPr>
              <w:t>本项目地下水污染防治措施按照“源头控制、分区防治、污染监控、应急响应”相结合的原则，从污染物的产生、入渗、扩散、应急响应进行控制，项目占地区域采用分区防渗，可以避免发生地下水污染，因此不开展地下水环境质量现状调查。</w:t>
            </w:r>
          </w:p>
          <w:p w14:paraId="4B740D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4、土壤</w:t>
            </w:r>
          </w:p>
          <w:p w14:paraId="49D998D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依据建设项目环境影响报告表编制技术指南（生态影响类）（试行）中“水、生态、土壤等其他环境要素参照环境影响评价相关技术导则开展补充监测和调查”，根据《环境影响评价技术导则土壤环境（试行）》</w:t>
            </w:r>
            <w:r>
              <w:rPr>
                <w:rFonts w:hint="default" w:ascii="Times New Roman" w:hAnsi="Times New Roman" w:cs="Times New Roman"/>
                <w:bCs/>
                <w:color w:val="auto"/>
                <w:sz w:val="24"/>
                <w:highlight w:val="none"/>
                <w:lang w:val="en-US" w:eastAsia="zh-CN"/>
              </w:rPr>
              <w:t>(HJ964-2018</w:t>
            </w:r>
            <w:r>
              <w:rPr>
                <w:rFonts w:hint="eastAsia" w:ascii="Times New Roman" w:hAnsi="Times New Roman" w:cs="Times New Roman"/>
                <w:bCs/>
                <w:color w:val="auto"/>
                <w:sz w:val="24"/>
                <w:highlight w:val="none"/>
                <w:lang w:val="en-US" w:eastAsia="zh-CN"/>
              </w:rPr>
              <w:t>）附录</w:t>
            </w:r>
            <w:r>
              <w:rPr>
                <w:rFonts w:hint="default" w:ascii="Times New Roman" w:hAnsi="Times New Roman" w:cs="Times New Roman"/>
                <w:bCs/>
                <w:color w:val="auto"/>
                <w:sz w:val="24"/>
                <w:highlight w:val="none"/>
                <w:lang w:val="en-US" w:eastAsia="zh-CN"/>
              </w:rPr>
              <w:t>A</w:t>
            </w:r>
            <w:r>
              <w:rPr>
                <w:rFonts w:hint="eastAsia" w:ascii="Times New Roman" w:hAnsi="Times New Roman" w:cs="Times New Roman"/>
                <w:bCs/>
                <w:color w:val="auto"/>
                <w:sz w:val="24"/>
                <w:highlight w:val="none"/>
                <w:lang w:val="en-US" w:eastAsia="zh-CN"/>
              </w:rPr>
              <w:t>土壤环境影响评价行业分类表，本项目为天然气评价井项目，属于“其他行业”，为土壤</w:t>
            </w:r>
            <w:r>
              <w:rPr>
                <w:rFonts w:hint="default" w:ascii="Times New Roman" w:hAnsi="Times New Roman" w:cs="Times New Roman"/>
                <w:bCs/>
                <w:color w:val="auto"/>
                <w:sz w:val="24"/>
                <w:highlight w:val="none"/>
                <w:lang w:val="en-US" w:eastAsia="zh-CN"/>
              </w:rPr>
              <w:t>Ⅳ</w:t>
            </w:r>
            <w:r>
              <w:rPr>
                <w:rFonts w:hint="eastAsia" w:ascii="Times New Roman" w:hAnsi="Times New Roman" w:cs="Times New Roman"/>
                <w:bCs/>
                <w:color w:val="auto"/>
                <w:sz w:val="24"/>
                <w:highlight w:val="none"/>
                <w:lang w:val="en-US" w:eastAsia="zh-CN"/>
              </w:rPr>
              <w:t>类建设项目，无需开展土壤环境质量现状调查。</w:t>
            </w:r>
          </w:p>
          <w:p w14:paraId="55D23A2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Cs/>
                <w:color w:val="auto"/>
                <w:sz w:val="24"/>
                <w:highlight w:val="none"/>
                <w:lang w:val="en-US" w:eastAsia="zh-CN"/>
              </w:rPr>
              <w:t>土壤污染途径主要分为大气沉降、地面漫流和垂直入渗。本项目钻井过程中，不可避免地将有少量地下的易燃气体排出，但污染物通过“大气沉降”方式对项目区土壤影响甚微。且本项目钻井平台区和钻具区、泥浆不落地系统区、岩屑暂存箱区等采取重点防渗措施，地面底部利用机械将衬层压实，铺设防渗材料，危险废物采用撬装式危废贮存库收集，落实以上措施后可避免土壤污染，因此不开展土壤环境质量现状调查。</w:t>
            </w:r>
          </w:p>
        </w:tc>
      </w:tr>
      <w:tr w14:paraId="2F40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1650E56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与项目有关的原有环境污染和生态破坏问题</w:t>
            </w:r>
          </w:p>
        </w:tc>
        <w:tc>
          <w:tcPr>
            <w:tcW w:w="8521" w:type="dxa"/>
            <w:vAlign w:val="center"/>
          </w:tcPr>
          <w:p w14:paraId="67FE911C">
            <w:pPr>
              <w:numPr>
                <w:ilvl w:val="0"/>
                <w:numId w:val="0"/>
              </w:numPr>
              <w:ind w:firstLine="48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本项目为新建项目，不存在原有环境污染和生态破坏问题。</w:t>
            </w:r>
          </w:p>
        </w:tc>
      </w:tr>
      <w:tr w14:paraId="2AB3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7F796B5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生态环境保护目标</w:t>
            </w:r>
          </w:p>
        </w:tc>
        <w:tc>
          <w:tcPr>
            <w:tcW w:w="8521" w:type="dxa"/>
            <w:vAlign w:val="center"/>
          </w:tcPr>
          <w:p w14:paraId="1A44A69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1.生态环境</w:t>
            </w:r>
          </w:p>
          <w:p w14:paraId="367A0DB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参考《</w:t>
            </w:r>
            <w:r>
              <w:rPr>
                <w:rFonts w:hint="default" w:ascii="Times New Roman" w:hAnsi="Times New Roman" w:cs="Times New Roman"/>
                <w:bCs/>
                <w:color w:val="auto"/>
                <w:sz w:val="24"/>
                <w:highlight w:val="none"/>
              </w:rPr>
              <w:t>环境影响评价技术导则</w:t>
            </w:r>
            <w:r>
              <w:rPr>
                <w:rFonts w:hint="eastAsia" w:ascii="Times New Roman" w:hAnsi="Times New Roman" w:cs="Times New Roman"/>
                <w:bCs/>
                <w:color w:val="auto"/>
                <w:sz w:val="24"/>
                <w:highlight w:val="none"/>
                <w:lang w:val="en-US" w:eastAsia="zh-CN"/>
              </w:rPr>
              <w:t xml:space="preserve"> </w:t>
            </w:r>
            <w:r>
              <w:rPr>
                <w:rFonts w:hint="default" w:ascii="Times New Roman" w:hAnsi="Times New Roman" w:cs="Times New Roman"/>
                <w:bCs/>
                <w:color w:val="auto"/>
                <w:sz w:val="24"/>
                <w:highlight w:val="none"/>
              </w:rPr>
              <w:t>陆地石油天然气开发建设项目</w:t>
            </w:r>
            <w:r>
              <w:rPr>
                <w:rFonts w:hint="eastAsia" w:ascii="Times New Roman" w:hAnsi="Times New Roman" w:cs="Times New Roman"/>
                <w:bCs/>
                <w:color w:val="auto"/>
                <w:sz w:val="24"/>
                <w:highlight w:val="none"/>
                <w:lang w:val="en-US" w:eastAsia="zh-CN"/>
              </w:rPr>
              <w:t>》（HJ 349—2023），井场工程以场界周围50m范围为评价范围。</w:t>
            </w:r>
          </w:p>
          <w:p w14:paraId="1A3FFA1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bCs/>
                <w:color w:val="auto"/>
                <w:sz w:val="24"/>
                <w:highlight w:val="none"/>
                <w:lang w:val="en-US" w:eastAsia="zh-CN"/>
              </w:rPr>
              <w:t>根据调查，</w:t>
            </w:r>
            <w:r>
              <w:rPr>
                <w:rFonts w:hint="default" w:ascii="Times New Roman" w:hAnsi="Times New Roman" w:eastAsia="宋体" w:cs="Times New Roman"/>
                <w:color w:val="auto"/>
                <w:kern w:val="2"/>
                <w:sz w:val="24"/>
                <w:szCs w:val="24"/>
                <w:lang w:val="en-US" w:eastAsia="zh-CN" w:bidi="ar-SA"/>
              </w:rPr>
              <w:t>本项目井场</w:t>
            </w:r>
            <w:r>
              <w:rPr>
                <w:rFonts w:hint="eastAsia" w:ascii="Times New Roman" w:hAnsi="Times New Roman" w:eastAsia="宋体" w:cs="Times New Roman"/>
                <w:color w:val="auto"/>
                <w:kern w:val="2"/>
                <w:sz w:val="24"/>
                <w:szCs w:val="24"/>
                <w:lang w:val="en-US" w:eastAsia="zh-CN" w:bidi="ar-SA"/>
              </w:rPr>
              <w:t>评价范围内</w:t>
            </w:r>
            <w:r>
              <w:rPr>
                <w:rFonts w:hint="default" w:ascii="Times New Roman" w:hAnsi="Times New Roman" w:eastAsia="宋体" w:cs="Times New Roman"/>
                <w:color w:val="auto"/>
                <w:kern w:val="2"/>
                <w:sz w:val="24"/>
                <w:szCs w:val="24"/>
                <w:lang w:val="en-US" w:eastAsia="zh-CN" w:bidi="ar-SA"/>
              </w:rPr>
              <w:t>不涉及森林公园、自然保护区、风景名胜区、世界文化和自然遗产地、文物古迹、饮用水源保护区等环境敏感区，不涉及生态红线保护区。</w:t>
            </w:r>
            <w:r>
              <w:rPr>
                <w:rFonts w:hint="eastAsia" w:ascii="Times New Roman" w:hAnsi="Times New Roman" w:eastAsia="宋体"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rPr>
              <w:t>占地范围内的用地类型主要为</w:t>
            </w:r>
            <w:r>
              <w:rPr>
                <w:rFonts w:hint="eastAsia" w:ascii="Times New Roman" w:hAnsi="Times New Roman" w:eastAsia="宋体" w:cs="Times New Roman"/>
                <w:bCs/>
                <w:color w:val="auto"/>
                <w:sz w:val="24"/>
                <w:highlight w:val="none"/>
                <w:lang w:val="en-US" w:eastAsia="zh-CN"/>
              </w:rPr>
              <w:t>工矿用地、耕地、</w:t>
            </w:r>
            <w:r>
              <w:rPr>
                <w:rFonts w:hint="eastAsia"/>
                <w:bCs/>
                <w:color w:val="auto"/>
                <w:sz w:val="24"/>
                <w:szCs w:val="24"/>
                <w:highlight w:val="none"/>
                <w:lang w:val="en-US" w:eastAsia="zh-CN" w:bidi="ar"/>
              </w:rPr>
              <w:t>林地和草地</w:t>
            </w:r>
            <w:r>
              <w:rPr>
                <w:rFonts w:hint="default"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不涉及基本农田，</w:t>
            </w:r>
            <w:r>
              <w:rPr>
                <w:rFonts w:hint="default" w:ascii="Times New Roman" w:hAnsi="Times New Roman" w:eastAsia="宋体" w:cs="Times New Roman"/>
                <w:bCs/>
                <w:color w:val="auto"/>
                <w:sz w:val="24"/>
                <w:highlight w:val="none"/>
              </w:rPr>
              <w:t>无珍稀野生动植物分布。</w:t>
            </w:r>
            <w:r>
              <w:rPr>
                <w:rFonts w:hint="eastAsia" w:ascii="Times New Roman" w:hAnsi="Times New Roman" w:eastAsia="宋体" w:cs="Times New Roman"/>
                <w:bCs/>
                <w:color w:val="auto"/>
                <w:sz w:val="24"/>
                <w:highlight w:val="none"/>
                <w:lang w:val="en-US" w:eastAsia="zh-CN"/>
              </w:rPr>
              <w:t>故</w:t>
            </w:r>
            <w:r>
              <w:rPr>
                <w:rFonts w:hint="default" w:ascii="Times New Roman" w:hAnsi="Times New Roman" w:eastAsia="宋体" w:cs="Times New Roman"/>
                <w:bCs/>
                <w:color w:val="auto"/>
                <w:sz w:val="24"/>
                <w:highlight w:val="none"/>
              </w:rPr>
              <w:t>本项目生态保护目标为</w:t>
            </w:r>
            <w:r>
              <w:rPr>
                <w:rFonts w:hint="eastAsia" w:ascii="Times New Roman" w:hAnsi="Times New Roman" w:eastAsia="宋体" w:cs="Times New Roman"/>
                <w:bCs/>
                <w:color w:val="auto"/>
                <w:sz w:val="24"/>
                <w:highlight w:val="none"/>
                <w:lang w:val="en-US" w:eastAsia="zh-CN"/>
              </w:rPr>
              <w:t>临时占地及影响范围内的</w:t>
            </w:r>
            <w:r>
              <w:rPr>
                <w:rFonts w:hint="default" w:ascii="Times New Roman" w:hAnsi="Times New Roman" w:eastAsia="宋体" w:cs="Times New Roman"/>
                <w:bCs/>
                <w:color w:val="auto"/>
                <w:sz w:val="24"/>
                <w:highlight w:val="none"/>
              </w:rPr>
              <w:t>土壤、植被、景观、水土流失、生态系统等</w:t>
            </w:r>
            <w:r>
              <w:rPr>
                <w:rFonts w:hint="default" w:ascii="Times New Roman" w:hAnsi="Times New Roman" w:eastAsia="宋体" w:cs="Times New Roman"/>
                <w:bCs/>
                <w:color w:val="auto"/>
                <w:sz w:val="24"/>
                <w:highlight w:val="none"/>
                <w:lang w:val="en-US" w:eastAsia="zh-CN"/>
              </w:rPr>
              <w:t>。</w:t>
            </w:r>
          </w:p>
          <w:p w14:paraId="1B956DA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2</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大气环境</w:t>
            </w:r>
          </w:p>
          <w:p w14:paraId="39E2C488">
            <w:pPr>
              <w:adjustRightInd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bCs/>
                <w:color w:val="auto"/>
                <w:sz w:val="24"/>
              </w:rPr>
              <w:t>本项目周边500m范围内无自然保护区、风景名胜区</w:t>
            </w:r>
            <w:r>
              <w:rPr>
                <w:rFonts w:hint="eastAsia" w:ascii="Times New Roman" w:hAnsi="Times New Roman" w:cs="Times New Roman"/>
                <w:bCs/>
                <w:color w:val="auto"/>
                <w:sz w:val="24"/>
                <w:lang w:val="en-US" w:eastAsia="zh-CN"/>
              </w:rPr>
              <w:t>等，井场周边敏感目标主要为居民</w:t>
            </w:r>
            <w:r>
              <w:rPr>
                <w:rFonts w:hint="default" w:ascii="Times New Roman" w:hAnsi="Times New Roman" w:cs="Times New Roman"/>
                <w:bCs/>
                <w:color w:val="auto"/>
                <w:sz w:val="24"/>
              </w:rPr>
              <w:t>。</w:t>
            </w:r>
          </w:p>
          <w:p w14:paraId="1BBF935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3</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声环境</w:t>
            </w:r>
          </w:p>
          <w:p w14:paraId="17CA30E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井场</w:t>
            </w:r>
            <w:r>
              <w:rPr>
                <w:rFonts w:hint="default" w:ascii="Times New Roman" w:hAnsi="Times New Roman" w:cs="Times New Roman"/>
                <w:color w:val="auto"/>
                <w:sz w:val="24"/>
                <w:highlight w:val="none"/>
              </w:rPr>
              <w:t>外50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rPr>
              <w:t>范围内无声环境保护目标。</w:t>
            </w:r>
          </w:p>
          <w:p w14:paraId="56D2568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4</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地表水环境</w:t>
            </w:r>
          </w:p>
          <w:p w14:paraId="36668E51">
            <w:pPr>
              <w:pStyle w:val="3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据现场调查，</w:t>
            </w:r>
            <w:r>
              <w:rPr>
                <w:rFonts w:hint="eastAsia" w:ascii="Times New Roman" w:hAnsi="Times New Roman" w:eastAsia="宋体" w:cs="Times New Roman"/>
                <w:color w:val="auto"/>
                <w:kern w:val="0"/>
                <w:sz w:val="24"/>
                <w:szCs w:val="24"/>
                <w:lang w:val="en-US" w:eastAsia="zh-CN" w:bidi="ar"/>
              </w:rPr>
              <w:t>本项目米107-10MX井场北侧260米处为无女河，功能主要为行洪及灌溉</w:t>
            </w:r>
            <w:r>
              <w:rPr>
                <w:rFonts w:hint="default" w:ascii="Times New Roman" w:hAnsi="Times New Roman" w:eastAsia="宋体" w:cs="Times New Roman"/>
                <w:color w:val="auto"/>
                <w:kern w:val="0"/>
                <w:sz w:val="24"/>
                <w:szCs w:val="24"/>
                <w:lang w:val="en-US" w:eastAsia="zh-CN" w:bidi="ar"/>
              </w:rPr>
              <w:t>。</w:t>
            </w:r>
          </w:p>
          <w:p w14:paraId="1D9BE01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5</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地下水环境</w:t>
            </w:r>
          </w:p>
          <w:p w14:paraId="0744478E">
            <w:pPr>
              <w:pStyle w:val="3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项目井场界外500m范围内无地下水集中式</w:t>
            </w:r>
            <w:r>
              <w:rPr>
                <w:rFonts w:hint="eastAsia" w:ascii="Times New Roman" w:hAnsi="Times New Roman" w:eastAsia="宋体" w:cs="Times New Roman"/>
                <w:color w:val="auto"/>
                <w:kern w:val="0"/>
                <w:sz w:val="24"/>
                <w:szCs w:val="24"/>
                <w:lang w:val="en-US" w:eastAsia="zh-CN" w:bidi="ar"/>
              </w:rPr>
              <w:t>和分散式</w:t>
            </w:r>
            <w:r>
              <w:rPr>
                <w:rFonts w:hint="default" w:ascii="Times New Roman" w:hAnsi="Times New Roman" w:eastAsia="宋体" w:cs="Times New Roman"/>
                <w:color w:val="auto"/>
                <w:kern w:val="0"/>
                <w:sz w:val="24"/>
                <w:szCs w:val="24"/>
                <w:lang w:val="en-US" w:eastAsia="zh-CN" w:bidi="ar"/>
              </w:rPr>
              <w:t>饮用水水源和热水、矿泉水、温泉等特殊地下水资源。</w:t>
            </w:r>
          </w:p>
          <w:p w14:paraId="6FC9D3E0">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val="en-US" w:eastAsia="zh-CN"/>
              </w:rPr>
              <w:t xml:space="preserve">   主要环境保护目标</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475"/>
              <w:gridCol w:w="1362"/>
              <w:gridCol w:w="1150"/>
              <w:gridCol w:w="713"/>
              <w:gridCol w:w="1062"/>
              <w:gridCol w:w="611"/>
              <w:gridCol w:w="730"/>
              <w:gridCol w:w="784"/>
            </w:tblGrid>
            <w:tr w14:paraId="7BE2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3" w:type="pct"/>
                  <w:vMerge w:val="restart"/>
                  <w:tcBorders>
                    <w:top w:val="single" w:color="auto" w:sz="4" w:space="0"/>
                    <w:left w:val="single" w:color="auto" w:sz="4" w:space="0"/>
                    <w:right w:val="single" w:color="auto" w:sz="4" w:space="0"/>
                  </w:tcBorders>
                  <w:noWrap w:val="0"/>
                  <w:vAlign w:val="center"/>
                </w:tcPr>
                <w:p w14:paraId="1CB1D360">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要素</w:t>
                  </w:r>
                </w:p>
              </w:tc>
              <w:tc>
                <w:tcPr>
                  <w:tcW w:w="889" w:type="pct"/>
                  <w:vMerge w:val="restart"/>
                  <w:tcBorders>
                    <w:top w:val="single" w:color="auto" w:sz="4" w:space="0"/>
                    <w:left w:val="single" w:color="auto" w:sz="4" w:space="0"/>
                    <w:right w:val="single" w:color="auto" w:sz="4" w:space="0"/>
                  </w:tcBorders>
                  <w:noWrap w:val="0"/>
                  <w:vAlign w:val="center"/>
                </w:tcPr>
                <w:p w14:paraId="5A4326B0">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515" w:type="pct"/>
                  <w:gridSpan w:val="2"/>
                  <w:tcBorders>
                    <w:top w:val="single" w:color="auto" w:sz="4" w:space="0"/>
                    <w:left w:val="single" w:color="auto" w:sz="4" w:space="0"/>
                    <w:bottom w:val="single" w:color="auto" w:sz="4" w:space="0"/>
                    <w:right w:val="single" w:color="auto" w:sz="4" w:space="0"/>
                  </w:tcBorders>
                  <w:noWrap w:val="0"/>
                  <w:vAlign w:val="center"/>
                </w:tcPr>
                <w:p w14:paraId="0C4B34D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坐标/</w:t>
                  </w:r>
                  <w:r>
                    <w:rPr>
                      <w:rFonts w:hint="eastAsia" w:ascii="Times New Roman" w:hAnsi="Times New Roman" w:eastAsia="宋体" w:cs="Times New Roman"/>
                      <w:b/>
                      <w:bCs/>
                      <w:color w:val="auto"/>
                      <w:sz w:val="21"/>
                      <w:szCs w:val="21"/>
                      <w:lang w:val="en-US" w:eastAsia="zh-CN"/>
                    </w:rPr>
                    <w:t>°</w:t>
                  </w:r>
                </w:p>
              </w:tc>
              <w:tc>
                <w:tcPr>
                  <w:tcW w:w="430" w:type="pct"/>
                  <w:vMerge w:val="restart"/>
                  <w:tcBorders>
                    <w:top w:val="single" w:color="auto" w:sz="4" w:space="0"/>
                    <w:left w:val="single" w:color="auto" w:sz="4" w:space="0"/>
                    <w:bottom w:val="single" w:color="auto" w:sz="4" w:space="0"/>
                    <w:right w:val="single" w:color="auto" w:sz="4" w:space="0"/>
                  </w:tcBorders>
                  <w:noWrap w:val="0"/>
                  <w:vAlign w:val="center"/>
                </w:tcPr>
                <w:p w14:paraId="496D2655">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640" w:type="pct"/>
                  <w:vMerge w:val="restart"/>
                  <w:tcBorders>
                    <w:top w:val="single" w:color="auto" w:sz="4" w:space="0"/>
                    <w:left w:val="single" w:color="auto" w:sz="4" w:space="0"/>
                    <w:bottom w:val="single" w:color="auto" w:sz="4" w:space="0"/>
                    <w:right w:val="single" w:color="auto" w:sz="4" w:space="0"/>
                  </w:tcBorders>
                  <w:noWrap w:val="0"/>
                  <w:vAlign w:val="center"/>
                </w:tcPr>
                <w:p w14:paraId="646A079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保护内容</w:t>
                  </w:r>
                </w:p>
              </w:tc>
              <w:tc>
                <w:tcPr>
                  <w:tcW w:w="368" w:type="pct"/>
                  <w:vMerge w:val="restart"/>
                  <w:tcBorders>
                    <w:top w:val="single" w:color="auto" w:sz="4" w:space="0"/>
                    <w:left w:val="single" w:color="auto" w:sz="4" w:space="0"/>
                    <w:bottom w:val="single" w:color="auto" w:sz="4" w:space="0"/>
                    <w:right w:val="single" w:color="auto" w:sz="4" w:space="0"/>
                  </w:tcBorders>
                  <w:noWrap w:val="0"/>
                  <w:vAlign w:val="center"/>
                </w:tcPr>
                <w:p w14:paraId="2D67F183">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环境功能区</w:t>
                  </w:r>
                </w:p>
              </w:tc>
              <w:tc>
                <w:tcPr>
                  <w:tcW w:w="440" w:type="pct"/>
                  <w:vMerge w:val="restart"/>
                  <w:tcBorders>
                    <w:top w:val="single" w:color="auto" w:sz="4" w:space="0"/>
                    <w:left w:val="single" w:color="auto" w:sz="4" w:space="0"/>
                    <w:bottom w:val="single" w:color="auto" w:sz="4" w:space="0"/>
                    <w:right w:val="single" w:color="auto" w:sz="4" w:space="0"/>
                  </w:tcBorders>
                  <w:noWrap w:val="0"/>
                  <w:vAlign w:val="center"/>
                </w:tcPr>
                <w:p w14:paraId="7FF333DA">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14:paraId="46E556A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相对厂界距离/m</w:t>
                  </w:r>
                </w:p>
              </w:tc>
            </w:tr>
            <w:tr w14:paraId="4176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3" w:type="pct"/>
                  <w:vMerge w:val="continue"/>
                  <w:tcBorders>
                    <w:left w:val="single" w:color="auto" w:sz="4" w:space="0"/>
                    <w:bottom w:val="single" w:color="auto" w:sz="4" w:space="0"/>
                    <w:right w:val="single" w:color="auto" w:sz="4" w:space="0"/>
                  </w:tcBorders>
                  <w:noWrap w:val="0"/>
                  <w:vAlign w:val="center"/>
                </w:tcPr>
                <w:p w14:paraId="479C04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889" w:type="pct"/>
                  <w:vMerge w:val="continue"/>
                  <w:tcBorders>
                    <w:left w:val="single" w:color="auto" w:sz="4" w:space="0"/>
                    <w:bottom w:val="single" w:color="auto" w:sz="4" w:space="0"/>
                    <w:right w:val="single" w:color="auto" w:sz="4" w:space="0"/>
                  </w:tcBorders>
                  <w:noWrap w:val="0"/>
                  <w:vAlign w:val="center"/>
                </w:tcPr>
                <w:p w14:paraId="4FA7A9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528F12B9">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val="en-US" w:eastAsia="zh-CN"/>
                    </w:rPr>
                    <w:t>经度</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35EE29F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val="en-US" w:eastAsia="zh-CN"/>
                    </w:rPr>
                    <w:t>纬度</w:t>
                  </w:r>
                </w:p>
              </w:tc>
              <w:tc>
                <w:tcPr>
                  <w:tcW w:w="430" w:type="pct"/>
                  <w:vMerge w:val="continue"/>
                  <w:tcBorders>
                    <w:top w:val="single" w:color="auto" w:sz="4" w:space="0"/>
                    <w:left w:val="single" w:color="auto" w:sz="4" w:space="0"/>
                    <w:bottom w:val="single" w:color="auto" w:sz="4" w:space="0"/>
                    <w:right w:val="single" w:color="auto" w:sz="4" w:space="0"/>
                  </w:tcBorders>
                  <w:noWrap w:val="0"/>
                  <w:vAlign w:val="center"/>
                </w:tcPr>
                <w:p w14:paraId="2E0C14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640" w:type="pct"/>
                  <w:vMerge w:val="continue"/>
                  <w:tcBorders>
                    <w:top w:val="single" w:color="auto" w:sz="4" w:space="0"/>
                    <w:left w:val="single" w:color="auto" w:sz="4" w:space="0"/>
                    <w:bottom w:val="single" w:color="auto" w:sz="4" w:space="0"/>
                    <w:right w:val="single" w:color="auto" w:sz="4" w:space="0"/>
                  </w:tcBorders>
                  <w:noWrap w:val="0"/>
                  <w:vAlign w:val="center"/>
                </w:tcPr>
                <w:p w14:paraId="0C6267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368" w:type="pct"/>
                  <w:vMerge w:val="continue"/>
                  <w:tcBorders>
                    <w:top w:val="single" w:color="auto" w:sz="4" w:space="0"/>
                    <w:left w:val="single" w:color="auto" w:sz="4" w:space="0"/>
                    <w:bottom w:val="single" w:color="auto" w:sz="4" w:space="0"/>
                    <w:right w:val="single" w:color="auto" w:sz="4" w:space="0"/>
                  </w:tcBorders>
                  <w:noWrap w:val="0"/>
                  <w:vAlign w:val="center"/>
                </w:tcPr>
                <w:p w14:paraId="34B974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440" w:type="pct"/>
                  <w:vMerge w:val="continue"/>
                  <w:tcBorders>
                    <w:top w:val="single" w:color="auto" w:sz="4" w:space="0"/>
                    <w:left w:val="single" w:color="auto" w:sz="4" w:space="0"/>
                    <w:bottom w:val="single" w:color="auto" w:sz="4" w:space="0"/>
                    <w:right w:val="single" w:color="auto" w:sz="4" w:space="0"/>
                  </w:tcBorders>
                  <w:noWrap w:val="0"/>
                  <w:vAlign w:val="center"/>
                </w:tcPr>
                <w:p w14:paraId="6EA66E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14:paraId="0612A9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r>
            <w:tr w14:paraId="2DA0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3" w:type="pct"/>
                  <w:vMerge w:val="restart"/>
                  <w:tcBorders>
                    <w:top w:val="single" w:color="auto" w:sz="4" w:space="0"/>
                    <w:left w:val="single" w:color="auto" w:sz="4" w:space="0"/>
                    <w:right w:val="single" w:color="auto" w:sz="4" w:space="0"/>
                  </w:tcBorders>
                  <w:noWrap w:val="0"/>
                  <w:vAlign w:val="center"/>
                </w:tcPr>
                <w:p w14:paraId="05E39A63">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大气环境</w:t>
                  </w: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969E1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米107-6MX</w:t>
                  </w:r>
                </w:p>
              </w:tc>
              <w:tc>
                <w:tcPr>
                  <w:tcW w:w="821" w:type="pct"/>
                  <w:tcBorders>
                    <w:top w:val="single" w:color="auto" w:sz="4" w:space="0"/>
                    <w:left w:val="single" w:color="auto" w:sz="4" w:space="0"/>
                    <w:bottom w:val="single" w:color="auto" w:sz="4" w:space="0"/>
                    <w:right w:val="single" w:color="auto" w:sz="4" w:space="0"/>
                  </w:tcBorders>
                  <w:noWrap w:val="0"/>
                  <w:vAlign w:val="center"/>
                </w:tcPr>
                <w:p w14:paraId="634096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110.209161</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53D374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38.148482</w:t>
                  </w:r>
                </w:p>
              </w:tc>
              <w:tc>
                <w:tcPr>
                  <w:tcW w:w="430" w:type="pct"/>
                  <w:tcBorders>
                    <w:top w:val="single" w:color="auto" w:sz="4" w:space="0"/>
                    <w:left w:val="single" w:color="auto" w:sz="4" w:space="0"/>
                    <w:bottom w:val="single" w:color="auto" w:sz="4" w:space="0"/>
                    <w:right w:val="single" w:color="auto" w:sz="4" w:space="0"/>
                  </w:tcBorders>
                  <w:noWrap w:val="0"/>
                  <w:vAlign w:val="center"/>
                </w:tcPr>
                <w:p w14:paraId="54FD23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元峁村</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630DDBB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8户25人</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5CCF5FC3">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615A64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西北</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4C5A2AB8">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356</w:t>
                  </w:r>
                </w:p>
              </w:tc>
            </w:tr>
            <w:tr w14:paraId="7781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vMerge w:val="continue"/>
                  <w:tcBorders>
                    <w:left w:val="single" w:color="auto" w:sz="4" w:space="0"/>
                    <w:right w:val="single" w:color="auto" w:sz="4" w:space="0"/>
                  </w:tcBorders>
                  <w:noWrap w:val="0"/>
                  <w:vAlign w:val="center"/>
                </w:tcPr>
                <w:p w14:paraId="2D3372F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1310F1">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米107-10MX</w:t>
                  </w:r>
                </w:p>
              </w:tc>
              <w:tc>
                <w:tcPr>
                  <w:tcW w:w="821" w:type="pct"/>
                  <w:tcBorders>
                    <w:top w:val="single" w:color="auto" w:sz="4" w:space="0"/>
                    <w:left w:val="single" w:color="auto" w:sz="4" w:space="0"/>
                    <w:bottom w:val="single" w:color="auto" w:sz="4" w:space="0"/>
                    <w:right w:val="single" w:color="auto" w:sz="4" w:space="0"/>
                  </w:tcBorders>
                  <w:noWrap w:val="0"/>
                  <w:vAlign w:val="center"/>
                </w:tcPr>
                <w:p w14:paraId="042FB0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110.220870</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4D150C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38.131710</w:t>
                  </w:r>
                </w:p>
              </w:tc>
              <w:tc>
                <w:tcPr>
                  <w:tcW w:w="430" w:type="pct"/>
                  <w:tcBorders>
                    <w:top w:val="single" w:color="auto" w:sz="4" w:space="0"/>
                    <w:left w:val="single" w:color="auto" w:sz="4" w:space="0"/>
                    <w:bottom w:val="single" w:color="auto" w:sz="4" w:space="0"/>
                    <w:right w:val="single" w:color="auto" w:sz="4" w:space="0"/>
                  </w:tcBorders>
                  <w:noWrap w:val="0"/>
                  <w:vAlign w:val="center"/>
                </w:tcPr>
                <w:p w14:paraId="5EF465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磨家川村</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03ED1EE4">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22户60人</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2768054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二类区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5DA283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北、东北</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7EECEA2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346</w:t>
                  </w:r>
                </w:p>
              </w:tc>
            </w:tr>
            <w:tr w14:paraId="393E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vMerge w:val="continue"/>
                  <w:tcBorders>
                    <w:left w:val="single" w:color="auto" w:sz="4" w:space="0"/>
                    <w:right w:val="single" w:color="auto" w:sz="4" w:space="0"/>
                  </w:tcBorders>
                  <w:noWrap w:val="0"/>
                  <w:vAlign w:val="center"/>
                </w:tcPr>
                <w:p w14:paraId="5BBD8A1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DC460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米107-11M</w:t>
                  </w:r>
                </w:p>
              </w:tc>
              <w:tc>
                <w:tcPr>
                  <w:tcW w:w="821" w:type="pct"/>
                  <w:tcBorders>
                    <w:top w:val="single" w:color="auto" w:sz="4" w:space="0"/>
                    <w:left w:val="single" w:color="auto" w:sz="4" w:space="0"/>
                    <w:bottom w:val="single" w:color="auto" w:sz="4" w:space="0"/>
                    <w:right w:val="single" w:color="auto" w:sz="4" w:space="0"/>
                  </w:tcBorders>
                  <w:noWrap w:val="0"/>
                  <w:vAlign w:val="center"/>
                </w:tcPr>
                <w:p w14:paraId="3F77AF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110.27131</w:t>
                  </w:r>
                  <w:r>
                    <w:rPr>
                      <w:rFonts w:hint="eastAsia" w:ascii="Times New Roman" w:hAnsi="Times New Roman" w:eastAsia="宋体" w:cs="Times New Roman"/>
                      <w:color w:val="auto"/>
                      <w:sz w:val="21"/>
                      <w:szCs w:val="21"/>
                      <w:lang w:val="en-US" w:eastAsia="zh-CN"/>
                    </w:rPr>
                    <w:t>3</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17FC9D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38.12785</w:t>
                  </w:r>
                  <w:r>
                    <w:rPr>
                      <w:rFonts w:hint="eastAsia" w:ascii="Times New Roman" w:hAnsi="Times New Roman" w:eastAsia="宋体" w:cs="Times New Roman"/>
                      <w:color w:val="auto"/>
                      <w:sz w:val="21"/>
                      <w:szCs w:val="21"/>
                      <w:lang w:val="en-US" w:eastAsia="zh-CN"/>
                    </w:rPr>
                    <w:t>1</w:t>
                  </w:r>
                </w:p>
              </w:tc>
              <w:tc>
                <w:tcPr>
                  <w:tcW w:w="430" w:type="pct"/>
                  <w:tcBorders>
                    <w:top w:val="single" w:color="auto" w:sz="4" w:space="0"/>
                    <w:left w:val="single" w:color="auto" w:sz="4" w:space="0"/>
                    <w:bottom w:val="single" w:color="auto" w:sz="4" w:space="0"/>
                    <w:right w:val="single" w:color="auto" w:sz="4" w:space="0"/>
                  </w:tcBorders>
                  <w:noWrap w:val="0"/>
                  <w:vAlign w:val="center"/>
                </w:tcPr>
                <w:p w14:paraId="3F77FA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西湾</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4B5CE0B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16户50人</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13515B34">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24281E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486DC029">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258</w:t>
                  </w:r>
                </w:p>
              </w:tc>
            </w:tr>
            <w:tr w14:paraId="5E8F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vMerge w:val="continue"/>
                  <w:tcBorders>
                    <w:left w:val="single" w:color="auto" w:sz="4" w:space="0"/>
                    <w:right w:val="single" w:color="auto" w:sz="4" w:space="0"/>
                  </w:tcBorders>
                  <w:noWrap w:val="0"/>
                  <w:vAlign w:val="center"/>
                </w:tcPr>
                <w:p w14:paraId="0BEE863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A8991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米107-12M</w:t>
                  </w:r>
                </w:p>
              </w:tc>
              <w:tc>
                <w:tcPr>
                  <w:tcW w:w="821" w:type="pct"/>
                  <w:tcBorders>
                    <w:top w:val="single" w:color="auto" w:sz="4" w:space="0"/>
                    <w:left w:val="single" w:color="auto" w:sz="4" w:space="0"/>
                    <w:bottom w:val="single" w:color="auto" w:sz="4" w:space="0"/>
                    <w:right w:val="single" w:color="auto" w:sz="4" w:space="0"/>
                  </w:tcBorders>
                  <w:noWrap w:val="0"/>
                  <w:vAlign w:val="center"/>
                </w:tcPr>
                <w:p w14:paraId="0E5DEC6F">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110.319865</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58FAB04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38.124329</w:t>
                  </w:r>
                </w:p>
              </w:tc>
              <w:tc>
                <w:tcPr>
                  <w:tcW w:w="430" w:type="pct"/>
                  <w:tcBorders>
                    <w:top w:val="single" w:color="auto" w:sz="4" w:space="0"/>
                    <w:left w:val="single" w:color="auto" w:sz="4" w:space="0"/>
                    <w:bottom w:val="single" w:color="auto" w:sz="4" w:space="0"/>
                    <w:right w:val="single" w:color="auto" w:sz="4" w:space="0"/>
                  </w:tcBorders>
                  <w:noWrap w:val="0"/>
                  <w:vAlign w:val="center"/>
                </w:tcPr>
                <w:p w14:paraId="38EB751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冯家圪崂村散户</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1826DECA">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2户5人</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5027A9C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2127AAB3">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51137C6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248</w:t>
                  </w:r>
                </w:p>
              </w:tc>
            </w:tr>
            <w:tr w14:paraId="4C50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vMerge w:val="continue"/>
                  <w:tcBorders>
                    <w:left w:val="single" w:color="auto" w:sz="4" w:space="0"/>
                    <w:right w:val="single" w:color="auto" w:sz="4" w:space="0"/>
                  </w:tcBorders>
                  <w:noWrap w:val="0"/>
                  <w:vAlign w:val="center"/>
                </w:tcPr>
                <w:p w14:paraId="25E4E7A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87D22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米107-15M</w:t>
                  </w:r>
                </w:p>
              </w:tc>
              <w:tc>
                <w:tcPr>
                  <w:tcW w:w="821" w:type="pct"/>
                  <w:tcBorders>
                    <w:top w:val="single" w:color="auto" w:sz="4" w:space="0"/>
                    <w:left w:val="single" w:color="auto" w:sz="4" w:space="0"/>
                    <w:bottom w:val="single" w:color="auto" w:sz="4" w:space="0"/>
                    <w:right w:val="single" w:color="auto" w:sz="4" w:space="0"/>
                  </w:tcBorders>
                  <w:noWrap w:val="0"/>
                  <w:vAlign w:val="center"/>
                </w:tcPr>
                <w:p w14:paraId="1090C0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110.19046</w:t>
                  </w:r>
                  <w:r>
                    <w:rPr>
                      <w:rFonts w:hint="eastAsia" w:ascii="Times New Roman" w:hAnsi="Times New Roman" w:eastAsia="宋体" w:cs="Times New Roman"/>
                      <w:color w:val="auto"/>
                      <w:sz w:val="21"/>
                      <w:szCs w:val="21"/>
                      <w:lang w:val="en-US" w:eastAsia="zh-CN"/>
                    </w:rPr>
                    <w:t>4</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5D27DC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38.11387</w:t>
                  </w:r>
                  <w:r>
                    <w:rPr>
                      <w:rFonts w:hint="eastAsia" w:ascii="Times New Roman" w:hAnsi="Times New Roman" w:eastAsia="宋体" w:cs="Times New Roman"/>
                      <w:color w:val="auto"/>
                      <w:sz w:val="21"/>
                      <w:szCs w:val="21"/>
                      <w:lang w:val="en-US" w:eastAsia="zh-CN"/>
                    </w:rPr>
                    <w:t>9</w:t>
                  </w:r>
                </w:p>
              </w:tc>
              <w:tc>
                <w:tcPr>
                  <w:tcW w:w="430" w:type="pct"/>
                  <w:tcBorders>
                    <w:top w:val="single" w:color="auto" w:sz="4" w:space="0"/>
                    <w:left w:val="single" w:color="auto" w:sz="4" w:space="0"/>
                    <w:bottom w:val="single" w:color="auto" w:sz="4" w:space="0"/>
                    <w:right w:val="single" w:color="auto" w:sz="4" w:space="0"/>
                  </w:tcBorders>
                  <w:noWrap w:val="0"/>
                  <w:vAlign w:val="center"/>
                </w:tcPr>
                <w:p w14:paraId="2D30CD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刘仓坬村</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0B4E66E2">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4户10人</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2C86CA0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493260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571669C0">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303</w:t>
                  </w:r>
                </w:p>
              </w:tc>
            </w:tr>
            <w:tr w14:paraId="3610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vMerge w:val="continue"/>
                  <w:tcBorders>
                    <w:left w:val="single" w:color="auto" w:sz="4" w:space="0"/>
                    <w:right w:val="single" w:color="auto" w:sz="4" w:space="0"/>
                  </w:tcBorders>
                  <w:noWrap w:val="0"/>
                  <w:vAlign w:val="center"/>
                </w:tcPr>
                <w:p w14:paraId="17A66B8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F325DF">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米107-34M</w:t>
                  </w:r>
                </w:p>
              </w:tc>
              <w:tc>
                <w:tcPr>
                  <w:tcW w:w="3867" w:type="pct"/>
                  <w:gridSpan w:val="7"/>
                  <w:tcBorders>
                    <w:top w:val="single" w:color="auto" w:sz="4" w:space="0"/>
                    <w:left w:val="single" w:color="auto" w:sz="4" w:space="0"/>
                    <w:bottom w:val="single" w:color="auto" w:sz="4" w:space="0"/>
                    <w:right w:val="single" w:color="auto" w:sz="4" w:space="0"/>
                  </w:tcBorders>
                  <w:noWrap w:val="0"/>
                  <w:vAlign w:val="center"/>
                </w:tcPr>
                <w:p w14:paraId="5741F0EA">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周边500m范围内无大气环境保护目标</w:t>
                  </w:r>
                </w:p>
              </w:tc>
            </w:tr>
            <w:tr w14:paraId="0D36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tcBorders>
                    <w:left w:val="single" w:color="auto" w:sz="4" w:space="0"/>
                    <w:right w:val="single" w:color="auto" w:sz="4" w:space="0"/>
                  </w:tcBorders>
                  <w:noWrap w:val="0"/>
                  <w:vAlign w:val="center"/>
                </w:tcPr>
                <w:p w14:paraId="1989846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声环境</w:t>
                  </w: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2767F4">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米107-6MX、米107-10MX、米107-11M、米107-12M、米107-15M、米107-34M</w:t>
                  </w:r>
                </w:p>
              </w:tc>
              <w:tc>
                <w:tcPr>
                  <w:tcW w:w="3867" w:type="pct"/>
                  <w:gridSpan w:val="7"/>
                  <w:tcBorders>
                    <w:top w:val="single" w:color="auto" w:sz="4" w:space="0"/>
                    <w:left w:val="single" w:color="auto" w:sz="4" w:space="0"/>
                    <w:bottom w:val="single" w:color="auto" w:sz="4" w:space="0"/>
                    <w:right w:val="single" w:color="auto" w:sz="4" w:space="0"/>
                  </w:tcBorders>
                  <w:noWrap w:val="0"/>
                  <w:vAlign w:val="center"/>
                </w:tcPr>
                <w:p w14:paraId="7B20301F">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周边200m范围内无声环境保护目标</w:t>
                  </w:r>
                </w:p>
              </w:tc>
            </w:tr>
            <w:tr w14:paraId="44AA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tcBorders>
                    <w:left w:val="single" w:color="auto" w:sz="4" w:space="0"/>
                    <w:right w:val="single" w:color="auto" w:sz="4" w:space="0"/>
                  </w:tcBorders>
                  <w:noWrap w:val="0"/>
                  <w:vAlign w:val="center"/>
                </w:tcPr>
                <w:p w14:paraId="377897C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地表水</w:t>
                  </w: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5BFA6F">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lang w:val="en-US" w:eastAsia="zh-CN" w:bidi="ar"/>
                    </w:rPr>
                    <w:t>107-10MX</w:t>
                  </w:r>
                </w:p>
              </w:tc>
              <w:tc>
                <w:tcPr>
                  <w:tcW w:w="821" w:type="pct"/>
                  <w:tcBorders>
                    <w:top w:val="single" w:color="auto" w:sz="4" w:space="0"/>
                    <w:left w:val="single" w:color="auto" w:sz="4" w:space="0"/>
                    <w:bottom w:val="single" w:color="auto" w:sz="4" w:space="0"/>
                    <w:right w:val="single" w:color="auto" w:sz="4" w:space="0"/>
                  </w:tcBorders>
                  <w:noWrap w:val="0"/>
                  <w:vAlign w:val="center"/>
                </w:tcPr>
                <w:p w14:paraId="5AC8183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110.222458</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01AE3FD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38.132040</w:t>
                  </w:r>
                </w:p>
              </w:tc>
              <w:tc>
                <w:tcPr>
                  <w:tcW w:w="430" w:type="pct"/>
                  <w:tcBorders>
                    <w:top w:val="single" w:color="auto" w:sz="4" w:space="0"/>
                    <w:left w:val="single" w:color="auto" w:sz="4" w:space="0"/>
                    <w:bottom w:val="single" w:color="auto" w:sz="4" w:space="0"/>
                    <w:right w:val="single" w:color="auto" w:sz="4" w:space="0"/>
                  </w:tcBorders>
                  <w:noWrap w:val="0"/>
                  <w:vAlign w:val="center"/>
                </w:tcPr>
                <w:p w14:paraId="2255D0F8">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无女河</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306827A4">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水质</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7315C626">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宋体" w:hAnsi="宋体" w:eastAsia="宋体" w:cs="宋体"/>
                      <w:bCs/>
                      <w:color w:val="auto"/>
                      <w:sz w:val="21"/>
                      <w:szCs w:val="21"/>
                      <w:lang w:val="en-US" w:eastAsia="zh-CN"/>
                    </w:rPr>
                    <w:t>Ⅲ类</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36709389">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北侧</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43287E00">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260</w:t>
                  </w:r>
                </w:p>
              </w:tc>
            </w:tr>
            <w:tr w14:paraId="097A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tcBorders>
                    <w:left w:val="single" w:color="auto" w:sz="4" w:space="0"/>
                    <w:right w:val="single" w:color="auto" w:sz="4" w:space="0"/>
                  </w:tcBorders>
                  <w:noWrap w:val="0"/>
                  <w:vAlign w:val="center"/>
                </w:tcPr>
                <w:p w14:paraId="6B5410D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地下水</w:t>
                  </w: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5C63B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1"/>
                      <w:szCs w:val="21"/>
                      <w:lang w:val="en-US" w:eastAsia="zh-CN"/>
                    </w:rPr>
                    <w:t>米107-6MX、米107-10MX、米107-11M、米107-12M、米107-15M、米107-34M</w:t>
                  </w:r>
                </w:p>
              </w:tc>
              <w:tc>
                <w:tcPr>
                  <w:tcW w:w="3867" w:type="pct"/>
                  <w:gridSpan w:val="7"/>
                  <w:tcBorders>
                    <w:top w:val="single" w:color="auto" w:sz="4" w:space="0"/>
                    <w:left w:val="single" w:color="auto" w:sz="4" w:space="0"/>
                    <w:bottom w:val="single" w:color="auto" w:sz="4" w:space="0"/>
                    <w:right w:val="single" w:color="auto" w:sz="4" w:space="0"/>
                  </w:tcBorders>
                  <w:noWrap w:val="0"/>
                  <w:vAlign w:val="center"/>
                </w:tcPr>
                <w:p w14:paraId="15611F91">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500m范围内无地下水集中式</w:t>
                  </w:r>
                  <w:r>
                    <w:rPr>
                      <w:rFonts w:hint="eastAsia" w:ascii="Times New Roman" w:hAnsi="Times New Roman" w:eastAsia="宋体" w:cs="Times New Roman"/>
                      <w:bCs/>
                      <w:color w:val="auto"/>
                      <w:sz w:val="21"/>
                      <w:szCs w:val="21"/>
                      <w:lang w:val="en-US" w:eastAsia="zh-CN"/>
                    </w:rPr>
                    <w:t>和分散式</w:t>
                  </w:r>
                  <w:r>
                    <w:rPr>
                      <w:rFonts w:hint="default" w:ascii="Times New Roman" w:hAnsi="Times New Roman" w:eastAsia="宋体" w:cs="Times New Roman"/>
                      <w:bCs/>
                      <w:color w:val="auto"/>
                      <w:sz w:val="21"/>
                      <w:szCs w:val="21"/>
                      <w:lang w:val="en-US" w:eastAsia="zh-CN"/>
                    </w:rPr>
                    <w:t>饮用水水源和热水、矿泉水、温泉等特殊地下水资源</w:t>
                  </w:r>
                </w:p>
              </w:tc>
            </w:tr>
            <w:tr w14:paraId="194D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43" w:type="pct"/>
                  <w:tcBorders>
                    <w:left w:val="single" w:color="auto" w:sz="4" w:space="0"/>
                    <w:bottom w:val="single" w:color="auto" w:sz="4" w:space="0"/>
                    <w:right w:val="single" w:color="auto" w:sz="4" w:space="0"/>
                  </w:tcBorders>
                  <w:noWrap w:val="0"/>
                  <w:vAlign w:val="center"/>
                </w:tcPr>
                <w:p w14:paraId="46CD089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生态环境</w:t>
                  </w:r>
                </w:p>
              </w:tc>
              <w:tc>
                <w:tcPr>
                  <w:tcW w:w="8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ACB40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米107-12M、米107-15M</w:t>
                  </w:r>
                </w:p>
              </w:tc>
              <w:tc>
                <w:tcPr>
                  <w:tcW w:w="3867" w:type="pct"/>
                  <w:gridSpan w:val="7"/>
                  <w:tcBorders>
                    <w:top w:val="single" w:color="auto" w:sz="4" w:space="0"/>
                    <w:left w:val="single" w:color="auto" w:sz="4" w:space="0"/>
                    <w:bottom w:val="single" w:color="auto" w:sz="4" w:space="0"/>
                    <w:right w:val="single" w:color="auto" w:sz="4" w:space="0"/>
                  </w:tcBorders>
                  <w:noWrap w:val="0"/>
                  <w:vAlign w:val="center"/>
                </w:tcPr>
                <w:p w14:paraId="06BA420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井场占地范围内的二级公益林</w:t>
                  </w:r>
                </w:p>
              </w:tc>
            </w:tr>
          </w:tbl>
          <w:p w14:paraId="1CB2F3EC">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r w14:paraId="5CF8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6FAD8B7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评价标准</w:t>
            </w:r>
          </w:p>
        </w:tc>
        <w:tc>
          <w:tcPr>
            <w:tcW w:w="8521" w:type="dxa"/>
            <w:vAlign w:val="center"/>
          </w:tcPr>
          <w:p w14:paraId="39EB0C9F">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1、环境质量标准</w:t>
            </w:r>
          </w:p>
          <w:p w14:paraId="60B416BA">
            <w:pPr>
              <w:adjustRightInd w:val="0"/>
              <w:snapToGrid w:val="0"/>
              <w:spacing w:line="360" w:lineRule="auto"/>
              <w:ind w:firstLine="480" w:firstLineChars="200"/>
              <w:jc w:val="both"/>
              <w:rPr>
                <w:rFonts w:hint="default" w:ascii="Times New Roman" w:hAnsi="Times New Roman" w:cs="Times New Roman"/>
                <w:color w:val="auto"/>
                <w:sz w:val="24"/>
                <w:highlight w:val="yellow"/>
              </w:rPr>
            </w:pPr>
            <w:r>
              <w:rPr>
                <w:rFonts w:hint="default" w:ascii="Times New Roman" w:hAnsi="Times New Roman" w:cs="Times New Roman"/>
                <w:color w:val="auto"/>
                <w:sz w:val="24"/>
              </w:rPr>
              <w:t>（1）环境空气质量：基本因子执行《环境空气质量标准》（GB3095-2012）中二级标准。</w:t>
            </w:r>
          </w:p>
          <w:p w14:paraId="3B5409CD">
            <w:pPr>
              <w:pStyle w:val="27"/>
              <w:ind w:right="91" w:firstLine="482"/>
              <w:jc w:val="center"/>
              <w:rPr>
                <w:rFonts w:hint="default" w:ascii="Times New Roman" w:hAnsi="Times New Roman" w:cs="Times New Roman"/>
                <w:b/>
                <w:bCs/>
                <w:color w:val="auto"/>
                <w:sz w:val="21"/>
                <w:szCs w:val="21"/>
                <w:lang w:val="en-US" w:bidi="ar-SA"/>
              </w:rPr>
            </w:pPr>
            <w:r>
              <w:rPr>
                <w:rFonts w:hint="default" w:ascii="Times New Roman" w:hAnsi="Times New Roman" w:cs="Times New Roman"/>
                <w:b/>
                <w:bCs/>
                <w:color w:val="auto"/>
                <w:sz w:val="21"/>
                <w:szCs w:val="21"/>
                <w:lang w:val="en-US" w:bidi="ar-SA"/>
              </w:rPr>
              <w:t>表3-</w:t>
            </w:r>
            <w:r>
              <w:rPr>
                <w:rFonts w:hint="eastAsia" w:ascii="Times New Roman" w:hAnsi="Times New Roman" w:cs="Times New Roman"/>
                <w:b/>
                <w:bCs/>
                <w:color w:val="auto"/>
                <w:sz w:val="21"/>
                <w:szCs w:val="21"/>
                <w:lang w:val="en-US" w:eastAsia="zh-CN" w:bidi="ar-SA"/>
              </w:rPr>
              <w:t>3</w:t>
            </w:r>
            <w:r>
              <w:rPr>
                <w:rFonts w:hint="default" w:ascii="Times New Roman" w:hAnsi="Times New Roman" w:cs="Times New Roman"/>
                <w:b/>
                <w:bCs/>
                <w:color w:val="auto"/>
                <w:sz w:val="21"/>
                <w:szCs w:val="21"/>
                <w:lang w:val="en-US" w:bidi="ar-SA"/>
              </w:rPr>
              <w:t xml:space="preserve">  </w:t>
            </w:r>
            <w:r>
              <w:rPr>
                <w:rFonts w:hint="default" w:ascii="Times New Roman" w:hAnsi="Times New Roman" w:cs="Times New Roman"/>
                <w:b/>
                <w:bCs/>
                <w:color w:val="auto"/>
                <w:sz w:val="21"/>
                <w:szCs w:val="21"/>
                <w:lang w:val="en-US" w:eastAsia="zh-CN" w:bidi="ar-SA"/>
              </w:rPr>
              <w:t xml:space="preserve"> </w:t>
            </w:r>
            <w:r>
              <w:rPr>
                <w:rFonts w:hint="default" w:ascii="Times New Roman" w:hAnsi="Times New Roman" w:cs="Times New Roman"/>
                <w:b/>
                <w:bCs/>
                <w:color w:val="auto"/>
                <w:sz w:val="21"/>
                <w:szCs w:val="21"/>
                <w:lang w:val="en-US" w:bidi="ar-SA"/>
              </w:rPr>
              <w:t>环境空气质量标准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2982"/>
              <w:gridCol w:w="1475"/>
              <w:gridCol w:w="1474"/>
            </w:tblGrid>
            <w:tr w14:paraId="7518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20F9F6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2686" w:type="pct"/>
                  <w:gridSpan w:val="2"/>
                  <w:noWrap w:val="0"/>
                  <w:vAlign w:val="center"/>
                </w:tcPr>
                <w:p w14:paraId="7F76F3B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888" w:type="pct"/>
                  <w:vMerge w:val="restart"/>
                  <w:noWrap w:val="0"/>
                  <w:vAlign w:val="center"/>
                </w:tcPr>
                <w:p w14:paraId="19061832">
                  <w:pPr>
                    <w:pStyle w:val="24"/>
                    <w:spacing w:beforeLines="0" w:afterLines="0" w:line="240" w:lineRule="auto"/>
                    <w:ind w:left="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单位</w:t>
                  </w:r>
                </w:p>
              </w:tc>
            </w:tr>
            <w:tr w14:paraId="6A77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0B12CDB">
                  <w:pPr>
                    <w:jc w:val="center"/>
                    <w:rPr>
                      <w:rFonts w:hint="default" w:ascii="Times New Roman" w:hAnsi="Times New Roman" w:cs="Times New Roman"/>
                      <w:b/>
                      <w:bCs/>
                      <w:color w:val="auto"/>
                      <w:sz w:val="21"/>
                      <w:szCs w:val="21"/>
                    </w:rPr>
                  </w:pPr>
                </w:p>
              </w:tc>
              <w:tc>
                <w:tcPr>
                  <w:tcW w:w="1797" w:type="pct"/>
                  <w:noWrap w:val="0"/>
                  <w:vAlign w:val="center"/>
                </w:tcPr>
                <w:p w14:paraId="5D01148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取值时间</w:t>
                  </w:r>
                </w:p>
              </w:tc>
              <w:tc>
                <w:tcPr>
                  <w:tcW w:w="889" w:type="pct"/>
                  <w:noWrap w:val="0"/>
                  <w:vAlign w:val="center"/>
                </w:tcPr>
                <w:p w14:paraId="6D2A45F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二级标准</w:t>
                  </w:r>
                </w:p>
              </w:tc>
              <w:tc>
                <w:tcPr>
                  <w:tcW w:w="888" w:type="pct"/>
                  <w:vMerge w:val="continue"/>
                  <w:noWrap w:val="0"/>
                  <w:vAlign w:val="center"/>
                </w:tcPr>
                <w:p w14:paraId="17E824C6">
                  <w:pPr>
                    <w:pStyle w:val="24"/>
                    <w:spacing w:beforeLines="0" w:afterLines="0" w:line="240" w:lineRule="auto"/>
                    <w:ind w:left="0" w:firstLine="0"/>
                    <w:rPr>
                      <w:rFonts w:hint="default" w:ascii="Times New Roman" w:hAnsi="Times New Roman" w:cs="Times New Roman"/>
                      <w:color w:val="auto"/>
                      <w:sz w:val="21"/>
                      <w:szCs w:val="21"/>
                    </w:rPr>
                  </w:pPr>
                </w:p>
              </w:tc>
            </w:tr>
            <w:tr w14:paraId="5397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402E493">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57A53B6B">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3C4445F6">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60</w:t>
                  </w:r>
                </w:p>
              </w:tc>
              <w:tc>
                <w:tcPr>
                  <w:tcW w:w="888" w:type="pct"/>
                  <w:vMerge w:val="restart"/>
                  <w:noWrap w:val="0"/>
                  <w:vAlign w:val="center"/>
                </w:tcPr>
                <w:p w14:paraId="5D2A1FE7">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5389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555B0D6">
                  <w:pPr>
                    <w:widowControl/>
                    <w:jc w:val="center"/>
                    <w:rPr>
                      <w:rFonts w:hint="default" w:ascii="Times New Roman" w:hAnsi="Times New Roman" w:cs="Times New Roman"/>
                      <w:color w:val="auto"/>
                      <w:sz w:val="21"/>
                      <w:szCs w:val="21"/>
                    </w:rPr>
                  </w:pPr>
                </w:p>
              </w:tc>
              <w:tc>
                <w:tcPr>
                  <w:tcW w:w="1797" w:type="pct"/>
                  <w:noWrap w:val="0"/>
                  <w:vAlign w:val="center"/>
                </w:tcPr>
                <w:p w14:paraId="611BEBF8">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337F4576">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0A00E323">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489B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21C68B6">
                  <w:pPr>
                    <w:widowControl/>
                    <w:jc w:val="center"/>
                    <w:rPr>
                      <w:rFonts w:hint="default" w:ascii="Times New Roman" w:hAnsi="Times New Roman" w:cs="Times New Roman"/>
                      <w:color w:val="auto"/>
                      <w:sz w:val="21"/>
                      <w:szCs w:val="21"/>
                    </w:rPr>
                  </w:pPr>
                </w:p>
              </w:tc>
              <w:tc>
                <w:tcPr>
                  <w:tcW w:w="1797" w:type="pct"/>
                  <w:noWrap w:val="0"/>
                  <w:vAlign w:val="center"/>
                </w:tcPr>
                <w:p w14:paraId="52D646BE">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842581A">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500</w:t>
                  </w:r>
                </w:p>
              </w:tc>
              <w:tc>
                <w:tcPr>
                  <w:tcW w:w="888" w:type="pct"/>
                  <w:vMerge w:val="continue"/>
                  <w:noWrap w:val="0"/>
                  <w:vAlign w:val="center"/>
                </w:tcPr>
                <w:p w14:paraId="6ABB18F3">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743C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72FFBAE4">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二氧化氮（NO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7B6A6A3E">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1721A899">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888" w:type="pct"/>
                  <w:vMerge w:val="continue"/>
                  <w:noWrap w:val="0"/>
                  <w:vAlign w:val="center"/>
                </w:tcPr>
                <w:p w14:paraId="103FEBF8">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1C9C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BF8406D">
                  <w:pPr>
                    <w:widowControl/>
                    <w:jc w:val="center"/>
                    <w:rPr>
                      <w:rFonts w:hint="default" w:ascii="Times New Roman" w:hAnsi="Times New Roman" w:cs="Times New Roman"/>
                      <w:color w:val="auto"/>
                      <w:sz w:val="21"/>
                      <w:szCs w:val="21"/>
                    </w:rPr>
                  </w:pPr>
                </w:p>
              </w:tc>
              <w:tc>
                <w:tcPr>
                  <w:tcW w:w="1797" w:type="pct"/>
                  <w:noWrap w:val="0"/>
                  <w:vAlign w:val="center"/>
                </w:tcPr>
                <w:p w14:paraId="00D541DF">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0A99B016">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80</w:t>
                  </w:r>
                </w:p>
              </w:tc>
              <w:tc>
                <w:tcPr>
                  <w:tcW w:w="888" w:type="pct"/>
                  <w:vMerge w:val="continue"/>
                  <w:noWrap w:val="0"/>
                  <w:vAlign w:val="center"/>
                </w:tcPr>
                <w:p w14:paraId="6098AA22">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0406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E21A7BA">
                  <w:pPr>
                    <w:widowControl/>
                    <w:jc w:val="center"/>
                    <w:rPr>
                      <w:rFonts w:hint="default" w:ascii="Times New Roman" w:hAnsi="Times New Roman" w:cs="Times New Roman"/>
                      <w:color w:val="auto"/>
                      <w:sz w:val="21"/>
                      <w:szCs w:val="21"/>
                    </w:rPr>
                  </w:pPr>
                </w:p>
              </w:tc>
              <w:tc>
                <w:tcPr>
                  <w:tcW w:w="1797" w:type="pct"/>
                  <w:noWrap w:val="0"/>
                  <w:vAlign w:val="center"/>
                </w:tcPr>
                <w:p w14:paraId="049B82AC">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253224B">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1432E878">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52BC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C8395F3">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w:t>
                  </w:r>
                </w:p>
              </w:tc>
              <w:tc>
                <w:tcPr>
                  <w:tcW w:w="1797" w:type="pct"/>
                  <w:noWrap w:val="0"/>
                  <w:vAlign w:val="center"/>
                </w:tcPr>
                <w:p w14:paraId="709F7F9C">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52BFEFD2">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70</w:t>
                  </w:r>
                </w:p>
              </w:tc>
              <w:tc>
                <w:tcPr>
                  <w:tcW w:w="888" w:type="pct"/>
                  <w:vMerge w:val="continue"/>
                  <w:noWrap w:val="0"/>
                  <w:vAlign w:val="center"/>
                </w:tcPr>
                <w:p w14:paraId="72AA9516">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6404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CA47CF8">
                  <w:pPr>
                    <w:widowControl/>
                    <w:jc w:val="center"/>
                    <w:rPr>
                      <w:rFonts w:hint="default" w:ascii="Times New Roman" w:hAnsi="Times New Roman" w:cs="Times New Roman"/>
                      <w:color w:val="auto"/>
                      <w:sz w:val="21"/>
                      <w:szCs w:val="21"/>
                    </w:rPr>
                  </w:pPr>
                </w:p>
              </w:tc>
              <w:tc>
                <w:tcPr>
                  <w:tcW w:w="1797" w:type="pct"/>
                  <w:noWrap w:val="0"/>
                  <w:vAlign w:val="center"/>
                </w:tcPr>
                <w:p w14:paraId="5F188FA1">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276330B9">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0D12CFE1">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5581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4E3F84F">
                  <w:pPr>
                    <w:pStyle w:val="5"/>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w:t>
                  </w:r>
                </w:p>
              </w:tc>
              <w:tc>
                <w:tcPr>
                  <w:tcW w:w="1797" w:type="pct"/>
                  <w:noWrap w:val="0"/>
                  <w:vAlign w:val="center"/>
                </w:tcPr>
                <w:p w14:paraId="7845B2F8">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12A14BE6">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35</w:t>
                  </w:r>
                </w:p>
              </w:tc>
              <w:tc>
                <w:tcPr>
                  <w:tcW w:w="888" w:type="pct"/>
                  <w:vMerge w:val="continue"/>
                  <w:noWrap w:val="0"/>
                  <w:vAlign w:val="center"/>
                </w:tcPr>
                <w:p w14:paraId="641777FC">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29C1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45F2BB2">
                  <w:pPr>
                    <w:pStyle w:val="5"/>
                    <w:ind w:firstLine="0"/>
                    <w:jc w:val="center"/>
                    <w:rPr>
                      <w:rFonts w:hint="default" w:ascii="Times New Roman" w:hAnsi="Times New Roman" w:cs="Times New Roman"/>
                      <w:color w:val="auto"/>
                      <w:sz w:val="21"/>
                      <w:szCs w:val="21"/>
                    </w:rPr>
                  </w:pPr>
                </w:p>
              </w:tc>
              <w:tc>
                <w:tcPr>
                  <w:tcW w:w="1797" w:type="pct"/>
                  <w:noWrap w:val="0"/>
                  <w:vAlign w:val="center"/>
                </w:tcPr>
                <w:p w14:paraId="661D5279">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0FF95CC8">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75</w:t>
                  </w:r>
                </w:p>
              </w:tc>
              <w:tc>
                <w:tcPr>
                  <w:tcW w:w="888" w:type="pct"/>
                  <w:vMerge w:val="continue"/>
                  <w:noWrap w:val="0"/>
                  <w:vAlign w:val="center"/>
                </w:tcPr>
                <w:p w14:paraId="6C8A2D2A">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3FCC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6C670B6">
                  <w:pPr>
                    <w:pStyle w:val="5"/>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一氧化碳（CO）</w:t>
                  </w:r>
                </w:p>
              </w:tc>
              <w:tc>
                <w:tcPr>
                  <w:tcW w:w="1797" w:type="pct"/>
                  <w:noWrap w:val="0"/>
                  <w:vAlign w:val="center"/>
                </w:tcPr>
                <w:p w14:paraId="12871776">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547E8768">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w:t>
                  </w:r>
                </w:p>
              </w:tc>
              <w:tc>
                <w:tcPr>
                  <w:tcW w:w="888" w:type="pct"/>
                  <w:vMerge w:val="restart"/>
                  <w:noWrap w:val="0"/>
                  <w:vAlign w:val="center"/>
                </w:tcPr>
                <w:p w14:paraId="431D21B8">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r>
            <w:tr w14:paraId="7769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472DDFB8">
                  <w:pPr>
                    <w:pStyle w:val="5"/>
                    <w:ind w:firstLine="0"/>
                    <w:jc w:val="center"/>
                    <w:rPr>
                      <w:rFonts w:hint="default" w:ascii="Times New Roman" w:hAnsi="Times New Roman" w:cs="Times New Roman"/>
                      <w:color w:val="auto"/>
                      <w:sz w:val="21"/>
                      <w:szCs w:val="21"/>
                    </w:rPr>
                  </w:pPr>
                </w:p>
              </w:tc>
              <w:tc>
                <w:tcPr>
                  <w:tcW w:w="1797" w:type="pct"/>
                  <w:noWrap w:val="0"/>
                  <w:vAlign w:val="center"/>
                </w:tcPr>
                <w:p w14:paraId="49FE807C">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0F25F4B">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w:t>
                  </w:r>
                </w:p>
              </w:tc>
              <w:tc>
                <w:tcPr>
                  <w:tcW w:w="888" w:type="pct"/>
                  <w:vMerge w:val="continue"/>
                  <w:noWrap w:val="0"/>
                  <w:vAlign w:val="center"/>
                </w:tcPr>
                <w:p w14:paraId="6AFF8924">
                  <w:pPr>
                    <w:pStyle w:val="24"/>
                    <w:spacing w:beforeLines="0" w:afterLines="0" w:line="240" w:lineRule="auto"/>
                    <w:ind w:left="0" w:firstLine="0"/>
                    <w:rPr>
                      <w:rFonts w:hint="default" w:ascii="Times New Roman" w:hAnsi="Times New Roman" w:cs="Times New Roman"/>
                      <w:b w:val="0"/>
                      <w:bCs/>
                      <w:color w:val="auto"/>
                      <w:sz w:val="21"/>
                      <w:szCs w:val="21"/>
                    </w:rPr>
                  </w:pPr>
                </w:p>
              </w:tc>
            </w:tr>
            <w:tr w14:paraId="4746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4E628C51">
                  <w:pPr>
                    <w:pStyle w:val="5"/>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p>
              </w:tc>
              <w:tc>
                <w:tcPr>
                  <w:tcW w:w="1797" w:type="pct"/>
                  <w:noWrap w:val="0"/>
                  <w:vAlign w:val="center"/>
                </w:tcPr>
                <w:p w14:paraId="358873D7">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日最大8h平均</w:t>
                  </w:r>
                </w:p>
              </w:tc>
              <w:tc>
                <w:tcPr>
                  <w:tcW w:w="889" w:type="pct"/>
                  <w:noWrap w:val="0"/>
                  <w:vAlign w:val="center"/>
                </w:tcPr>
                <w:p w14:paraId="55678184">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160</w:t>
                  </w:r>
                </w:p>
              </w:tc>
              <w:tc>
                <w:tcPr>
                  <w:tcW w:w="888" w:type="pct"/>
                  <w:vMerge w:val="restart"/>
                  <w:noWrap w:val="0"/>
                  <w:vAlign w:val="center"/>
                </w:tcPr>
                <w:p w14:paraId="7830AA8E">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42C8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0E7024CC">
                  <w:pPr>
                    <w:pStyle w:val="5"/>
                    <w:ind w:firstLine="0"/>
                    <w:jc w:val="center"/>
                    <w:rPr>
                      <w:rFonts w:hint="default" w:ascii="Times New Roman" w:hAnsi="Times New Roman" w:cs="Times New Roman"/>
                      <w:color w:val="auto"/>
                      <w:sz w:val="21"/>
                      <w:szCs w:val="21"/>
                    </w:rPr>
                  </w:pPr>
                </w:p>
              </w:tc>
              <w:tc>
                <w:tcPr>
                  <w:tcW w:w="1797" w:type="pct"/>
                  <w:noWrap w:val="0"/>
                  <w:vAlign w:val="center"/>
                </w:tcPr>
                <w:p w14:paraId="2947238E">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1D3A5B5B">
                  <w:pPr>
                    <w:pStyle w:val="24"/>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713C1D15">
                  <w:pPr>
                    <w:pStyle w:val="24"/>
                    <w:spacing w:beforeLines="0" w:afterLines="0" w:line="240" w:lineRule="auto"/>
                    <w:ind w:left="0" w:firstLine="0"/>
                    <w:rPr>
                      <w:rFonts w:hint="default" w:ascii="Times New Roman" w:hAnsi="Times New Roman" w:cs="Times New Roman"/>
                      <w:b w:val="0"/>
                      <w:bCs/>
                      <w:color w:val="auto"/>
                      <w:sz w:val="21"/>
                      <w:szCs w:val="21"/>
                    </w:rPr>
                  </w:pPr>
                </w:p>
              </w:tc>
            </w:tr>
          </w:tbl>
          <w:p w14:paraId="2C1F405F">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（2）声环境质量标准：本项目所在区域属</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类声环境功能区，声环境质量执行《声环境质量标准》（GB3096-2008）</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类标准。</w:t>
            </w:r>
          </w:p>
          <w:p w14:paraId="5D46EBF5">
            <w:pPr>
              <w:widowControl/>
              <w:adjustRightInd w:val="0"/>
              <w:snapToGrid w:val="0"/>
              <w:jc w:val="center"/>
              <w:rPr>
                <w:rFonts w:hint="default" w:ascii="Times New Roman" w:hAnsi="Times New Roman" w:cs="Times New Roman"/>
                <w:b/>
                <w:bCs/>
                <w:color w:val="auto"/>
              </w:rPr>
            </w:pPr>
          </w:p>
          <w:p w14:paraId="3CE65E9C">
            <w:pPr>
              <w:widowControl/>
              <w:adjustRightInd w:val="0"/>
              <w:snapToGrid w:val="0"/>
              <w:jc w:val="center"/>
              <w:rPr>
                <w:rFonts w:hint="default" w:ascii="Times New Roman" w:hAnsi="Times New Roman" w:cs="Times New Roman"/>
                <w:b/>
                <w:bCs/>
                <w:color w:val="auto"/>
              </w:rPr>
            </w:pPr>
          </w:p>
          <w:p w14:paraId="706C39AB">
            <w:pPr>
              <w:widowControl/>
              <w:adjustRightInd w:val="0"/>
              <w:snapToGrid w:val="0"/>
              <w:jc w:val="center"/>
              <w:rPr>
                <w:rFonts w:hint="default" w:ascii="Times New Roman" w:hAnsi="Times New Roman" w:cs="Times New Roman"/>
                <w:b/>
                <w:bCs/>
                <w:color w:val="auto"/>
              </w:rPr>
            </w:pPr>
          </w:p>
          <w:p w14:paraId="29431B83">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环境噪声评价标准    单位：dB(A)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2871"/>
              <w:gridCol w:w="1276"/>
              <w:gridCol w:w="959"/>
              <w:gridCol w:w="957"/>
              <w:gridCol w:w="908"/>
            </w:tblGrid>
            <w:tr w14:paraId="091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8" w:type="pct"/>
                  <w:vMerge w:val="restart"/>
                  <w:noWrap w:val="0"/>
                  <w:vAlign w:val="center"/>
                </w:tcPr>
                <w:p w14:paraId="6D133C8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环境类别</w:t>
                  </w:r>
                </w:p>
              </w:tc>
              <w:tc>
                <w:tcPr>
                  <w:tcW w:w="1730" w:type="pct"/>
                  <w:vMerge w:val="restart"/>
                  <w:noWrap w:val="0"/>
                  <w:vAlign w:val="center"/>
                </w:tcPr>
                <w:p w14:paraId="35EF745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标准名称及级（类）别</w:t>
                  </w:r>
                </w:p>
              </w:tc>
              <w:tc>
                <w:tcPr>
                  <w:tcW w:w="769" w:type="pct"/>
                  <w:vMerge w:val="restart"/>
                  <w:noWrap w:val="0"/>
                  <w:vAlign w:val="center"/>
                </w:tcPr>
                <w:p w14:paraId="0DC96B57">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702" w:type="pct"/>
                  <w:gridSpan w:val="3"/>
                  <w:noWrap w:val="0"/>
                  <w:vAlign w:val="center"/>
                </w:tcPr>
                <w:p w14:paraId="700B9E4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r>
            <w:tr w14:paraId="7ADE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continue"/>
                  <w:noWrap w:val="0"/>
                  <w:vAlign w:val="center"/>
                </w:tcPr>
                <w:p w14:paraId="330F4836">
                  <w:pPr>
                    <w:jc w:val="center"/>
                    <w:rPr>
                      <w:rFonts w:hint="default" w:ascii="Times New Roman" w:hAnsi="Times New Roman" w:cs="Times New Roman"/>
                      <w:b/>
                      <w:bCs/>
                      <w:color w:val="auto"/>
                      <w:sz w:val="21"/>
                      <w:szCs w:val="21"/>
                    </w:rPr>
                  </w:pPr>
                </w:p>
              </w:tc>
              <w:tc>
                <w:tcPr>
                  <w:tcW w:w="1730" w:type="pct"/>
                  <w:vMerge w:val="continue"/>
                  <w:noWrap w:val="0"/>
                  <w:vAlign w:val="center"/>
                </w:tcPr>
                <w:p w14:paraId="4495D903">
                  <w:pPr>
                    <w:jc w:val="center"/>
                    <w:rPr>
                      <w:rFonts w:hint="default" w:ascii="Times New Roman" w:hAnsi="Times New Roman" w:cs="Times New Roman"/>
                      <w:b/>
                      <w:bCs/>
                      <w:color w:val="auto"/>
                      <w:sz w:val="21"/>
                      <w:szCs w:val="21"/>
                    </w:rPr>
                  </w:pPr>
                </w:p>
              </w:tc>
              <w:tc>
                <w:tcPr>
                  <w:tcW w:w="769" w:type="pct"/>
                  <w:vMerge w:val="continue"/>
                  <w:noWrap w:val="0"/>
                  <w:vAlign w:val="center"/>
                </w:tcPr>
                <w:p w14:paraId="6F2B35A2">
                  <w:pPr>
                    <w:jc w:val="center"/>
                    <w:rPr>
                      <w:rFonts w:hint="default" w:ascii="Times New Roman" w:hAnsi="Times New Roman" w:cs="Times New Roman"/>
                      <w:b/>
                      <w:bCs/>
                      <w:color w:val="auto"/>
                      <w:sz w:val="21"/>
                      <w:szCs w:val="21"/>
                    </w:rPr>
                  </w:pPr>
                </w:p>
              </w:tc>
              <w:tc>
                <w:tcPr>
                  <w:tcW w:w="578" w:type="pct"/>
                  <w:noWrap w:val="0"/>
                  <w:vAlign w:val="center"/>
                </w:tcPr>
                <w:p w14:paraId="2A50674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124" w:type="pct"/>
                  <w:gridSpan w:val="2"/>
                  <w:noWrap w:val="0"/>
                  <w:vAlign w:val="center"/>
                </w:tcPr>
                <w:p w14:paraId="234AB06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数值</w:t>
                  </w:r>
                </w:p>
              </w:tc>
            </w:tr>
            <w:tr w14:paraId="2667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restart"/>
                  <w:noWrap w:val="0"/>
                  <w:vAlign w:val="center"/>
                </w:tcPr>
                <w:p w14:paraId="219B871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730" w:type="pct"/>
                  <w:vMerge w:val="restart"/>
                  <w:noWrap w:val="0"/>
                  <w:vAlign w:val="center"/>
                </w:tcPr>
                <w:p w14:paraId="351611A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w:t>
                  </w:r>
                  <w:r>
                    <w:rPr>
                      <w:rFonts w:hint="eastAsia"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类标准</w:t>
                  </w:r>
                </w:p>
              </w:tc>
              <w:tc>
                <w:tcPr>
                  <w:tcW w:w="769" w:type="pct"/>
                  <w:vMerge w:val="restart"/>
                  <w:noWrap w:val="0"/>
                  <w:vAlign w:val="center"/>
                </w:tcPr>
                <w:p w14:paraId="5419A0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等效声级</w:t>
                  </w:r>
                </w:p>
              </w:tc>
              <w:tc>
                <w:tcPr>
                  <w:tcW w:w="578" w:type="pct"/>
                  <w:vMerge w:val="restart"/>
                  <w:noWrap w:val="0"/>
                  <w:vAlign w:val="center"/>
                </w:tcPr>
                <w:p w14:paraId="0B5334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577" w:type="pct"/>
                  <w:noWrap w:val="0"/>
                  <w:vAlign w:val="center"/>
                </w:tcPr>
                <w:p w14:paraId="308564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547" w:type="pct"/>
                  <w:noWrap w:val="0"/>
                  <w:vAlign w:val="center"/>
                </w:tcPr>
                <w:p w14:paraId="4C91CB1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644A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8" w:type="pct"/>
                  <w:vMerge w:val="continue"/>
                  <w:noWrap w:val="0"/>
                  <w:vAlign w:val="center"/>
                </w:tcPr>
                <w:p w14:paraId="29E44F05">
                  <w:pPr>
                    <w:jc w:val="center"/>
                    <w:rPr>
                      <w:rFonts w:hint="default" w:ascii="Times New Roman" w:hAnsi="Times New Roman" w:cs="Times New Roman"/>
                      <w:color w:val="auto"/>
                      <w:sz w:val="21"/>
                      <w:szCs w:val="21"/>
                    </w:rPr>
                  </w:pPr>
                </w:p>
              </w:tc>
              <w:tc>
                <w:tcPr>
                  <w:tcW w:w="1730" w:type="pct"/>
                  <w:vMerge w:val="continue"/>
                  <w:noWrap w:val="0"/>
                  <w:vAlign w:val="center"/>
                </w:tcPr>
                <w:p w14:paraId="37CB6511">
                  <w:pPr>
                    <w:jc w:val="center"/>
                    <w:rPr>
                      <w:rFonts w:hint="default" w:ascii="Times New Roman" w:hAnsi="Times New Roman" w:cs="Times New Roman"/>
                      <w:color w:val="auto"/>
                      <w:sz w:val="21"/>
                      <w:szCs w:val="21"/>
                    </w:rPr>
                  </w:pPr>
                </w:p>
              </w:tc>
              <w:tc>
                <w:tcPr>
                  <w:tcW w:w="769" w:type="pct"/>
                  <w:vMerge w:val="continue"/>
                  <w:noWrap w:val="0"/>
                  <w:vAlign w:val="center"/>
                </w:tcPr>
                <w:p w14:paraId="4D09A531">
                  <w:pPr>
                    <w:jc w:val="center"/>
                    <w:rPr>
                      <w:rFonts w:hint="default" w:ascii="Times New Roman" w:hAnsi="Times New Roman" w:cs="Times New Roman"/>
                      <w:color w:val="auto"/>
                      <w:sz w:val="21"/>
                      <w:szCs w:val="21"/>
                    </w:rPr>
                  </w:pPr>
                </w:p>
              </w:tc>
              <w:tc>
                <w:tcPr>
                  <w:tcW w:w="578" w:type="pct"/>
                  <w:vMerge w:val="continue"/>
                  <w:noWrap w:val="0"/>
                  <w:vAlign w:val="center"/>
                </w:tcPr>
                <w:p w14:paraId="5E40B922">
                  <w:pPr>
                    <w:jc w:val="center"/>
                    <w:rPr>
                      <w:rFonts w:hint="default" w:ascii="Times New Roman" w:hAnsi="Times New Roman" w:cs="Times New Roman"/>
                      <w:color w:val="auto"/>
                      <w:sz w:val="21"/>
                      <w:szCs w:val="21"/>
                    </w:rPr>
                  </w:pPr>
                </w:p>
              </w:tc>
              <w:tc>
                <w:tcPr>
                  <w:tcW w:w="577" w:type="pct"/>
                  <w:noWrap w:val="0"/>
                  <w:vAlign w:val="center"/>
                </w:tcPr>
                <w:p w14:paraId="3CCCCDA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547" w:type="pct"/>
                  <w:noWrap w:val="0"/>
                  <w:vAlign w:val="center"/>
                </w:tcPr>
                <w:p w14:paraId="1A83B9B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bl>
          <w:p w14:paraId="799BF00A">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2、污染物排放标准</w:t>
            </w:r>
          </w:p>
          <w:p w14:paraId="60B4CC54">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（1）废气</w:t>
            </w:r>
          </w:p>
          <w:p w14:paraId="72F23A7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①施工扬尘执行《施工场界扬尘排放限值》（DB61/1078-2017）标准，具体工场界扬尘（总悬浮颗粒物）浓度标准限值</w:t>
            </w:r>
            <w:r>
              <w:rPr>
                <w:rFonts w:hint="default" w:ascii="Times New Roman" w:hAnsi="Times New Roman" w:cs="Times New Roman"/>
                <w:color w:val="auto"/>
                <w:kern w:val="0"/>
                <w:sz w:val="24"/>
              </w:rPr>
              <w:t>见表</w:t>
            </w:r>
            <w:r>
              <w:rPr>
                <w:rFonts w:hint="default" w:ascii="Times New Roman" w:hAnsi="Times New Roman" w:eastAsia="TimesNewRomanPSMT" w:cs="Times New Roman"/>
                <w:color w:val="auto"/>
                <w:kern w:val="0"/>
                <w:sz w:val="24"/>
              </w:rPr>
              <w:t>3-</w:t>
            </w:r>
            <w:r>
              <w:rPr>
                <w:rFonts w:hint="eastAsia" w:ascii="Times New Roman" w:hAnsi="Times New Roman" w:eastAsia="宋体" w:cs="Times New Roman"/>
                <w:color w:val="auto"/>
                <w:kern w:val="0"/>
                <w:sz w:val="24"/>
                <w:lang w:val="en-US" w:eastAsia="zh-CN"/>
              </w:rPr>
              <w:t>5</w:t>
            </w:r>
            <w:r>
              <w:rPr>
                <w:rFonts w:hint="default" w:ascii="Times New Roman" w:hAnsi="Times New Roman" w:cs="Times New Roman"/>
                <w:color w:val="auto"/>
                <w:sz w:val="24"/>
              </w:rPr>
              <w:t>。</w:t>
            </w:r>
          </w:p>
          <w:p w14:paraId="27D2F76D">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施工场界扬尘（总悬浮颗粒物）浓度限值</w:t>
            </w:r>
          </w:p>
          <w:tbl>
            <w:tblPr>
              <w:tblStyle w:val="2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432"/>
              <w:gridCol w:w="3596"/>
            </w:tblGrid>
            <w:tr w14:paraId="3A3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1" w:type="pct"/>
                  <w:noWrap w:val="0"/>
                  <w:vAlign w:val="center"/>
                </w:tcPr>
                <w:p w14:paraId="3759CC4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468" w:type="pct"/>
                  <w:noWrap w:val="0"/>
                  <w:vAlign w:val="center"/>
                </w:tcPr>
                <w:p w14:paraId="71DF95B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169" w:type="pct"/>
                  <w:noWrap w:val="0"/>
                  <w:vAlign w:val="center"/>
                </w:tcPr>
                <w:p w14:paraId="26A4A34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小时平均浓度限值（mg/m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14:paraId="2F96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6039B2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施工扬尘（即总悬浮颗粒物TSP）</w:t>
                  </w:r>
                </w:p>
              </w:tc>
              <w:tc>
                <w:tcPr>
                  <w:tcW w:w="1468" w:type="pct"/>
                  <w:noWrap w:val="0"/>
                  <w:vAlign w:val="center"/>
                </w:tcPr>
                <w:p w14:paraId="109338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169" w:type="pct"/>
                  <w:noWrap w:val="0"/>
                  <w:vAlign w:val="center"/>
                </w:tcPr>
                <w:p w14:paraId="4FF0DD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r>
            <w:tr w14:paraId="112D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61135136">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说明：周界外浓度最高点一般应设置于无组织排放源下风向的单位周界外10m范围内，若预计无组织排放的最大落地浓度点超出10m范围，可将监控点移至该预计浓度最高点附近。</w:t>
                  </w:r>
                </w:p>
              </w:tc>
            </w:tr>
          </w:tbl>
          <w:p w14:paraId="6B5AB5EA">
            <w:pPr>
              <w:spacing w:line="360" w:lineRule="auto"/>
              <w:ind w:firstLine="480" w:firstLineChars="20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rPr>
              <w:t>②</w:t>
            </w:r>
            <w:r>
              <w:rPr>
                <w:rFonts w:hint="eastAsia" w:ascii="Times New Roman" w:hAnsi="Times New Roman" w:eastAsia="宋体" w:cs="Times New Roman"/>
                <w:color w:val="auto"/>
                <w:sz w:val="24"/>
                <w:lang w:val="en-US" w:eastAsia="zh-CN"/>
              </w:rPr>
              <w:t>钻井工程及</w:t>
            </w:r>
            <w:r>
              <w:rPr>
                <w:rFonts w:hint="default" w:ascii="Times New Roman" w:hAnsi="Times New Roman" w:cs="Times New Roman"/>
                <w:color w:val="auto"/>
                <w:sz w:val="24"/>
                <w:szCs w:val="24"/>
                <w:lang w:val="en-US" w:eastAsia="zh-CN"/>
              </w:rPr>
              <w:t>试气阶段无组织逸散的非甲烷总烃执行《陆上石油天然气开采工业大气污染物排放标准》（GB 39728-2020）中无组织排放监控浓度限值标准。</w:t>
            </w:r>
            <w:r>
              <w:rPr>
                <w:rFonts w:hint="default" w:ascii="Times New Roman" w:hAnsi="Times New Roman" w:cs="Times New Roman"/>
                <w:color w:val="auto"/>
                <w:sz w:val="24"/>
              </w:rPr>
              <w:t>详见下表3-</w:t>
            </w:r>
            <w:r>
              <w:rPr>
                <w:rFonts w:hint="eastAsia" w:ascii="Times New Roman" w:hAnsi="Times New Roman" w:eastAsia="宋体" w:cs="Times New Roman"/>
                <w:color w:val="auto"/>
                <w:sz w:val="24"/>
                <w:lang w:val="en-US" w:eastAsia="zh-CN"/>
              </w:rPr>
              <w:t>6</w:t>
            </w:r>
            <w:r>
              <w:rPr>
                <w:rFonts w:hint="default" w:ascii="Times New Roman" w:hAnsi="Times New Roman" w:cs="Times New Roman"/>
                <w:color w:val="auto"/>
                <w:sz w:val="24"/>
              </w:rPr>
              <w:t>。</w:t>
            </w:r>
          </w:p>
          <w:p w14:paraId="55DD2AA6">
            <w:pPr>
              <w:pStyle w:val="6"/>
              <w:keepNext w:val="0"/>
              <w:keepLines w:val="0"/>
              <w:pageBreakBefore w:val="0"/>
              <w:widowControl w:val="0"/>
              <w:kinsoku/>
              <w:wordWrap/>
              <w:overflowPunct/>
              <w:topLinePunct w:val="0"/>
              <w:autoSpaceDE/>
              <w:autoSpaceDN/>
              <w:bidi w:val="0"/>
              <w:adjustRightInd/>
              <w:snapToGrid/>
              <w:spacing w:before="79" w:beforeLines="25"/>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eastAsia="zh-CN"/>
              </w:rPr>
              <w:t xml:space="preserve">  《陆上石油天然气开采工业大气污染物排放标准》（GB 39728-2020）中无组织非甲烷总烃浓度限值</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47"/>
              <w:gridCol w:w="4148"/>
            </w:tblGrid>
            <w:tr w14:paraId="7CD3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4A4BF339">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500" w:type="pct"/>
                  <w:vAlign w:val="center"/>
                </w:tcPr>
                <w:p w14:paraId="579E1FE1">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无组织排放监控浓度限值</w:t>
                  </w: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14:paraId="12E8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739617BC">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2500" w:type="pct"/>
                  <w:vAlign w:val="center"/>
                </w:tcPr>
                <w:p w14:paraId="263A31B3">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r>
          </w:tbl>
          <w:p w14:paraId="7FAEF81A">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（2）项目废水不外排。</w:t>
            </w:r>
          </w:p>
          <w:p w14:paraId="4C3F4ECD">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（3）施工噪声执行《建筑施工场界环境噪声排放标准》（GB12523-2011）标准，具体施工期噪声执行标准见表3-</w:t>
            </w:r>
            <w:r>
              <w:rPr>
                <w:rFonts w:hint="eastAsia" w:ascii="Times New Roman" w:hAnsi="Times New Roman" w:eastAsia="宋体" w:cs="Times New Roman"/>
                <w:color w:val="auto"/>
                <w:sz w:val="24"/>
                <w:lang w:val="en-US" w:eastAsia="zh-CN"/>
              </w:rPr>
              <w:t>7</w:t>
            </w:r>
            <w:r>
              <w:rPr>
                <w:rFonts w:hint="default" w:ascii="Times New Roman" w:hAnsi="Times New Roman" w:cs="Times New Roman"/>
                <w:color w:val="auto"/>
                <w:sz w:val="24"/>
              </w:rPr>
              <w:t>。</w:t>
            </w:r>
          </w:p>
          <w:p w14:paraId="22931DA5">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cs="Times New Roman"/>
                <w:b/>
                <w:bCs/>
                <w:color w:val="auto"/>
                <w:sz w:val="21"/>
                <w:szCs w:val="21"/>
              </w:rPr>
              <w:t xml:space="preserve">  《建筑施工场界环境噪声排放标准》（GB12523-2011）</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325"/>
            </w:tblGrid>
            <w:tr w14:paraId="52B0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93" w:type="pct"/>
                  <w:noWrap w:val="0"/>
                  <w:vAlign w:val="center"/>
                </w:tcPr>
                <w:p w14:paraId="0E5B373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607" w:type="pct"/>
                  <w:noWrap w:val="0"/>
                  <w:vAlign w:val="center"/>
                </w:tcPr>
                <w:p w14:paraId="34269FC9">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6C15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2C3E67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70dB（A）</w:t>
                  </w:r>
                </w:p>
              </w:tc>
              <w:tc>
                <w:tcPr>
                  <w:tcW w:w="2607" w:type="pct"/>
                  <w:noWrap w:val="0"/>
                  <w:vAlign w:val="center"/>
                </w:tcPr>
                <w:p w14:paraId="6759E6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55dB（A）</w:t>
                  </w:r>
                </w:p>
              </w:tc>
            </w:tr>
          </w:tbl>
          <w:p w14:paraId="4D2F72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4"/>
              </w:rPr>
              <w:t>（4）固体废物执行《一般工业固体废物贮存和填埋污染控制标准》（GB18599-2020）有关要求；生活垃圾排放执行《生活垃圾填埋场污染控制标准》（GB16889-2008）中的相关规定；《危险废物贮存污染控制标准》（GB18597-2023）标准要求和《危险废物识别标志设置技术规范》（HJ1276—2022）。</w:t>
            </w:r>
          </w:p>
        </w:tc>
      </w:tr>
      <w:tr w14:paraId="7B97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4C2E844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521" w:type="dxa"/>
            <w:vAlign w:val="center"/>
          </w:tcPr>
          <w:p w14:paraId="2E27C0BC">
            <w:pPr>
              <w:spacing w:line="360" w:lineRule="auto"/>
              <w:ind w:firstLine="480" w:firstLineChars="200"/>
              <w:jc w:val="both"/>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本项目钻井属于油气田开发的施工期，时间较短，项目不涉及运营期</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污染物的排放随着施工期的结束而结束，在满足达标排放和环境功能区划达标的前提下，建议不核定总量指标，可以将钻井期间产生的污染物排放总量作为施工期环境管理的依据</w:t>
            </w:r>
            <w:r>
              <w:rPr>
                <w:rFonts w:hint="eastAsia" w:ascii="Times New Roman" w:hAnsi="Times New Roman" w:cs="Times New Roman"/>
                <w:color w:val="auto"/>
                <w:sz w:val="24"/>
                <w:szCs w:val="24"/>
                <w:lang w:val="en-US" w:eastAsia="zh-CN"/>
              </w:rPr>
              <w:t>。</w:t>
            </w:r>
          </w:p>
          <w:p w14:paraId="48D484E0">
            <w:pPr>
              <w:spacing w:line="360" w:lineRule="auto"/>
              <w:ind w:firstLine="480" w:firstLineChars="200"/>
              <w:jc w:val="both"/>
              <w:rPr>
                <w:rFonts w:hint="default" w:ascii="Times New Roman" w:hAnsi="Times New Roman" w:cs="Times New Roman"/>
                <w:color w:val="auto"/>
                <w:sz w:val="24"/>
                <w:szCs w:val="24"/>
                <w:lang w:val="en-US" w:eastAsia="zh-CN"/>
              </w:rPr>
            </w:pPr>
          </w:p>
          <w:p w14:paraId="04224187">
            <w:pPr>
              <w:spacing w:line="360" w:lineRule="auto"/>
              <w:ind w:firstLine="480" w:firstLineChars="200"/>
              <w:jc w:val="both"/>
              <w:rPr>
                <w:rFonts w:hint="default" w:ascii="Times New Roman" w:hAnsi="Times New Roman" w:cs="Times New Roman"/>
                <w:color w:val="auto"/>
                <w:sz w:val="24"/>
                <w:szCs w:val="24"/>
                <w:lang w:val="en-US" w:eastAsia="zh-CN"/>
              </w:rPr>
            </w:pPr>
          </w:p>
          <w:p w14:paraId="3623FCC7">
            <w:pPr>
              <w:pStyle w:val="2"/>
              <w:jc w:val="both"/>
              <w:rPr>
                <w:rFonts w:hint="default" w:ascii="Times New Roman" w:hAnsi="Times New Roman" w:cs="Times New Roman"/>
                <w:color w:val="auto"/>
                <w:sz w:val="24"/>
                <w:szCs w:val="24"/>
                <w:lang w:val="en-US" w:eastAsia="zh-CN"/>
              </w:rPr>
            </w:pPr>
          </w:p>
          <w:p w14:paraId="7B90F4BC">
            <w:pPr>
              <w:jc w:val="both"/>
              <w:rPr>
                <w:rFonts w:hint="default" w:ascii="Times New Roman" w:hAnsi="Times New Roman" w:cs="Times New Roman"/>
                <w:color w:val="auto"/>
                <w:sz w:val="24"/>
                <w:szCs w:val="24"/>
                <w:lang w:val="en-US" w:eastAsia="zh-CN"/>
              </w:rPr>
            </w:pPr>
          </w:p>
          <w:p w14:paraId="3932DF78">
            <w:pPr>
              <w:pStyle w:val="2"/>
              <w:jc w:val="both"/>
              <w:rPr>
                <w:rFonts w:hint="default" w:ascii="Times New Roman" w:hAnsi="Times New Roman" w:cs="Times New Roman"/>
                <w:color w:val="auto"/>
                <w:sz w:val="24"/>
                <w:szCs w:val="24"/>
                <w:lang w:val="en-US" w:eastAsia="zh-CN"/>
              </w:rPr>
            </w:pPr>
          </w:p>
          <w:p w14:paraId="1E1D0B2A">
            <w:pPr>
              <w:jc w:val="both"/>
              <w:rPr>
                <w:rFonts w:hint="default" w:ascii="Times New Roman" w:hAnsi="Times New Roman" w:cs="Times New Roman"/>
                <w:color w:val="auto"/>
                <w:sz w:val="24"/>
                <w:szCs w:val="24"/>
                <w:lang w:val="en-US" w:eastAsia="zh-CN"/>
              </w:rPr>
            </w:pPr>
          </w:p>
          <w:p w14:paraId="26AFE465">
            <w:pPr>
              <w:pStyle w:val="2"/>
              <w:jc w:val="both"/>
              <w:rPr>
                <w:rFonts w:hint="default" w:ascii="Times New Roman" w:hAnsi="Times New Roman" w:cs="Times New Roman"/>
                <w:color w:val="auto"/>
                <w:sz w:val="24"/>
                <w:szCs w:val="24"/>
                <w:lang w:val="en-US" w:eastAsia="zh-CN"/>
              </w:rPr>
            </w:pPr>
          </w:p>
          <w:p w14:paraId="1B636066">
            <w:pPr>
              <w:jc w:val="both"/>
              <w:rPr>
                <w:rFonts w:hint="default" w:ascii="Times New Roman" w:hAnsi="Times New Roman" w:cs="Times New Roman"/>
                <w:color w:val="auto"/>
                <w:sz w:val="24"/>
                <w:szCs w:val="24"/>
                <w:lang w:val="en-US" w:eastAsia="zh-CN"/>
              </w:rPr>
            </w:pPr>
          </w:p>
          <w:p w14:paraId="6DE79272">
            <w:pPr>
              <w:pStyle w:val="2"/>
              <w:jc w:val="both"/>
              <w:rPr>
                <w:rFonts w:hint="default" w:ascii="Times New Roman" w:hAnsi="Times New Roman" w:cs="Times New Roman"/>
                <w:color w:val="auto"/>
                <w:sz w:val="24"/>
                <w:szCs w:val="24"/>
                <w:lang w:val="en-US" w:eastAsia="zh-CN"/>
              </w:rPr>
            </w:pPr>
          </w:p>
          <w:p w14:paraId="32641EC2">
            <w:pPr>
              <w:jc w:val="both"/>
              <w:rPr>
                <w:rFonts w:hint="default" w:ascii="Times New Roman" w:hAnsi="Times New Roman" w:cs="Times New Roman"/>
                <w:color w:val="auto"/>
                <w:sz w:val="24"/>
                <w:szCs w:val="24"/>
                <w:lang w:val="en-US" w:eastAsia="zh-CN"/>
              </w:rPr>
            </w:pPr>
          </w:p>
          <w:p w14:paraId="08196C63">
            <w:pPr>
              <w:pStyle w:val="2"/>
              <w:jc w:val="both"/>
              <w:rPr>
                <w:rFonts w:hint="default" w:ascii="Times New Roman" w:hAnsi="Times New Roman" w:cs="Times New Roman"/>
                <w:color w:val="auto"/>
                <w:sz w:val="24"/>
                <w:szCs w:val="24"/>
                <w:lang w:val="en-US" w:eastAsia="zh-CN"/>
              </w:rPr>
            </w:pPr>
          </w:p>
          <w:p w14:paraId="203D7BDD">
            <w:pPr>
              <w:jc w:val="both"/>
              <w:rPr>
                <w:rFonts w:hint="default" w:ascii="Times New Roman" w:hAnsi="Times New Roman" w:cs="Times New Roman"/>
                <w:color w:val="auto"/>
                <w:sz w:val="24"/>
                <w:szCs w:val="24"/>
                <w:lang w:val="en-US" w:eastAsia="zh-CN"/>
              </w:rPr>
            </w:pPr>
          </w:p>
          <w:p w14:paraId="5F2EC32E">
            <w:pPr>
              <w:pStyle w:val="2"/>
              <w:jc w:val="both"/>
              <w:rPr>
                <w:rFonts w:hint="default" w:ascii="Times New Roman" w:hAnsi="Times New Roman" w:cs="Times New Roman"/>
                <w:color w:val="auto"/>
                <w:sz w:val="24"/>
                <w:szCs w:val="24"/>
                <w:lang w:val="en-US" w:eastAsia="zh-CN"/>
              </w:rPr>
            </w:pPr>
          </w:p>
          <w:p w14:paraId="032460D6">
            <w:pPr>
              <w:jc w:val="both"/>
              <w:rPr>
                <w:rFonts w:hint="default" w:ascii="Times New Roman" w:hAnsi="Times New Roman" w:cs="Times New Roman"/>
                <w:color w:val="auto"/>
                <w:sz w:val="24"/>
                <w:szCs w:val="24"/>
                <w:lang w:val="en-US" w:eastAsia="zh-CN"/>
              </w:rPr>
            </w:pPr>
          </w:p>
          <w:p w14:paraId="2924709E">
            <w:pPr>
              <w:pStyle w:val="2"/>
              <w:jc w:val="both"/>
              <w:rPr>
                <w:rFonts w:hint="default" w:ascii="Times New Roman" w:hAnsi="Times New Roman" w:cs="Times New Roman"/>
                <w:color w:val="auto"/>
                <w:sz w:val="24"/>
                <w:szCs w:val="24"/>
                <w:lang w:val="en-US" w:eastAsia="zh-CN"/>
              </w:rPr>
            </w:pPr>
          </w:p>
          <w:p w14:paraId="3405A302">
            <w:pPr>
              <w:jc w:val="both"/>
              <w:rPr>
                <w:rFonts w:hint="default" w:ascii="Times New Roman" w:hAnsi="Times New Roman" w:cs="Times New Roman"/>
                <w:color w:val="auto"/>
                <w:sz w:val="24"/>
                <w:szCs w:val="24"/>
                <w:lang w:val="en-US" w:eastAsia="zh-CN"/>
              </w:rPr>
            </w:pPr>
          </w:p>
          <w:p w14:paraId="6C826903">
            <w:pPr>
              <w:pStyle w:val="2"/>
              <w:jc w:val="both"/>
              <w:rPr>
                <w:rFonts w:hint="default"/>
                <w:color w:val="auto"/>
                <w:lang w:val="en-US" w:eastAsia="zh-CN"/>
              </w:rPr>
            </w:pPr>
          </w:p>
          <w:p w14:paraId="7CFFFA40">
            <w:pPr>
              <w:spacing w:line="360" w:lineRule="auto"/>
              <w:ind w:firstLine="480" w:firstLineChars="200"/>
              <w:jc w:val="both"/>
              <w:rPr>
                <w:rFonts w:hint="default" w:ascii="Times New Roman" w:hAnsi="Times New Roman" w:cs="Times New Roman"/>
                <w:color w:val="auto"/>
                <w:sz w:val="24"/>
                <w:szCs w:val="24"/>
                <w:lang w:val="en-US" w:eastAsia="zh-CN"/>
              </w:rPr>
            </w:pPr>
          </w:p>
          <w:p w14:paraId="3ED43202">
            <w:pPr>
              <w:spacing w:line="360" w:lineRule="auto"/>
              <w:ind w:firstLine="480" w:firstLineChars="200"/>
              <w:jc w:val="both"/>
              <w:rPr>
                <w:rFonts w:hint="default" w:ascii="Times New Roman" w:hAnsi="Times New Roman" w:cs="Times New Roman"/>
                <w:color w:val="auto"/>
                <w:sz w:val="24"/>
                <w:szCs w:val="24"/>
                <w:lang w:val="en-US" w:eastAsia="zh-CN"/>
              </w:rPr>
            </w:pPr>
          </w:p>
          <w:p w14:paraId="64CFCDC4">
            <w:pPr>
              <w:spacing w:line="360" w:lineRule="auto"/>
              <w:ind w:firstLine="480" w:firstLineChars="200"/>
              <w:jc w:val="both"/>
              <w:rPr>
                <w:rFonts w:hint="default" w:ascii="Times New Roman" w:hAnsi="Times New Roman" w:cs="Times New Roman"/>
                <w:color w:val="auto"/>
                <w:sz w:val="24"/>
                <w:szCs w:val="24"/>
                <w:lang w:val="en-US" w:eastAsia="zh-CN"/>
              </w:rPr>
            </w:pPr>
          </w:p>
          <w:p w14:paraId="1299BE0E">
            <w:pPr>
              <w:spacing w:line="360" w:lineRule="auto"/>
              <w:ind w:firstLine="480" w:firstLineChars="200"/>
              <w:jc w:val="both"/>
              <w:rPr>
                <w:rFonts w:hint="default" w:ascii="Times New Roman" w:hAnsi="Times New Roman" w:cs="Times New Roman"/>
                <w:color w:val="auto"/>
                <w:sz w:val="24"/>
                <w:szCs w:val="24"/>
                <w:lang w:val="en-US" w:eastAsia="zh-CN"/>
              </w:rPr>
            </w:pPr>
          </w:p>
          <w:p w14:paraId="421DD6C4">
            <w:pPr>
              <w:spacing w:line="360" w:lineRule="auto"/>
              <w:ind w:firstLine="480" w:firstLineChars="200"/>
              <w:jc w:val="both"/>
              <w:rPr>
                <w:rFonts w:hint="default" w:ascii="Times New Roman" w:hAnsi="Times New Roman" w:cs="Times New Roman"/>
                <w:color w:val="auto"/>
                <w:sz w:val="24"/>
                <w:szCs w:val="24"/>
                <w:lang w:val="en-US" w:eastAsia="zh-CN"/>
              </w:rPr>
            </w:pPr>
          </w:p>
          <w:p w14:paraId="41A5673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32683754">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7D1B0BA">
      <w:pPr>
        <w:keepNext/>
        <w:keepLines/>
        <w:pageBreakBefore w:val="0"/>
        <w:widowControl w:val="0"/>
        <w:numPr>
          <w:ilvl w:val="0"/>
          <w:numId w:val="4"/>
        </w:numPr>
        <w:kinsoku/>
        <w:wordWrap/>
        <w:overflowPunct/>
        <w:topLinePunct w:val="0"/>
        <w:autoSpaceDE/>
        <w:autoSpaceDN/>
        <w:bidi w:val="0"/>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生态环境影响分析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
        <w:gridCol w:w="8959"/>
      </w:tblGrid>
      <w:tr w14:paraId="02B1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dxa"/>
            <w:vAlign w:val="center"/>
          </w:tcPr>
          <w:p w14:paraId="22982CDF">
            <w:pPr>
              <w:keepNext/>
              <w:keepLines/>
              <w:pageBreakBefore w:val="0"/>
              <w:widowControl w:val="0"/>
              <w:numPr>
                <w:ilvl w:val="0"/>
                <w:numId w:val="0"/>
              </w:numPr>
              <w:kinsoku/>
              <w:wordWrap/>
              <w:overflowPunct/>
              <w:topLinePunct w:val="0"/>
              <w:autoSpaceDE/>
              <w:autoSpaceDN/>
              <w:bidi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施工期生态环境影响分析</w:t>
            </w:r>
          </w:p>
        </w:tc>
        <w:tc>
          <w:tcPr>
            <w:tcW w:w="8520" w:type="dxa"/>
            <w:vAlign w:val="top"/>
          </w:tcPr>
          <w:p w14:paraId="21186A6E">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一、施工期生态影响</w:t>
            </w:r>
          </w:p>
          <w:p w14:paraId="7BB9F557">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本项目钻前工程施工时对</w:t>
            </w:r>
            <w:r>
              <w:rPr>
                <w:rFonts w:hint="eastAsia" w:ascii="Times New Roman" w:hAnsi="Times New Roman" w:eastAsia="宋体" w:cs="Times New Roman"/>
                <w:b w:val="0"/>
                <w:bCs w:val="0"/>
                <w:color w:val="auto"/>
                <w:sz w:val="24"/>
                <w:szCs w:val="24"/>
                <w:vertAlign w:val="baseline"/>
                <w:lang w:val="en-US" w:eastAsia="zh-CN"/>
              </w:rPr>
              <w:t>井场、生活区</w:t>
            </w:r>
            <w:r>
              <w:rPr>
                <w:rFonts w:hint="default" w:ascii="Times New Roman" w:hAnsi="Times New Roman" w:eastAsia="宋体" w:cs="Times New Roman"/>
                <w:b w:val="0"/>
                <w:bCs w:val="0"/>
                <w:color w:val="auto"/>
                <w:sz w:val="24"/>
                <w:szCs w:val="24"/>
                <w:vertAlign w:val="baseline"/>
                <w:lang w:val="en-US" w:eastAsia="zh-CN"/>
              </w:rPr>
              <w:t>场地进行平整、开挖、施工车辆碾压等活动会对活动范围内的土壤质地和性质以及地表植被造成影响，从而造成一定量的水土流失，随着施工的结束，影响也随之消失。</w:t>
            </w:r>
          </w:p>
          <w:p w14:paraId="1432A5A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井场附近以林地、园地</w:t>
            </w:r>
            <w:r>
              <w:rPr>
                <w:rFonts w:hint="eastAsia" w:ascii="Times New Roman" w:hAnsi="Times New Roman" w:eastAsia="宋体" w:cs="Times New Roman"/>
                <w:b w:val="0"/>
                <w:bCs w:val="0"/>
                <w:color w:val="auto"/>
                <w:sz w:val="24"/>
                <w:szCs w:val="24"/>
                <w:highlight w:val="none"/>
                <w:vertAlign w:val="baseline"/>
                <w:lang w:val="en-US" w:eastAsia="zh-CN"/>
              </w:rPr>
              <w:t>、耕地</w:t>
            </w:r>
            <w:r>
              <w:rPr>
                <w:rFonts w:hint="default" w:ascii="Times New Roman" w:hAnsi="Times New Roman" w:eastAsia="宋体" w:cs="Times New Roman"/>
                <w:b w:val="0"/>
                <w:bCs w:val="0"/>
                <w:color w:val="auto"/>
                <w:sz w:val="24"/>
                <w:szCs w:val="24"/>
                <w:highlight w:val="none"/>
                <w:vertAlign w:val="baseline"/>
                <w:lang w:val="en-US" w:eastAsia="zh-CN"/>
              </w:rPr>
              <w:t>为主</w:t>
            </w:r>
            <w:r>
              <w:rPr>
                <w:rFonts w:hint="default" w:ascii="Times New Roman" w:hAnsi="Times New Roman" w:eastAsia="宋体" w:cs="Times New Roman"/>
                <w:b w:val="0"/>
                <w:bCs w:val="0"/>
                <w:color w:val="auto"/>
                <w:sz w:val="24"/>
                <w:szCs w:val="24"/>
                <w:vertAlign w:val="baseline"/>
                <w:lang w:val="en-US" w:eastAsia="zh-CN"/>
              </w:rPr>
              <w:t>，本项目工程占地改变了原有土地利用现状，土地利用功能也随之改变。项目临时占地结束后可对土地利用进行恢复，因此对周边生态环境影响不明显。项目施工期对生态环境的影响主要表现在以下几个方面：</w:t>
            </w:r>
          </w:p>
          <w:p w14:paraId="2AEBCD57">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1、土地利用现状的改变</w:t>
            </w:r>
          </w:p>
          <w:p w14:paraId="31F22CC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本项目井场占地面积</w:t>
            </w:r>
            <w:r>
              <w:rPr>
                <w:rFonts w:hint="eastAsia" w:ascii="Times New Roman" w:hAnsi="Times New Roman" w:eastAsia="宋体" w:cs="Times New Roman"/>
                <w:b w:val="0"/>
                <w:bCs w:val="0"/>
                <w:color w:val="auto"/>
                <w:sz w:val="24"/>
                <w:szCs w:val="24"/>
                <w:highlight w:val="none"/>
                <w:vertAlign w:val="baseline"/>
                <w:lang w:val="en-US" w:eastAsia="zh-CN"/>
              </w:rPr>
              <w:t>59115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生活区占地面积</w:t>
            </w:r>
            <w:r>
              <w:rPr>
                <w:rFonts w:hint="eastAsia" w:ascii="Times New Roman" w:hAnsi="Times New Roman" w:eastAsia="宋体" w:cs="Times New Roman"/>
                <w:b w:val="0"/>
                <w:bCs w:val="0"/>
                <w:color w:val="auto"/>
                <w:sz w:val="24"/>
                <w:szCs w:val="24"/>
                <w:highlight w:val="none"/>
                <w:vertAlign w:val="baseline"/>
                <w:lang w:val="en-US" w:eastAsia="zh-CN"/>
              </w:rPr>
              <w:t>7800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全部为临时用地，不涉及永久占地。项目建设对生态环境的影响主要表现为项目占地使土地功能发生改变；临时占地会在一定程度上改变土地利用方式，临时性的减小</w:t>
            </w:r>
            <w:r>
              <w:rPr>
                <w:rFonts w:hint="eastAsia" w:ascii="Times New Roman" w:hAnsi="Times New Roman" w:eastAsia="宋体" w:cs="Times New Roman"/>
                <w:b w:val="0"/>
                <w:bCs w:val="0"/>
                <w:color w:val="auto"/>
                <w:sz w:val="24"/>
                <w:szCs w:val="24"/>
                <w:vertAlign w:val="baseline"/>
                <w:lang w:val="en-US" w:eastAsia="zh-CN"/>
              </w:rPr>
              <w:t>林地、园地、耕地</w:t>
            </w:r>
            <w:r>
              <w:rPr>
                <w:rFonts w:hint="default" w:ascii="Times New Roman" w:hAnsi="Times New Roman" w:eastAsia="宋体" w:cs="Times New Roman"/>
                <w:b w:val="0"/>
                <w:bCs w:val="0"/>
                <w:color w:val="auto"/>
                <w:sz w:val="24"/>
                <w:szCs w:val="24"/>
                <w:vertAlign w:val="baseline"/>
                <w:lang w:val="en-US" w:eastAsia="zh-CN"/>
              </w:rPr>
              <w:t>的面积。工程利用挖方回填，同时对土地按照相关要求进行堆放并采取覆盖等措施，尽可能的减小对当地土地资源的影响；临时占地只在短期内改变土地利用性质，钻井工程完成后，对本项目钻井期间施工区域进行植被恢复，若本井产气则进行集输工程，征地工作根据集输工程要求进行。</w:t>
            </w:r>
          </w:p>
          <w:p w14:paraId="79589C88">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2、水土流失影响分析</w:t>
            </w:r>
          </w:p>
          <w:p w14:paraId="72818B15">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施工期将损坏施工区域范围原地貌，破坏原有植被，改变其水土保持状况，如遇大风或降雨天气将加剧水土流失。</w:t>
            </w:r>
          </w:p>
          <w:p w14:paraId="6EF651F0">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开发建设造成的水土流失主要在施工期，造成水土流失的主要因素有：新建井场、道路、生活区以及钻井及开挖、回填过程中，开挖作业造成土壤结构破坏、微地形改变和植被破坏，使土壤抗蚀性和抗冲性明显降低；工程施工将产生弃土弃渣，弃渣若分散堆置在坡面，极易被水流冲刷，引起水土流失；道路经过陡峻山坡，由于开挖，坡度变陡，失去稳定平衡，为崩塌、滑坡制造了条件，极易引起重力侵蚀。</w:t>
            </w:r>
          </w:p>
          <w:p w14:paraId="2322880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本项目严格控制占地范围和施工范围，减少扰动面积；严格控制施工人员、车辆在规定的施工临时占地内活动、行驶，以减少对沿线植被的破坏，凡受到施工人员、车辆破坏的地方，施工结束后立即采取人工措施</w:t>
            </w:r>
            <w:r>
              <w:rPr>
                <w:rFonts w:hint="eastAsia" w:ascii="Times New Roman" w:hAnsi="Times New Roman" w:eastAsia="宋体" w:cs="Times New Roman"/>
                <w:b w:val="0"/>
                <w:bCs w:val="0"/>
                <w:color w:val="auto"/>
                <w:sz w:val="24"/>
                <w:szCs w:val="24"/>
                <w:vertAlign w:val="baseline"/>
                <w:lang w:val="en-US" w:eastAsia="zh-CN"/>
              </w:rPr>
              <w:t>恢复为原有生态类型</w:t>
            </w:r>
            <w:r>
              <w:rPr>
                <w:rFonts w:hint="default" w:ascii="Times New Roman" w:hAnsi="Times New Roman" w:eastAsia="宋体" w:cs="Times New Roman"/>
                <w:b w:val="0"/>
                <w:bCs w:val="0"/>
                <w:color w:val="auto"/>
                <w:sz w:val="24"/>
                <w:szCs w:val="24"/>
                <w:vertAlign w:val="baseline"/>
                <w:lang w:val="en-US" w:eastAsia="zh-CN"/>
              </w:rPr>
              <w:t>，尽快降低土壤侵蚀，对裸露地表进行植被恢复，增强地表稳定性。</w:t>
            </w:r>
          </w:p>
          <w:p w14:paraId="775CB559">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3、动物及植被影响分析</w:t>
            </w:r>
          </w:p>
          <w:p w14:paraId="003166F4">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工程施工期对植被的影响主要为建设过程中的植被剥离、清理和占压，临时占地土方回填后，可以恢复原植被类型。对动物的影响主要为栖息地破坏引起的动物逃离、施工噪声对动物的干扰。</w:t>
            </w:r>
          </w:p>
          <w:p w14:paraId="613388D3">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（1）对植被的影响</w:t>
            </w:r>
          </w:p>
          <w:p w14:paraId="23F7FBFD">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对植被的影响主要有占地范围内原有植物的剥离、清理及占压。在施工过程中，土壤开挖区范围内植物的地上部分与根系均被清除，施工区的植被由于挖掘土石的堆放、人员的践踏、施工车辆和机具的碾压而受到不同程度的破坏，会造成植被破坏甚至死亡。</w:t>
            </w:r>
          </w:p>
          <w:p w14:paraId="64F7C25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工程填挖方均占压和清除一定数量的地表植物，使填挖区被生土覆盖或出露生土，植物恢复须经过较长时间。项目工期较短，建设完毕后即进行植被恢复，长期来看对植被的影响较小。</w:t>
            </w:r>
          </w:p>
          <w:p w14:paraId="559666D4">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（2）对动物的影响</w:t>
            </w:r>
          </w:p>
          <w:p w14:paraId="27B26F2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建设期对动物的影响，主要是运输、施工噪声和人为活动，迫使动物离开场站区域，大规模的建设活动，将使建设期内难以见到野生动物。但项目周边无自然保护区，无珍稀濒危动物，野生动物稀少，主要为鼠类和草兔等常见种。工程施工对野生动物的影响较小，随着施工结束这种影响亦结束。</w:t>
            </w:r>
          </w:p>
          <w:p w14:paraId="5EAE537A">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4、景观生态影响分析</w:t>
            </w:r>
          </w:p>
          <w:p w14:paraId="7B6C4652">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建设期主要是对原有景观的破坏，井场建设破坏其所在地及其附近的原有景观，形成片状人工景观。由于建设期工程占地均为临时占地，施工完采取生态恢复措施后，评价认为项目对评价区景观格局影响有限。</w:t>
            </w:r>
          </w:p>
          <w:p w14:paraId="6FE7C817">
            <w:pPr>
              <w:pStyle w:val="14"/>
              <w:keepNext/>
              <w:keepLines/>
              <w:pageBreakBefore w:val="0"/>
              <w:widowControl w:val="0"/>
              <w:kinsoku/>
              <w:wordWrap/>
              <w:overflowPunct/>
              <w:topLinePunct w:val="0"/>
              <w:autoSpaceDE/>
              <w:autoSpaceDN/>
              <w:bidi w:val="0"/>
              <w:spacing w:before="0"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5、对土壤沙化影响分析</w:t>
            </w:r>
          </w:p>
          <w:p w14:paraId="45FCF5F6">
            <w:pPr>
              <w:pStyle w:val="28"/>
              <w:keepNext/>
              <w:keepLines/>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防沙治沙规划（2021-2030年）》，佳县属于黄土（丘陵）覆沙治理区，不涉及沙化土地封禁保护区及沙地。由于施工中土体被剥离、扰动土壤以及破坏地表植物，可能会导致土地沙化。根据现场踏勘，本项目所处区域土地未完全沙化，生态功能较好，且通过采取分段施工、控制施工作业带、及时对植被进行恢复，并加强管理，避免施工乱砍滥发植物资源、避免机械随意行驶等措施，防止因本项目建设导致土地沙化。</w:t>
            </w:r>
          </w:p>
          <w:p w14:paraId="221937CF">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二、大气环境影响</w:t>
            </w:r>
          </w:p>
          <w:p w14:paraId="49FA90F0">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本项目为天然气勘探工程，不涉及运营期，本次评价仅对勘探过程中对环境的影响进行分析，不包括天然气开采、外输管道建设的评价，如需进行天然气开采、外输管道建设，需另行开展环境影响评价。</w:t>
            </w:r>
          </w:p>
          <w:p w14:paraId="65BDADF4">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施工期废气主要为施工扬尘、施工车辆和机械尾气以及测试放喷和事故放喷天然气燃烧废气。项目施工期施工扬尘、施工车辆和机械尾气产生废物污染物较小，施工期较短，加之当地扩散条件良好，经自然扩散后能达标排放，对周围环境影响较小。</w:t>
            </w:r>
          </w:p>
          <w:p w14:paraId="3002DC0F">
            <w:pPr>
              <w:keepNext/>
              <w:keepLines/>
              <w:pageBreakBefore w:val="0"/>
              <w:widowControl w:val="0"/>
              <w:numPr>
                <w:ilvl w:val="0"/>
                <w:numId w:val="5"/>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施工扬尘</w:t>
            </w:r>
          </w:p>
          <w:p w14:paraId="504F4B4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扬尘主要来自场地平整与土方开挖、物料堆放及运输车辆行驶道路扬尘。场地整平过程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w:t>
            </w:r>
          </w:p>
          <w:p w14:paraId="706E1DA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阶段土地平整、开挖、回填土方会形成大面积裸露地面，使各种沉降在地表上的气溶胶粒子等成为扬尘的天然来源。在施工过程中，如果管理措施不够完善，粗放式施工，工地料堆遮挡不够完善、严密，不能及时清理和覆盖，在不利气候如大风（风速≥5m/s）条件下，这些颗粒物就会从地表进入空气中。在不利天气条件下，施工扬尘可在150m范围内超过</w:t>
            </w:r>
            <w:r>
              <w:rPr>
                <w:rFonts w:hint="default" w:ascii="Times New Roman" w:hAnsi="Times New Roman" w:cs="Times New Roman"/>
                <w:color w:val="auto"/>
                <w:sz w:val="24"/>
              </w:rPr>
              <w:t>《施工场界扬尘排放限值》（DB61/1078-2017）标准</w:t>
            </w:r>
            <w:r>
              <w:rPr>
                <w:rFonts w:hint="default" w:ascii="Times New Roman" w:hAnsi="Times New Roman" w:eastAsia="宋体" w:cs="Times New Roman"/>
                <w:b w:val="0"/>
                <w:bCs w:val="0"/>
                <w:color w:val="auto"/>
                <w:sz w:val="24"/>
                <w:szCs w:val="24"/>
                <w:vertAlign w:val="baseline"/>
                <w:lang w:val="en-US" w:eastAsia="zh-CN"/>
              </w:rPr>
              <w:t>，对大气环境可造成不利影响，150m范围外一般不会有大的影响</w:t>
            </w:r>
            <w:r>
              <w:rPr>
                <w:rFonts w:hint="eastAsia" w:ascii="Times New Roman" w:hAnsi="Times New Roman" w:eastAsia="宋体" w:cs="Times New Roman"/>
                <w:b w:val="0"/>
                <w:bCs w:val="0"/>
                <w:color w:val="auto"/>
                <w:sz w:val="24"/>
                <w:szCs w:val="24"/>
                <w:vertAlign w:val="baseline"/>
                <w:lang w:val="en-US" w:eastAsia="zh-CN"/>
              </w:rPr>
              <w:t>。最近敏感目标位于本项目米107-12M井场西南侧248m处，井场钻井过程中需增加洒水频次，区域主导风向为西北风，次主导风向为东南风，敏感目标位于井场的侧风向，通过增加洒水频次，大风天气停止作业等措施能够有效降低项目对周边环境的影响。</w:t>
            </w:r>
          </w:p>
          <w:p w14:paraId="0CFB66C6">
            <w:pPr>
              <w:pStyle w:val="28"/>
              <w:keepNext/>
              <w:keepLines/>
              <w:pageBreakBefore w:val="0"/>
              <w:widowControl w:val="0"/>
              <w:kinsoku/>
              <w:wordWrap/>
              <w:overflowPunct/>
              <w:topLinePunct w:val="0"/>
              <w:autoSpaceDE/>
              <w:autoSpaceDN/>
              <w:bidi w:val="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2、机械废气</w:t>
            </w:r>
            <w:r>
              <w:rPr>
                <w:rFonts w:hint="eastAsia" w:ascii="Times New Roman" w:hAnsi="Times New Roman" w:cs="Times New Roman"/>
                <w:b/>
                <w:bCs/>
                <w:color w:val="auto"/>
                <w:sz w:val="24"/>
                <w:szCs w:val="24"/>
                <w:lang w:val="en-US" w:eastAsia="zh-CN"/>
              </w:rPr>
              <w:t>及车辆尾气</w:t>
            </w:r>
          </w:p>
          <w:p w14:paraId="053C1787">
            <w:pPr>
              <w:pStyle w:val="28"/>
              <w:keepNext/>
              <w:keepLines/>
              <w:pageBreakBefore w:val="0"/>
              <w:widowControl w:val="0"/>
              <w:kinsoku/>
              <w:wordWrap/>
              <w:overflowPunct/>
              <w:topLinePunct w:val="0"/>
              <w:autoSpaceDE/>
              <w:autoSpaceDN/>
              <w:bidi w:val="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机械废气包括施工机械废气和运输车辆废气，</w:t>
            </w:r>
            <w:r>
              <w:rPr>
                <w:rFonts w:hint="eastAsia" w:ascii="Times New Roman" w:hAnsi="Times New Roman" w:cs="Times New Roman"/>
                <w:color w:val="auto"/>
                <w:lang w:val="en-US" w:eastAsia="zh-CN"/>
              </w:rPr>
              <w:t>本项目各类施工机械均使用电驱动，不会产生废气。</w:t>
            </w:r>
          </w:p>
          <w:p w14:paraId="770FBA54">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本项目运输车辆使用低硫燃料（含硫量低于10ppm），定期对车辆维修保养，减少废气的排放量。由于本项目施工期较短，运输车辆产生的废气量较少，项目周边扩散条件较好，对周边环境影响较小。</w:t>
            </w:r>
          </w:p>
          <w:p w14:paraId="251D3425">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w:t>
            </w:r>
            <w:r>
              <w:rPr>
                <w:rFonts w:hint="default" w:ascii="Times New Roman" w:hAnsi="Times New Roman" w:eastAsia="宋体" w:cs="Times New Roman"/>
                <w:b/>
                <w:bCs/>
                <w:color w:val="auto"/>
                <w:sz w:val="24"/>
                <w:szCs w:val="24"/>
                <w:vertAlign w:val="baseline"/>
                <w:lang w:val="en-US" w:eastAsia="zh-CN"/>
              </w:rPr>
              <w:t>、测试放喷天然气燃烧废气</w:t>
            </w:r>
          </w:p>
          <w:p w14:paraId="180F4599">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为了准确了解和进一步核定气井的产气量，在完井后，通常需进行测试放喷，单井测试时间约1-2天，依据测试气量间歇放喷，每次持续时间约4～6h，属短时间歇排放，测试的天然气经专用管线引至</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进行点火放喷，废气产生量较小。类比周围探井的天然气组分，排放的气体主要含颗粒物、H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O、CO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、NOx</w:t>
            </w:r>
            <w:r>
              <w:rPr>
                <w:rFonts w:hint="eastAsia" w:ascii="Times New Roman" w:hAnsi="Times New Roman" w:cs="Times New Roman"/>
                <w:color w:val="auto"/>
                <w:lang w:val="en-US" w:eastAsia="zh-CN"/>
              </w:rPr>
              <w:t>、SO</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vertAlign w:val="baseline"/>
                <w:lang w:val="en-US" w:eastAsia="zh-CN"/>
              </w:rPr>
              <w:t>（可能含有）</w:t>
            </w:r>
            <w:r>
              <w:rPr>
                <w:rFonts w:hint="default" w:ascii="Times New Roman" w:hAnsi="Times New Roman" w:cs="Times New Roman"/>
                <w:color w:val="auto"/>
                <w:lang w:val="en-US" w:eastAsia="zh-CN"/>
              </w:rPr>
              <w:t>以及未完全燃烧的少量非甲烷总烃。</w:t>
            </w:r>
          </w:p>
          <w:p w14:paraId="13E31263">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根据相关设计资料，钻井试压作业中约有1×10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的天然气通过井场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燃烧排放，废气中的主要污染物为颗粒物和NOx</w:t>
            </w:r>
            <w:r>
              <w:rPr>
                <w:rFonts w:hint="eastAsia" w:ascii="Times New Roman" w:hAnsi="Times New Roman" w:cs="Times New Roman"/>
                <w:color w:val="auto"/>
                <w:lang w:val="en-US" w:eastAsia="zh-CN"/>
              </w:rPr>
              <w:t>、SO</w:t>
            </w:r>
            <w:r>
              <w:rPr>
                <w:rFonts w:hint="eastAsia"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，以及未完全燃烧的少量非甲烷总烃。参照《排放源统计调查产排污核算方法和系数手册》（生态环境部办公厅2021年6月11日印发）中“4430 工业锅炉（热力生产和供应行业）产污系数表-燃气工业锅炉”的排放系数进行源强估算，颗粒物排放系数为1.039kg/万m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天然气，NOx排放系数为18.71kg/万m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天然气，经计算，烟尘排放量为1.039kg，NOx排放量为18.71kg。排放废气中非甲烷总烃为不完全燃烧产生，其排放量非常少不再进行定量计算</w:t>
            </w:r>
            <w:r>
              <w:rPr>
                <w:rFonts w:hint="eastAsia" w:ascii="Times New Roman" w:hAnsi="Times New Roman" w:cs="Times New Roman"/>
                <w:color w:val="auto"/>
                <w:lang w:val="en-US" w:eastAsia="zh-CN"/>
              </w:rPr>
              <w:t>；由于本项目属于新层位勘探，因此暂无天然气成分表，无法确定天然气中硫含量，因此环评要求项目钻探期间发现天然气后立即进行成分分析并且对井场H</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S含量进行检测，避免对钻井人员身体健康造成危害。</w:t>
            </w:r>
          </w:p>
          <w:p w14:paraId="1F2B134F">
            <w:pPr>
              <w:pStyle w:val="28"/>
              <w:keepNext/>
              <w:keepLines/>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选址位于距离井口100m外的厂地上，周边50m范围植被以草地为主，无高大林木，地势空旷便于废气扩散，且</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位于</w:t>
            </w:r>
            <w:r>
              <w:rPr>
                <w:rFonts w:hint="eastAsia" w:ascii="Times New Roman" w:hAnsi="Times New Roman" w:cs="Times New Roman"/>
                <w:color w:val="auto"/>
                <w:lang w:val="en-US" w:eastAsia="zh-CN"/>
              </w:rPr>
              <w:t>井口下风向处</w:t>
            </w:r>
            <w:r>
              <w:rPr>
                <w:rFonts w:hint="default" w:ascii="Times New Roman" w:hAnsi="Times New Roman" w:cs="Times New Roman"/>
                <w:color w:val="auto"/>
                <w:lang w:val="en-US" w:eastAsia="zh-CN"/>
              </w:rPr>
              <w:t>。</w:t>
            </w:r>
          </w:p>
          <w:p w14:paraId="4544BF58">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虽然产生的废气对环境影响微小，但为了最大程度降低测试放喷废气对环境的影响，测试放喷时，要选择合适的时间，在天气晴朗，且风较大的天气进行，便于废气扩散；加之测试放喷时间短，对大气环境的影响较短，测试完毕，影响很快消除，因此对环境影响较小。</w:t>
            </w:r>
          </w:p>
          <w:p w14:paraId="2019E516">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、事故放喷天然气燃烧废气</w:t>
            </w:r>
          </w:p>
          <w:p w14:paraId="34631003">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事故放喷是由于地层高压异常导致的，在石油天然气行业是低概率事件。事故放喷时间持续较短，且通过专用的放喷管线将天然气引至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进行点火放喷，事故放喷时间段属临时排放，放喷完毕，影响很快消除，环评要求建设单位在发生事故时对周边居民实施临时疏散，因此事故放喷对周边人群健康基本无影响，对环境影响也较小。</w:t>
            </w:r>
          </w:p>
          <w:p w14:paraId="1B626469">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5</w:t>
            </w:r>
            <w:r>
              <w:rPr>
                <w:rFonts w:hint="default" w:ascii="Times New Roman" w:hAnsi="Times New Roman" w:eastAsia="宋体" w:cs="Times New Roman"/>
                <w:b/>
                <w:bCs/>
                <w:color w:val="auto"/>
                <w:sz w:val="24"/>
                <w:szCs w:val="24"/>
                <w:vertAlign w:val="baseline"/>
                <w:lang w:val="en-US" w:eastAsia="zh-CN"/>
              </w:rPr>
              <w:t>、临时道路扬尘</w:t>
            </w:r>
          </w:p>
          <w:p w14:paraId="24249A0D">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项目组出入井场时，在临时道路行驶，应控制车速，以减少道路扬尘污染，临时道路两侧应根据情况设置排水渠，减少水土流失，施工结束后，根据需求，对临时道路进行生态恢复。</w:t>
            </w:r>
          </w:p>
          <w:p w14:paraId="419AFC8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综上所述，工程废气对周边大气环境和环境保护目标的影响可接受。</w:t>
            </w:r>
          </w:p>
          <w:p w14:paraId="50BD5BF6">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三、地表水环境影响</w:t>
            </w:r>
          </w:p>
          <w:p w14:paraId="08572B0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项目用水主要为施工人员的生活用水和钻井生产用水，生产用水由水罐车运送，生活用水采用桶装水；废水主要为施工废水、钻井废水、洗井废水、返排液以及生活污水。</w:t>
            </w:r>
          </w:p>
          <w:p w14:paraId="29FA020D">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（1）钻井废水</w:t>
            </w:r>
          </w:p>
          <w:p w14:paraId="3018074D">
            <w:pPr>
              <w:pStyle w:val="28"/>
              <w:keepNext/>
              <w:keepLines/>
              <w:pageBreakBefore w:val="0"/>
              <w:widowControl w:val="0"/>
              <w:kinsoku/>
              <w:wordWrap/>
              <w:overflowPunct/>
              <w:topLinePunct w:val="0"/>
              <w:autoSpaceDE/>
              <w:autoSpaceDN/>
              <w:bidi w:val="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项目通过对中国石油天然气股份有限公司长庆油田分公司已勘探的天然气井资料调查，每钻进1m平均产生钻井废水0.2m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本项目钻井废水产生量为3370m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，根据项目水平衡，单口井钻进结束后钻井废水用于下一口井钻井液配置，钻井废水最终产生量为1649m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钻井结束后，不能回用的钻井废水委托</w:t>
            </w:r>
            <w:r>
              <w:rPr>
                <w:rFonts w:hint="eastAsia"/>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lang w:val="en-US" w:eastAsia="zh-CN"/>
              </w:rPr>
              <w:t>外运处置。</w:t>
            </w:r>
            <w:r>
              <w:rPr>
                <w:rFonts w:hint="eastAsia" w:ascii="Times New Roman" w:hAnsi="Times New Roman" w:cs="Times New Roman"/>
                <w:color w:val="auto"/>
                <w:lang w:val="en-US" w:eastAsia="zh-CN"/>
              </w:rPr>
              <w:t>钻井废水主要水质指标见下表：</w:t>
            </w:r>
          </w:p>
          <w:p w14:paraId="64DEFCC8">
            <w:pPr>
              <w:pStyle w:val="28"/>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表4-1   钻井废水水质指标</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950"/>
              <w:gridCol w:w="1176"/>
              <w:gridCol w:w="1172"/>
              <w:gridCol w:w="1357"/>
              <w:gridCol w:w="1581"/>
              <w:gridCol w:w="1248"/>
            </w:tblGrid>
            <w:tr w14:paraId="3D05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14:paraId="598044E4">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废液类型</w:t>
                  </w:r>
                </w:p>
              </w:tc>
              <w:tc>
                <w:tcPr>
                  <w:tcW w:w="544" w:type="pct"/>
                  <w:vAlign w:val="center"/>
                </w:tcPr>
                <w:p w14:paraId="618F1792">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pH</w:t>
                  </w:r>
                </w:p>
              </w:tc>
              <w:tc>
                <w:tcPr>
                  <w:tcW w:w="673" w:type="pct"/>
                  <w:vAlign w:val="center"/>
                </w:tcPr>
                <w:p w14:paraId="1EE92E41">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悬浮物（mg/L）</w:t>
                  </w:r>
                </w:p>
              </w:tc>
              <w:tc>
                <w:tcPr>
                  <w:tcW w:w="671" w:type="pct"/>
                  <w:vAlign w:val="center"/>
                </w:tcPr>
                <w:p w14:paraId="6328A74B">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石油类（mg/L）</w:t>
                  </w:r>
                </w:p>
              </w:tc>
              <w:tc>
                <w:tcPr>
                  <w:tcW w:w="777" w:type="pct"/>
                  <w:vAlign w:val="center"/>
                </w:tcPr>
                <w:p w14:paraId="57AEFC42">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COD（mg/L）</w:t>
                  </w:r>
                </w:p>
              </w:tc>
              <w:tc>
                <w:tcPr>
                  <w:tcW w:w="905" w:type="pct"/>
                  <w:vAlign w:val="center"/>
                </w:tcPr>
                <w:p w14:paraId="042C0F5B">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氯化物（mg/L）</w:t>
                  </w:r>
                </w:p>
              </w:tc>
              <w:tc>
                <w:tcPr>
                  <w:tcW w:w="714" w:type="pct"/>
                  <w:vAlign w:val="center"/>
                </w:tcPr>
                <w:p w14:paraId="59E5796C">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溶解性总固体（mg/L）</w:t>
                  </w:r>
                </w:p>
              </w:tc>
            </w:tr>
            <w:tr w14:paraId="5C09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14:paraId="45289085">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钻井废水</w:t>
                  </w:r>
                </w:p>
              </w:tc>
              <w:tc>
                <w:tcPr>
                  <w:tcW w:w="544" w:type="pct"/>
                  <w:vAlign w:val="center"/>
                </w:tcPr>
                <w:p w14:paraId="4D77CC8F">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7-8</w:t>
                  </w:r>
                </w:p>
              </w:tc>
              <w:tc>
                <w:tcPr>
                  <w:tcW w:w="673" w:type="pct"/>
                  <w:vAlign w:val="center"/>
                </w:tcPr>
                <w:p w14:paraId="4B780C10">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r>
                    <w:rPr>
                      <w:rFonts w:hint="default" w:ascii="Times New Roman" w:hAnsi="Times New Roman" w:cs="Times New Roman"/>
                      <w:color w:val="auto"/>
                      <w:vertAlign w:val="baseline"/>
                      <w:lang w:val="en-US" w:eastAsia="zh-CN"/>
                    </w:rPr>
                    <w:t>500</w:t>
                  </w:r>
                </w:p>
              </w:tc>
              <w:tc>
                <w:tcPr>
                  <w:tcW w:w="671" w:type="pct"/>
                  <w:vAlign w:val="center"/>
                </w:tcPr>
                <w:p w14:paraId="5D1CD1BB">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c>
                <w:tcPr>
                  <w:tcW w:w="777" w:type="pct"/>
                  <w:vAlign w:val="center"/>
                </w:tcPr>
                <w:p w14:paraId="16186534">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≦3000</w:t>
                  </w:r>
                </w:p>
              </w:tc>
              <w:tc>
                <w:tcPr>
                  <w:tcW w:w="905" w:type="pct"/>
                  <w:vAlign w:val="center"/>
                </w:tcPr>
                <w:p w14:paraId="7FB8FE9D">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≦800</w:t>
                  </w:r>
                </w:p>
              </w:tc>
              <w:tc>
                <w:tcPr>
                  <w:tcW w:w="714" w:type="pct"/>
                  <w:vAlign w:val="center"/>
                </w:tcPr>
                <w:p w14:paraId="49EEB39B">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≦4000</w:t>
                  </w:r>
                </w:p>
              </w:tc>
            </w:tr>
          </w:tbl>
          <w:p w14:paraId="52A1FB1F">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钻井废水除含有以上污染物外，另含有挥发酚等，矿化度较高。</w:t>
            </w:r>
          </w:p>
          <w:p w14:paraId="04E2D195">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非正常状况下，应立即停止钻井减少钻井泥浆产生量，将钻井泥浆暂存至洗井废水罐，确保钻井废水在井场内不落地、不外排。因此，钻井废水不会对地表水体产生影响。</w:t>
            </w:r>
          </w:p>
          <w:p w14:paraId="5E164002">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（2）洗井废水</w:t>
            </w:r>
          </w:p>
          <w:p w14:paraId="3B99854A">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本项目施工期较短，洗井废水属于水基矿物质悬浊液，主要由清水、氯化钾、重晶石、碳酸钠、膨润土、盐、石灰、石膏、腐殖酸等多种物质组成，回返地面时携带大量来自地下的泥土、矿物等</w:t>
            </w:r>
            <w:r>
              <w:rPr>
                <w:rFonts w:hint="eastAsia" w:ascii="Times New Roman" w:hAnsi="Times New Roman" w:cs="Times New Roman"/>
                <w:color w:val="auto"/>
                <w:lang w:val="en-US" w:eastAsia="zh-CN"/>
              </w:rPr>
              <w:t>。</w:t>
            </w:r>
          </w:p>
          <w:p w14:paraId="4BEA32C3">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color w:val="auto"/>
              </w:rPr>
              <w:t>洗井废水主要包括钻井过程中冲洗钻台、钻具和钻井井筒的清洗废水，污染物种类主要为</w:t>
            </w:r>
            <w:r>
              <w:rPr>
                <w:rFonts w:hint="default" w:ascii="Times New Roman" w:hAnsi="Times New Roman" w:cs="Times New Roman"/>
                <w:color w:val="auto"/>
              </w:rPr>
              <w:t>SS、COD</w:t>
            </w:r>
            <w:r>
              <w:rPr>
                <w:rFonts w:hint="eastAsia"/>
                <w:color w:val="auto"/>
              </w:rPr>
              <w:t>和石油类</w:t>
            </w:r>
            <w:r>
              <w:rPr>
                <w:rFonts w:hint="default" w:ascii="Times New Roman" w:hAnsi="Times New Roman" w:cs="Times New Roman"/>
                <w:color w:val="auto"/>
                <w:lang w:val="en-US" w:eastAsia="zh-CN"/>
              </w:rPr>
              <w:t>。洗井废水在井场内不落地、不外排</w:t>
            </w:r>
            <w:r>
              <w:rPr>
                <w:rFonts w:hint="eastAsia" w:ascii="Times New Roman" w:hAnsi="Times New Roman" w:cs="Times New Roman"/>
                <w:color w:val="auto"/>
                <w:lang w:val="en-US" w:eastAsia="zh-CN"/>
              </w:rPr>
              <w:t>，钻井结束后交陕西榆佳环保科技有限公司处置。洗井废水主要污染物及浓度见下表：</w:t>
            </w:r>
          </w:p>
          <w:p w14:paraId="2C774096">
            <w:pPr>
              <w:pStyle w:val="28"/>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auto"/>
                <w:lang w:val="en-US" w:eastAsia="zh-CN"/>
              </w:rPr>
            </w:pPr>
          </w:p>
          <w:p w14:paraId="0E112C36">
            <w:pPr>
              <w:pStyle w:val="28"/>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auto"/>
                <w:lang w:val="en-US" w:eastAsia="zh-CN"/>
              </w:rPr>
            </w:pPr>
          </w:p>
          <w:p w14:paraId="5319E972">
            <w:pPr>
              <w:pStyle w:val="28"/>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表4-2   洗井废水水质指标</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409"/>
              <w:gridCol w:w="1741"/>
              <w:gridCol w:w="1724"/>
              <w:gridCol w:w="2010"/>
            </w:tblGrid>
            <w:tr w14:paraId="3526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vAlign w:val="center"/>
                </w:tcPr>
                <w:p w14:paraId="17C76D8E">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废液类型</w:t>
                  </w:r>
                </w:p>
              </w:tc>
              <w:tc>
                <w:tcPr>
                  <w:tcW w:w="807" w:type="pct"/>
                  <w:vAlign w:val="center"/>
                </w:tcPr>
                <w:p w14:paraId="14DEA685">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pH</w:t>
                  </w:r>
                </w:p>
              </w:tc>
              <w:tc>
                <w:tcPr>
                  <w:tcW w:w="997" w:type="pct"/>
                  <w:vAlign w:val="center"/>
                </w:tcPr>
                <w:p w14:paraId="56F6D64B">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悬浮物（mg/L）</w:t>
                  </w:r>
                </w:p>
              </w:tc>
              <w:tc>
                <w:tcPr>
                  <w:tcW w:w="987" w:type="pct"/>
                  <w:vAlign w:val="center"/>
                </w:tcPr>
                <w:p w14:paraId="7675FF01">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石油类（mg/L）</w:t>
                  </w:r>
                </w:p>
              </w:tc>
              <w:tc>
                <w:tcPr>
                  <w:tcW w:w="1151" w:type="pct"/>
                  <w:vAlign w:val="center"/>
                </w:tcPr>
                <w:p w14:paraId="72C2AF09">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COD（mg/L）</w:t>
                  </w:r>
                </w:p>
              </w:tc>
            </w:tr>
            <w:tr w14:paraId="6BDE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vAlign w:val="center"/>
                </w:tcPr>
                <w:p w14:paraId="21076D33">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洗井</w:t>
                  </w:r>
                  <w:r>
                    <w:rPr>
                      <w:rFonts w:hint="default" w:ascii="Times New Roman" w:hAnsi="Times New Roman" w:cs="Times New Roman"/>
                      <w:color w:val="auto"/>
                      <w:vertAlign w:val="baseline"/>
                      <w:lang w:val="en-US" w:eastAsia="zh-CN"/>
                    </w:rPr>
                    <w:t>废水</w:t>
                  </w:r>
                </w:p>
              </w:tc>
              <w:tc>
                <w:tcPr>
                  <w:tcW w:w="807" w:type="pct"/>
                  <w:vAlign w:val="center"/>
                </w:tcPr>
                <w:p w14:paraId="1D78B686">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7-8</w:t>
                  </w:r>
                </w:p>
              </w:tc>
              <w:tc>
                <w:tcPr>
                  <w:tcW w:w="997" w:type="pct"/>
                  <w:vAlign w:val="center"/>
                </w:tcPr>
                <w:p w14:paraId="7DDD21F8">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vertAlign w:val="baseline"/>
                      <w:lang w:val="en-US" w:eastAsia="zh-CN"/>
                    </w:rPr>
                    <w:t>2</w:t>
                  </w:r>
                  <w:r>
                    <w:rPr>
                      <w:rFonts w:hint="default" w:ascii="Times New Roman" w:hAnsi="Times New Roman" w:cs="Times New Roman"/>
                      <w:color w:val="auto"/>
                      <w:vertAlign w:val="baseline"/>
                      <w:lang w:val="en-US" w:eastAsia="zh-CN"/>
                    </w:rPr>
                    <w:t>500</w:t>
                  </w:r>
                </w:p>
              </w:tc>
              <w:tc>
                <w:tcPr>
                  <w:tcW w:w="987" w:type="pct"/>
                  <w:vAlign w:val="center"/>
                </w:tcPr>
                <w:p w14:paraId="554D4DF2">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vertAlign w:val="baseline"/>
                      <w:lang w:val="en-US" w:eastAsia="zh-CN"/>
                    </w:rPr>
                    <w:t>80</w:t>
                  </w:r>
                </w:p>
              </w:tc>
              <w:tc>
                <w:tcPr>
                  <w:tcW w:w="1151" w:type="pct"/>
                  <w:vAlign w:val="center"/>
                </w:tcPr>
                <w:p w14:paraId="69F10E19">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vertAlign w:val="baseline"/>
                      <w:lang w:val="en-US" w:eastAsia="zh-CN"/>
                    </w:rPr>
                    <w:t>4500</w:t>
                  </w:r>
                </w:p>
              </w:tc>
            </w:tr>
          </w:tbl>
          <w:p w14:paraId="2B620093">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（3）压裂返排液</w:t>
            </w:r>
          </w:p>
          <w:p w14:paraId="3FDAC594">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根据勘探项目组多年勘探经验，每次注入压裂液量约</w:t>
            </w:r>
            <w:r>
              <w:rPr>
                <w:rFonts w:hint="eastAsia" w:ascii="Times New Roman" w:hAnsi="Times New Roman" w:cs="Times New Roman"/>
                <w:color w:val="auto"/>
                <w:lang w:val="en-US" w:eastAsia="zh-CN"/>
              </w:rPr>
              <w:t>150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（通过泵注入，每次注入时间约2-3h），共注入2次，</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注入压裂液总量约</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。受地层压力作用，压裂后会产生压裂返排液，返排时间约为6-10天，每天返排压裂废水量约15-25m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压裂废水产生量约为</w:t>
            </w:r>
            <w:r>
              <w:rPr>
                <w:rFonts w:hint="eastAsia" w:ascii="Times New Roman" w:hAnsi="Times New Roman" w:cs="Times New Roman"/>
                <w:color w:val="auto"/>
                <w:lang w:val="en-US" w:eastAsia="zh-CN"/>
              </w:rPr>
              <w:t>240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则共产生</w:t>
            </w:r>
            <w:r>
              <w:rPr>
                <w:rFonts w:hint="default" w:ascii="Times New Roman" w:hAnsi="Times New Roman" w:cs="Times New Roman"/>
                <w:color w:val="auto"/>
                <w:lang w:val="en-US" w:eastAsia="zh-CN"/>
              </w:rPr>
              <w:t>压裂废水产生量约为</w:t>
            </w:r>
            <w:r>
              <w:rPr>
                <w:rFonts w:hint="eastAsia" w:ascii="Times New Roman" w:hAnsi="Times New Roman" w:cs="Times New Roman"/>
                <w:color w:val="auto"/>
                <w:lang w:val="en-US" w:eastAsia="zh-CN"/>
              </w:rPr>
              <w:t>1440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其余压裂液在压裂过程中进入</w:t>
            </w:r>
            <w:r>
              <w:rPr>
                <w:rFonts w:hint="eastAsia" w:ascii="Times New Roman" w:hAnsi="Times New Roman" w:cs="Times New Roman"/>
                <w:color w:val="auto"/>
                <w:lang w:val="en-US" w:eastAsia="zh-CN"/>
              </w:rPr>
              <w:t>压裂层</w:t>
            </w:r>
            <w:r>
              <w:rPr>
                <w:rFonts w:hint="default" w:ascii="Times New Roman" w:hAnsi="Times New Roman" w:cs="Times New Roman"/>
                <w:color w:val="auto"/>
                <w:lang w:val="en-US" w:eastAsia="zh-CN"/>
              </w:rPr>
              <w:t>。</w:t>
            </w:r>
          </w:p>
          <w:p w14:paraId="4DE1D867">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依据《长庆油田</w:t>
            </w:r>
            <w:r>
              <w:rPr>
                <w:rFonts w:hint="default" w:ascii="Times New Roman" w:hAnsi="Times New Roman" w:cs="Times New Roman"/>
                <w:color w:val="auto"/>
                <w:lang w:val="en-US" w:eastAsia="zh-CN"/>
              </w:rPr>
              <w:t>2019</w:t>
            </w:r>
            <w:r>
              <w:rPr>
                <w:rFonts w:hint="eastAsia" w:ascii="Times New Roman" w:hAnsi="Times New Roman" w:cs="Times New Roman"/>
                <w:color w:val="auto"/>
                <w:lang w:val="en-US" w:eastAsia="zh-CN"/>
              </w:rPr>
              <w:t>年措施返排液处理站实施方案（第一批）》（西安长庆科技工程有限责任公司）对各采气厂运行过程中产生的各类措施返排液成分进行了实测分析，以作为措施返排液处理站设计进水水质指标，根据该普测统计数据，水质指标见下表：</w:t>
            </w:r>
          </w:p>
          <w:p w14:paraId="77F05148">
            <w:pPr>
              <w:pStyle w:val="28"/>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表4-3   压裂返排液水质指标</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938"/>
              <w:gridCol w:w="1163"/>
              <w:gridCol w:w="1161"/>
              <w:gridCol w:w="1427"/>
              <w:gridCol w:w="1570"/>
              <w:gridCol w:w="1238"/>
            </w:tblGrid>
            <w:tr w14:paraId="1FC2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14:paraId="42801F15">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废液类型</w:t>
                  </w:r>
                </w:p>
              </w:tc>
              <w:tc>
                <w:tcPr>
                  <w:tcW w:w="537" w:type="pct"/>
                  <w:vAlign w:val="center"/>
                </w:tcPr>
                <w:p w14:paraId="063F818B">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pH</w:t>
                  </w:r>
                </w:p>
              </w:tc>
              <w:tc>
                <w:tcPr>
                  <w:tcW w:w="666" w:type="pct"/>
                  <w:vAlign w:val="center"/>
                </w:tcPr>
                <w:p w14:paraId="1391F5A4">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含油量</w:t>
                  </w:r>
                  <w:r>
                    <w:rPr>
                      <w:rFonts w:hint="default" w:ascii="Times New Roman" w:hAnsi="Times New Roman" w:cs="Times New Roman"/>
                      <w:b/>
                      <w:bCs/>
                      <w:color w:val="auto"/>
                      <w:sz w:val="21"/>
                      <w:szCs w:val="21"/>
                      <w:vertAlign w:val="baseline"/>
                      <w:lang w:val="en-US" w:eastAsia="zh-CN"/>
                    </w:rPr>
                    <w:t>（mg/L）</w:t>
                  </w:r>
                </w:p>
              </w:tc>
              <w:tc>
                <w:tcPr>
                  <w:tcW w:w="665" w:type="pct"/>
                  <w:vAlign w:val="center"/>
                </w:tcPr>
                <w:p w14:paraId="230FCED6">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悬浮物</w:t>
                  </w:r>
                  <w:r>
                    <w:rPr>
                      <w:rFonts w:hint="default" w:ascii="Times New Roman" w:hAnsi="Times New Roman" w:cs="Times New Roman"/>
                      <w:b/>
                      <w:bCs/>
                      <w:color w:val="auto"/>
                      <w:sz w:val="21"/>
                      <w:szCs w:val="21"/>
                      <w:vertAlign w:val="baseline"/>
                      <w:lang w:val="en-US" w:eastAsia="zh-CN"/>
                    </w:rPr>
                    <w:t>（mg/L）</w:t>
                  </w:r>
                </w:p>
              </w:tc>
              <w:tc>
                <w:tcPr>
                  <w:tcW w:w="817" w:type="pct"/>
                  <w:vAlign w:val="center"/>
                </w:tcPr>
                <w:p w14:paraId="4CB11B9A">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矿化度</w:t>
                  </w:r>
                  <w:r>
                    <w:rPr>
                      <w:rFonts w:hint="default" w:ascii="Times New Roman" w:hAnsi="Times New Roman" w:cs="Times New Roman"/>
                      <w:b/>
                      <w:bCs/>
                      <w:color w:val="auto"/>
                      <w:sz w:val="21"/>
                      <w:szCs w:val="21"/>
                      <w:vertAlign w:val="baseline"/>
                      <w:lang w:val="en-US" w:eastAsia="zh-CN"/>
                    </w:rPr>
                    <w:t>（mg/L）</w:t>
                  </w:r>
                </w:p>
              </w:tc>
              <w:tc>
                <w:tcPr>
                  <w:tcW w:w="899" w:type="pct"/>
                  <w:vAlign w:val="center"/>
                </w:tcPr>
                <w:p w14:paraId="546CCB71">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总硬度</w:t>
                  </w:r>
                  <w:r>
                    <w:rPr>
                      <w:rFonts w:hint="default" w:ascii="Times New Roman" w:hAnsi="Times New Roman" w:cs="Times New Roman"/>
                      <w:b/>
                      <w:bCs/>
                      <w:color w:val="auto"/>
                      <w:sz w:val="21"/>
                      <w:szCs w:val="21"/>
                      <w:vertAlign w:val="baseline"/>
                      <w:lang w:val="en-US" w:eastAsia="zh-CN"/>
                    </w:rPr>
                    <w:t>（mg/L）</w:t>
                  </w:r>
                </w:p>
              </w:tc>
              <w:tc>
                <w:tcPr>
                  <w:tcW w:w="708" w:type="pct"/>
                  <w:vAlign w:val="center"/>
                </w:tcPr>
                <w:p w14:paraId="330B2CAF">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溶解氧</w:t>
                  </w:r>
                  <w:r>
                    <w:rPr>
                      <w:rFonts w:hint="default" w:ascii="Times New Roman" w:hAnsi="Times New Roman" w:cs="Times New Roman"/>
                      <w:b/>
                      <w:bCs/>
                      <w:color w:val="auto"/>
                      <w:sz w:val="21"/>
                      <w:szCs w:val="21"/>
                      <w:vertAlign w:val="baseline"/>
                      <w:lang w:val="en-US" w:eastAsia="zh-CN"/>
                    </w:rPr>
                    <w:t>（mg/L）</w:t>
                  </w:r>
                </w:p>
              </w:tc>
            </w:tr>
            <w:tr w14:paraId="40D8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14:paraId="57E71222">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压裂返排液</w:t>
                  </w:r>
                </w:p>
              </w:tc>
              <w:tc>
                <w:tcPr>
                  <w:tcW w:w="537" w:type="pct"/>
                  <w:vAlign w:val="center"/>
                </w:tcPr>
                <w:p w14:paraId="2FDA9EDA">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6-9</w:t>
                  </w:r>
                </w:p>
              </w:tc>
              <w:tc>
                <w:tcPr>
                  <w:tcW w:w="666" w:type="pct"/>
                  <w:vAlign w:val="center"/>
                </w:tcPr>
                <w:p w14:paraId="59C66ACB">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20~50</w:t>
                  </w:r>
                </w:p>
              </w:tc>
              <w:tc>
                <w:tcPr>
                  <w:tcW w:w="665" w:type="pct"/>
                  <w:vAlign w:val="center"/>
                </w:tcPr>
                <w:p w14:paraId="0084B9ED">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100~300</w:t>
                  </w:r>
                </w:p>
              </w:tc>
              <w:tc>
                <w:tcPr>
                  <w:tcW w:w="817" w:type="pct"/>
                  <w:vAlign w:val="center"/>
                </w:tcPr>
                <w:p w14:paraId="28C263C6">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5000~10000</w:t>
                  </w:r>
                </w:p>
              </w:tc>
              <w:tc>
                <w:tcPr>
                  <w:tcW w:w="899" w:type="pct"/>
                  <w:vAlign w:val="center"/>
                </w:tcPr>
                <w:p w14:paraId="712429FF">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1000~2500</w:t>
                  </w:r>
                </w:p>
              </w:tc>
              <w:tc>
                <w:tcPr>
                  <w:tcW w:w="708" w:type="pct"/>
                  <w:vAlign w:val="center"/>
                </w:tcPr>
                <w:p w14:paraId="5580A2BE">
                  <w:pPr>
                    <w:pStyle w:val="28"/>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r>
          </w:tbl>
          <w:p w14:paraId="40A22FE0">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根据榆林市生态环境局《关于印发榆林市油气开发压裂反排液处置管理规定的通知》（榆政环发</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2023</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71号）规定：油（气）井场要在压裂及其它井下作业前配备废水地上收集罐，对压裂返排液及其它废水进行统一收集；未配备废水收集罐的井场不得开展相关作业。</w:t>
            </w:r>
          </w:p>
          <w:p w14:paraId="4B3B6E63">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本项目压裂返排液临时收集贮存于专用收集罐，委托</w:t>
            </w:r>
            <w:r>
              <w:rPr>
                <w:rFonts w:hint="eastAsia"/>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sz w:val="24"/>
                <w:lang w:val="en-US" w:eastAsia="zh-CN"/>
              </w:rPr>
              <w:t>外运</w:t>
            </w:r>
            <w:r>
              <w:rPr>
                <w:rFonts w:hint="default" w:ascii="Times New Roman" w:hAnsi="Times New Roman" w:cs="Times New Roman"/>
                <w:color w:val="auto"/>
                <w:lang w:val="en-US" w:eastAsia="zh-CN"/>
              </w:rPr>
              <w:t>处置。符合《榆林市油气开采废弃物不落地集中处置推广项目建设管理指南（试行）》的管理规定。</w:t>
            </w:r>
          </w:p>
          <w:p w14:paraId="31DFB22E">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（4）放喷废水</w:t>
            </w:r>
          </w:p>
          <w:p w14:paraId="1DB20F56">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color w:val="auto"/>
                <w:lang w:val="en-US" w:eastAsia="zh-CN"/>
              </w:rPr>
              <w:t>试气过程中，天然气通过井场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燃烧排放，燃烧产生少量的冷凝水，收集至井场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内暂存，根据同类型项目资料显示，</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产生放喷废水的量约为2m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则共</w:t>
            </w:r>
            <w:r>
              <w:rPr>
                <w:rFonts w:hint="default" w:ascii="Times New Roman" w:hAnsi="Times New Roman" w:cs="Times New Roman"/>
                <w:color w:val="auto"/>
                <w:lang w:val="en-US" w:eastAsia="zh-CN"/>
              </w:rPr>
              <w:t>产生放喷废水的量约为</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。待钻井结束后，委托</w:t>
            </w:r>
            <w:r>
              <w:rPr>
                <w:rFonts w:hint="eastAsia"/>
                <w:color w:val="auto"/>
                <w:lang w:val="en-US" w:eastAsia="zh-CN"/>
              </w:rPr>
              <w:t>陕西榆佳环保科技有限公司</w:t>
            </w:r>
            <w:r>
              <w:rPr>
                <w:rFonts w:hint="default" w:ascii="Times New Roman" w:hAnsi="Times New Roman" w:cs="Times New Roman"/>
                <w:color w:val="auto"/>
                <w:lang w:val="en-US" w:eastAsia="zh-CN"/>
              </w:rPr>
              <w:t>外运处理。放喷废水在井场内不落地、不外排。</w:t>
            </w:r>
          </w:p>
          <w:p w14:paraId="5A283503">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（5）生活污水</w:t>
            </w:r>
          </w:p>
          <w:p w14:paraId="25540B3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本项目生活污水产生量为</w:t>
            </w:r>
            <w:r>
              <w:rPr>
                <w:rFonts w:hint="eastAsia" w:ascii="Times New Roman" w:hAnsi="Times New Roman" w:eastAsia="宋体" w:cs="Times New Roman"/>
                <w:b w:val="0"/>
                <w:bCs w:val="0"/>
                <w:color w:val="auto"/>
                <w:sz w:val="24"/>
                <w:szCs w:val="24"/>
                <w:vertAlign w:val="baseline"/>
                <w:lang w:val="en-US" w:eastAsia="zh-CN"/>
              </w:rPr>
              <w:t>364</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井场区</w:t>
            </w:r>
            <w:r>
              <w:rPr>
                <w:rFonts w:hint="eastAsia" w:ascii="Times New Roman" w:hAnsi="Times New Roman" w:eastAsia="宋体" w:cs="Times New Roman"/>
                <w:b w:val="0"/>
                <w:bCs w:val="0"/>
                <w:color w:val="auto"/>
                <w:sz w:val="24"/>
                <w:szCs w:val="24"/>
                <w:vertAlign w:val="baseline"/>
                <w:lang w:val="en-US" w:eastAsia="zh-CN"/>
              </w:rPr>
              <w:t>均</w:t>
            </w:r>
            <w:r>
              <w:rPr>
                <w:rFonts w:hint="default" w:ascii="Times New Roman" w:hAnsi="Times New Roman" w:eastAsia="宋体" w:cs="Times New Roman"/>
                <w:b w:val="0"/>
                <w:bCs w:val="0"/>
                <w:color w:val="auto"/>
                <w:sz w:val="24"/>
                <w:szCs w:val="24"/>
                <w:vertAlign w:val="baseline"/>
                <w:lang w:val="en-US" w:eastAsia="zh-CN"/>
              </w:rPr>
              <w:t>设置</w:t>
            </w:r>
            <w:r>
              <w:rPr>
                <w:rFonts w:hint="eastAsia" w:ascii="Times New Roman" w:hAnsi="Times New Roman" w:eastAsia="宋体" w:cs="Times New Roman"/>
                <w:b w:val="0"/>
                <w:bCs w:val="0"/>
                <w:color w:val="auto"/>
                <w:sz w:val="24"/>
                <w:szCs w:val="24"/>
                <w:vertAlign w:val="baseline"/>
                <w:lang w:val="en-US" w:eastAsia="zh-CN"/>
              </w:rPr>
              <w:t>环保卫生</w:t>
            </w:r>
            <w:r>
              <w:rPr>
                <w:rFonts w:hint="default" w:ascii="Times New Roman" w:hAnsi="Times New Roman" w:eastAsia="宋体" w:cs="Times New Roman"/>
                <w:b w:val="0"/>
                <w:bCs w:val="0"/>
                <w:color w:val="auto"/>
                <w:sz w:val="24"/>
                <w:szCs w:val="24"/>
                <w:vertAlign w:val="baseline"/>
                <w:lang w:val="en-US" w:eastAsia="zh-CN"/>
              </w:rPr>
              <w:t>旱厕1座，</w:t>
            </w:r>
            <w:r>
              <w:rPr>
                <w:rFonts w:hint="eastAsia" w:ascii="Times New Roman" w:hAnsi="Times New Roman" w:eastAsia="宋体" w:cs="Times New Roman"/>
                <w:b w:val="0"/>
                <w:bCs w:val="0"/>
                <w:color w:val="auto"/>
                <w:sz w:val="24"/>
                <w:szCs w:val="24"/>
                <w:vertAlign w:val="baseline"/>
                <w:lang w:val="en-US" w:eastAsia="zh-CN"/>
              </w:rPr>
              <w:t>环保卫生</w:t>
            </w:r>
            <w:r>
              <w:rPr>
                <w:rFonts w:hint="default" w:ascii="Times New Roman" w:hAnsi="Times New Roman" w:eastAsia="宋体" w:cs="Times New Roman"/>
                <w:b w:val="0"/>
                <w:bCs w:val="0"/>
                <w:color w:val="auto"/>
                <w:sz w:val="24"/>
                <w:szCs w:val="24"/>
                <w:vertAlign w:val="baseline"/>
                <w:lang w:val="en-US" w:eastAsia="zh-CN"/>
              </w:rPr>
              <w:t>旱厕定期清掏用于施肥，</w:t>
            </w:r>
            <w:r>
              <w:rPr>
                <w:rFonts w:hint="eastAsia" w:ascii="Times New Roman" w:hAnsi="Times New Roman" w:eastAsia="宋体" w:cs="Times New Roman"/>
                <w:b w:val="0"/>
                <w:bCs w:val="0"/>
                <w:color w:val="auto"/>
                <w:sz w:val="24"/>
                <w:szCs w:val="24"/>
                <w:vertAlign w:val="baseline"/>
                <w:lang w:val="en-US" w:eastAsia="zh-CN"/>
              </w:rPr>
              <w:t>盥洗废水设置15m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沉淀罐，沉淀后的废水全部用于井场洒水抑尘，不外排</w:t>
            </w:r>
            <w:r>
              <w:rPr>
                <w:rFonts w:hint="default" w:ascii="Times New Roman" w:hAnsi="Times New Roman" w:eastAsia="宋体" w:cs="Times New Roman"/>
                <w:b w:val="0"/>
                <w:bCs w:val="0"/>
                <w:color w:val="auto"/>
                <w:sz w:val="24"/>
                <w:szCs w:val="24"/>
                <w:vertAlign w:val="baseline"/>
                <w:lang w:val="en-US" w:eastAsia="zh-CN"/>
              </w:rPr>
              <w:t>。</w:t>
            </w:r>
          </w:p>
          <w:p w14:paraId="3463321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此外，井场采用雨污分流制。在暴雨季节，加强对井场内废水储存设施巡查，防止场地内废水溢出井场污染环境。</w:t>
            </w:r>
          </w:p>
          <w:p w14:paraId="2E1F1C1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综上所述，本项目钻井废水、洗井废水、压裂返排液及生活污水采取的水污染控制和水环境影响减缓措施有效，能够确保废水不外排，因此对地表水环境影响可以接受。</w:t>
            </w:r>
          </w:p>
          <w:p w14:paraId="1A3AE65E">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四、地下水</w:t>
            </w:r>
          </w:p>
          <w:p w14:paraId="76C61C4C">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（1）钻井过程对地下水的影响</w:t>
            </w:r>
          </w:p>
          <w:p w14:paraId="490512C2">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731A631D">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整个钻井作业按照规章操作，尽量避免因压力激增和开泵过猛使泥浆泵入地层污染地下水；钻井过程中采取泥浆监测，一旦发现漏失采取及时堵漏等措施，既能满足工程要求，又可减少对地下水的影响。项目钻井时采用膨润土浆钻井，固井技术完善，在套管的保护下能有效地保护浅层地下水，对地下水影响较小。</w:t>
            </w:r>
          </w:p>
          <w:p w14:paraId="6544D0D1">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（2）井场污染物入渗对地下水的影响</w:t>
            </w:r>
          </w:p>
          <w:p w14:paraId="0153E54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场污染物收集、存储措施不到位，容易造成地表污染物入渗，对浅层地下水造成一定的污染。造成地表污染物入渗的主要因素有：洗井废水罐和压裂返排液罐基础防渗措施不到位，运行中出现渗漏；井口作业区、泥浆循环系统区散落的泥浆、废水渗入地下。本项目对洗井废水罐、压裂返排液罐、泥浆循环罐区、岩屑收集箱等位置进行地面防渗和设置围堰，可有效阻断井场污染物入渗地下。</w:t>
            </w:r>
          </w:p>
          <w:p w14:paraId="6A0BCE08">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（3）地下水串层影响</w:t>
            </w:r>
          </w:p>
          <w:p w14:paraId="2009730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本项目位于陕西省榆林市朱官寨镇，根据图4-1，本项目涉及的地下水为石炭系—侏罗系与上覆松散层水流系统。</w:t>
            </w:r>
            <w:r>
              <w:rPr>
                <w:rFonts w:hint="default" w:ascii="Times New Roman" w:hAnsi="Times New Roman" w:eastAsia="宋体" w:cs="Times New Roman"/>
                <w:b w:val="0"/>
                <w:bCs w:val="0"/>
                <w:color w:val="auto"/>
                <w:sz w:val="24"/>
                <w:szCs w:val="24"/>
                <w:vertAlign w:val="baseline"/>
                <w:lang w:val="en-US" w:eastAsia="zh-CN"/>
              </w:rPr>
              <w:t>在自然状态下，由于存在隔水层，浅层水与深层水很难相互沟通混合。如果隔水层被人为破坏形成孔洞，浅层污染水就会下渗污染深层水，造成地下水串层污染。因此，项目钻至隔水层，采用速凝水泥迅速封堵隔水层孔洞，防止地下水串层污染。</w:t>
            </w:r>
          </w:p>
          <w:p w14:paraId="6DD0B25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color w:val="auto"/>
                <w:sz w:val="22"/>
              </w:rPr>
              <mc:AlternateContent>
                <mc:Choice Requires="wps">
                  <w:drawing>
                    <wp:anchor distT="0" distB="0" distL="114300" distR="114300" simplePos="0" relativeHeight="251666432" behindDoc="0" locked="0" layoutInCell="1" allowOverlap="1">
                      <wp:simplePos x="0" y="0"/>
                      <wp:positionH relativeFrom="column">
                        <wp:posOffset>2970530</wp:posOffset>
                      </wp:positionH>
                      <wp:positionV relativeFrom="paragraph">
                        <wp:posOffset>3292475</wp:posOffset>
                      </wp:positionV>
                      <wp:extent cx="914400" cy="366395"/>
                      <wp:effectExtent l="239395" t="6350" r="8255" b="8255"/>
                      <wp:wrapNone/>
                      <wp:docPr id="8" name="圆角矩形标注 8"/>
                      <wp:cNvGraphicFramePr/>
                      <a:graphic xmlns:a="http://schemas.openxmlformats.org/drawingml/2006/main">
                        <a:graphicData uri="http://schemas.microsoft.com/office/word/2010/wordprocessingShape">
                          <wps:wsp>
                            <wps:cNvSpPr/>
                            <wps:spPr>
                              <a:xfrm>
                                <a:off x="4332605" y="8820150"/>
                                <a:ext cx="914400" cy="366395"/>
                              </a:xfrm>
                              <a:prstGeom prst="wedgeRoundRectCallout">
                                <a:avLst>
                                  <a:gd name="adj1" fmla="val -72916"/>
                                  <a:gd name="adj2" fmla="val 23310"/>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4E51E71">
                                  <w:pPr>
                                    <w:jc w:val="center"/>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3.9pt;margin-top:259.25pt;height:28.85pt;width:72pt;z-index:251666432;v-text-anchor:middle;mso-width-relative:page;mso-height-relative:page;" filled="f" stroked="t" coordsize="21600,21600" o:gfxdata="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V&#10;N3uT2wAAAAsBAAAPAAAAAAAAAAEAIAAAACIAAABkcnMvZG93bnJldi54bWxQSwECFAAUAAAACACH&#10;TuJAFDW6iswCAAB0BQAADgAAAAAAAAABACAAAAAqAQAAZHJzL2Uyb0RvYy54bWxQSwUGAAAAAAYA&#10;BgBZAQAAaAYAAAAA&#10;" adj="-4950,15835,14400">
                      <v:fill on="f" focussize="0,0"/>
                      <v:stroke weight="1pt" color="#FF0000 [2404]" miterlimit="8" joinstyle="miter"/>
                      <v:imagedata o:title=""/>
                      <o:lock v:ext="edit" aspectratio="f"/>
                      <v:textbox>
                        <w:txbxContent>
                          <w:p w14:paraId="24E51E71">
                            <w:pPr>
                              <w:jc w:val="center"/>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color w:val="auto"/>
                <w:sz w:val="22"/>
              </w:rPr>
              <mc:AlternateContent>
                <mc:Choice Requires="wps">
                  <w:drawing>
                    <wp:anchor distT="0" distB="0" distL="114300" distR="114300" simplePos="0" relativeHeight="251665408" behindDoc="0" locked="0" layoutInCell="1" allowOverlap="1">
                      <wp:simplePos x="0" y="0"/>
                      <wp:positionH relativeFrom="column">
                        <wp:posOffset>2672715</wp:posOffset>
                      </wp:positionH>
                      <wp:positionV relativeFrom="paragraph">
                        <wp:posOffset>3444240</wp:posOffset>
                      </wp:positionV>
                      <wp:extent cx="198755" cy="234315"/>
                      <wp:effectExtent l="16510" t="24765" r="32385" b="26670"/>
                      <wp:wrapNone/>
                      <wp:docPr id="13" name="五角星 13"/>
                      <wp:cNvGraphicFramePr/>
                      <a:graphic xmlns:a="http://schemas.openxmlformats.org/drawingml/2006/main">
                        <a:graphicData uri="http://schemas.microsoft.com/office/word/2010/wordprocessingShape">
                          <wps:wsp>
                            <wps:cNvSpPr/>
                            <wps:spPr>
                              <a:xfrm>
                                <a:off x="3922395" y="8350250"/>
                                <a:ext cx="198755" cy="234315"/>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0.45pt;margin-top:271.2pt;height:18.45pt;width:15.65pt;z-index:251665408;v-text-anchor:middle;mso-width-relative:page;mso-height-relative:page;" fillcolor="#FF0000" filled="t" stroked="t" coordsize="198755,234315" o:gfxdata="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E8aHQzYAAAACwEAAA8AAAAAAAAA&#10;AQAgAAAAIgAAAGRycy9kb3ducmV2LnhtbFBLAQIUABQAAAAIAIdO4kBk4IMugwIAAAUFAAAOAAAA&#10;AAAAAAEAIAAAACcBAABkcnMvZTJvRG9jLnhtbFBLBQYAAAAABgAGAFkBAAAcBgAAAAA=&#10;" path="m0,89500l75918,89500,99377,0,122836,89500,198754,89500,137335,144814,160796,234314,99377,178999,37958,234314,61419,144814xe">
                      <v:path o:connectlocs="99377,0;0,89500;37958,234314;160796,234314;198754,89500" o:connectangles="247,164,82,82,0"/>
                      <v:fill on="t" focussize="0,0"/>
                      <v:stroke weight="1pt" color="#000000 [3213]" miterlimit="8" joinstyle="miter"/>
                      <v:imagedata o:title=""/>
                      <o:lock v:ext="edit" aspectratio="f"/>
                    </v:shape>
                  </w:pict>
                </mc:Fallback>
              </mc:AlternateContent>
            </w:r>
            <w:r>
              <w:rPr>
                <w:b/>
                <w:color w:val="auto"/>
                <w:szCs w:val="21"/>
              </w:rPr>
              <w:drawing>
                <wp:inline distT="0" distB="0" distL="114300" distR="114300">
                  <wp:extent cx="4631690" cy="4166870"/>
                  <wp:effectExtent l="0" t="0" r="16510" b="5080"/>
                  <wp:docPr id="14" name="图片 5" descr="K:\其他\2023\佳县措施返排液处理\水文地质图\图4.1.3-2   地下水流系统划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K:\其他\2023\佳县措施返排液处理\水文地质图\图4.1.3-2   地下水流系统划分图.jpg"/>
                          <pic:cNvPicPr>
                            <a:picLocks noChangeAspect="1"/>
                          </pic:cNvPicPr>
                        </pic:nvPicPr>
                        <pic:blipFill>
                          <a:blip r:embed="rId17"/>
                          <a:srcRect l="14571" t="3009" r="13882" b="6018"/>
                          <a:stretch>
                            <a:fillRect/>
                          </a:stretch>
                        </pic:blipFill>
                        <pic:spPr>
                          <a:xfrm>
                            <a:off x="0" y="0"/>
                            <a:ext cx="4631690" cy="4166870"/>
                          </a:xfrm>
                          <a:prstGeom prst="rect">
                            <a:avLst/>
                          </a:prstGeom>
                          <a:noFill/>
                          <a:ln>
                            <a:noFill/>
                          </a:ln>
                        </pic:spPr>
                      </pic:pic>
                    </a:graphicData>
                  </a:graphic>
                </wp:inline>
              </w:drawing>
            </w:r>
          </w:p>
          <w:p w14:paraId="1AFD7C33">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图</w:t>
            </w:r>
            <w:r>
              <w:rPr>
                <w:rFonts w:hint="default" w:ascii="Times New Roman" w:hAnsi="Times New Roman" w:eastAsia="宋体" w:cs="Times New Roman"/>
                <w:b/>
                <w:color w:val="auto"/>
                <w:szCs w:val="21"/>
                <w:lang w:val="en-US" w:eastAsia="zh-CN"/>
              </w:rPr>
              <w:t>4-1</w:t>
            </w:r>
            <w:r>
              <w:rPr>
                <w:rFonts w:hint="default" w:ascii="Times New Roman" w:hAnsi="Times New Roman" w:cs="Times New Roman"/>
                <w:b/>
                <w:color w:val="auto"/>
                <w:szCs w:val="21"/>
              </w:rPr>
              <w:t xml:space="preserve">   地下水流系统划分图</w:t>
            </w:r>
          </w:p>
          <w:p w14:paraId="76825B13">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1.寒武—奥陶系岩溶水流系统；2.白垩系水流系统；3.第四系萨拉乌苏组水流系统；4.第四系河谷冲积层水流系统；5.石炭系—侏罗系与上覆松散层水流系统；6.含水层系统界线；7.水流系统界线；8.水流子系统界线</w:t>
            </w:r>
          </w:p>
          <w:p w14:paraId="12F902AD">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综上，废液储存罐渗滤液下渗污染地下水的可能性较小；钻井滤失泥浆污染地下水可以及时发现并采取堵漏措施，污染排放量较小；总体来讲，项目建设对地下水的影响较小。</w:t>
            </w:r>
          </w:p>
          <w:p w14:paraId="38CE3540">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五、声环境影响</w:t>
            </w:r>
          </w:p>
          <w:p w14:paraId="53C581A3">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w:t>
            </w:r>
            <w:r>
              <w:rPr>
                <w:rFonts w:hint="eastAsia" w:ascii="Times New Roman" w:hAnsi="Times New Roman" w:eastAsia="宋体" w:cs="Times New Roman"/>
                <w:b/>
                <w:bCs/>
                <w:color w:val="auto"/>
                <w:sz w:val="24"/>
                <w:szCs w:val="24"/>
                <w:vertAlign w:val="baseline"/>
                <w:lang w:val="en-US" w:eastAsia="zh-CN"/>
              </w:rPr>
              <w:t>噪声源</w:t>
            </w:r>
          </w:p>
          <w:p w14:paraId="3E9276F3">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由于本项目钻井过程为24小时连续运行，对声环境影响大的主要为钻井过程中钻机、泵类等设备运行产生的连续性噪声。拟建工程</w:t>
            </w:r>
            <w:r>
              <w:rPr>
                <w:rFonts w:hint="eastAsia" w:ascii="Times New Roman" w:hAnsi="Times New Roman" w:eastAsia="宋体" w:cs="Times New Roman"/>
                <w:b w:val="0"/>
                <w:bCs w:val="0"/>
                <w:color w:val="auto"/>
                <w:sz w:val="24"/>
                <w:szCs w:val="24"/>
                <w:vertAlign w:val="baseline"/>
                <w:lang w:val="en-US" w:eastAsia="zh-CN"/>
              </w:rPr>
              <w:t>钻井前设备主要包括推土机、装载机、翻斗车等，主要用于场地平整，施工时间在3-5天之间，施工噪声值较小，对周边环境影响较小。钻井工程</w:t>
            </w:r>
            <w:r>
              <w:rPr>
                <w:rFonts w:hint="default" w:ascii="Times New Roman" w:hAnsi="Times New Roman" w:eastAsia="宋体" w:cs="Times New Roman"/>
                <w:b w:val="0"/>
                <w:bCs w:val="0"/>
                <w:color w:val="auto"/>
                <w:sz w:val="24"/>
                <w:szCs w:val="24"/>
                <w:vertAlign w:val="baseline"/>
                <w:lang w:val="en-US" w:eastAsia="zh-CN"/>
              </w:rPr>
              <w:t>主要噪声源及源强见表4-</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，主要施工机械噪声不同距离处的噪声级见表4-</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p>
          <w:p w14:paraId="5428BD69">
            <w:pPr>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p>
          <w:p w14:paraId="585ACF13">
            <w:pPr>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p>
          <w:p w14:paraId="1E9F017C">
            <w:pPr>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拟建钻井工程主要噪声源统计表 单位：dB（A）</w:t>
            </w:r>
          </w:p>
          <w:tbl>
            <w:tblPr>
              <w:tblStyle w:val="21"/>
              <w:tblW w:w="4995"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8"/>
              <w:gridCol w:w="1423"/>
              <w:gridCol w:w="776"/>
              <w:gridCol w:w="1011"/>
              <w:gridCol w:w="935"/>
              <w:gridCol w:w="764"/>
              <w:gridCol w:w="1228"/>
              <w:gridCol w:w="1332"/>
              <w:gridCol w:w="792"/>
            </w:tblGrid>
            <w:tr w14:paraId="3F94D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rPr>
              <w:tc>
                <w:tcPr>
                  <w:tcW w:w="263" w:type="pct"/>
                  <w:vMerge w:val="restart"/>
                  <w:noWrap w:val="0"/>
                  <w:vAlign w:val="center"/>
                </w:tcPr>
                <w:p w14:paraId="5868183A">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16" w:type="pct"/>
                  <w:vMerge w:val="restart"/>
                  <w:noWrap w:val="0"/>
                  <w:vAlign w:val="center"/>
                </w:tcPr>
                <w:p w14:paraId="7F379773">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声源名称</w:t>
                  </w:r>
                </w:p>
              </w:tc>
              <w:tc>
                <w:tcPr>
                  <w:tcW w:w="445" w:type="pct"/>
                  <w:vMerge w:val="restart"/>
                  <w:noWrap w:val="0"/>
                  <w:vAlign w:val="center"/>
                </w:tcPr>
                <w:p w14:paraId="40CF717C">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型号</w:t>
                  </w:r>
                </w:p>
              </w:tc>
              <w:tc>
                <w:tcPr>
                  <w:tcW w:w="1554" w:type="pct"/>
                  <w:gridSpan w:val="3"/>
                  <w:noWrap w:val="0"/>
                  <w:vAlign w:val="center"/>
                </w:tcPr>
                <w:p w14:paraId="31D9D446">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空间相对位置/m</w:t>
                  </w:r>
                </w:p>
              </w:tc>
              <w:tc>
                <w:tcPr>
                  <w:tcW w:w="704" w:type="pct"/>
                  <w:noWrap w:val="0"/>
                  <w:vAlign w:val="center"/>
                </w:tcPr>
                <w:p w14:paraId="02AF956C">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声源源强</w:t>
                  </w:r>
                </w:p>
              </w:tc>
              <w:tc>
                <w:tcPr>
                  <w:tcW w:w="764" w:type="pct"/>
                  <w:vMerge w:val="restart"/>
                  <w:noWrap w:val="0"/>
                  <w:vAlign w:val="center"/>
                </w:tcPr>
                <w:p w14:paraId="345BDEAA">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声源控制措施</w:t>
                  </w:r>
                </w:p>
              </w:tc>
              <w:tc>
                <w:tcPr>
                  <w:tcW w:w="450" w:type="pct"/>
                  <w:vMerge w:val="restart"/>
                  <w:noWrap w:val="0"/>
                  <w:vAlign w:val="center"/>
                </w:tcPr>
                <w:p w14:paraId="26822EF5">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运行时段</w:t>
                  </w:r>
                </w:p>
              </w:tc>
            </w:tr>
            <w:tr w14:paraId="0264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263" w:type="pct"/>
                  <w:vMerge w:val="continue"/>
                  <w:noWrap w:val="0"/>
                  <w:vAlign w:val="center"/>
                </w:tcPr>
                <w:p w14:paraId="02931720">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p>
              </w:tc>
              <w:tc>
                <w:tcPr>
                  <w:tcW w:w="816" w:type="pct"/>
                  <w:vMerge w:val="continue"/>
                  <w:noWrap w:val="0"/>
                  <w:vAlign w:val="center"/>
                </w:tcPr>
                <w:p w14:paraId="2140BFDC">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p>
              </w:tc>
              <w:tc>
                <w:tcPr>
                  <w:tcW w:w="445" w:type="pct"/>
                  <w:vMerge w:val="continue"/>
                  <w:noWrap w:val="0"/>
                  <w:vAlign w:val="center"/>
                </w:tcPr>
                <w:p w14:paraId="1B2FAE7E">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p>
              </w:tc>
              <w:tc>
                <w:tcPr>
                  <w:tcW w:w="580" w:type="pct"/>
                  <w:noWrap w:val="0"/>
                  <w:vAlign w:val="center"/>
                </w:tcPr>
                <w:p w14:paraId="1299CCCA">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536" w:type="pct"/>
                  <w:noWrap w:val="0"/>
                  <w:vAlign w:val="center"/>
                </w:tcPr>
                <w:p w14:paraId="72B90A9C">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437" w:type="pct"/>
                  <w:noWrap w:val="0"/>
                  <w:vAlign w:val="center"/>
                </w:tcPr>
                <w:p w14:paraId="293915CF">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Z</w:t>
                  </w:r>
                </w:p>
              </w:tc>
              <w:tc>
                <w:tcPr>
                  <w:tcW w:w="704" w:type="pct"/>
                  <w:noWrap w:val="0"/>
                  <w:vAlign w:val="center"/>
                </w:tcPr>
                <w:p w14:paraId="2879DA41">
                  <w:pPr>
                    <w:keepNext/>
                    <w:keepLines/>
                    <w:pageBreakBefore w:val="0"/>
                    <w:widowControl w:val="0"/>
                    <w:kinsoku/>
                    <w:wordWrap/>
                    <w:overflowPunct/>
                    <w:topLinePunct w:val="0"/>
                    <w:autoSpaceDE/>
                    <w:autoSpaceDN/>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声功率级dB(A)</w:t>
                  </w:r>
                </w:p>
              </w:tc>
              <w:tc>
                <w:tcPr>
                  <w:tcW w:w="764" w:type="pct"/>
                  <w:vMerge w:val="continue"/>
                  <w:noWrap w:val="0"/>
                  <w:vAlign w:val="center"/>
                </w:tcPr>
                <w:p w14:paraId="4DE86179">
                  <w:pPr>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rPr>
                  </w:pPr>
                </w:p>
              </w:tc>
              <w:tc>
                <w:tcPr>
                  <w:tcW w:w="450" w:type="pct"/>
                  <w:vMerge w:val="continue"/>
                  <w:noWrap w:val="0"/>
                  <w:vAlign w:val="center"/>
                </w:tcPr>
                <w:p w14:paraId="561C43D9">
                  <w:pPr>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rPr>
                  </w:pPr>
                </w:p>
              </w:tc>
            </w:tr>
            <w:tr w14:paraId="7FB3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5000" w:type="pct"/>
                  <w:gridSpan w:val="9"/>
                  <w:noWrap w:val="0"/>
                  <w:vAlign w:val="center"/>
                </w:tcPr>
                <w:p w14:paraId="3B60AA6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米107-6M</w:t>
                  </w:r>
                  <w:r>
                    <w:rPr>
                      <w:rFonts w:hint="eastAsia" w:ascii="Times New Roman" w:hAnsi="Times New Roman" w:eastAsia="宋体" w:cs="Times New Roman"/>
                      <w:color w:val="auto"/>
                      <w:sz w:val="21"/>
                      <w:szCs w:val="21"/>
                      <w:lang w:val="en-US" w:eastAsia="zh-CN"/>
                    </w:rPr>
                    <w:t>X</w:t>
                  </w:r>
                </w:p>
              </w:tc>
            </w:tr>
            <w:tr w14:paraId="1831F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314364FD">
                  <w:pPr>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16" w:type="pct"/>
                  <w:noWrap w:val="0"/>
                  <w:vAlign w:val="center"/>
                </w:tcPr>
                <w:p w14:paraId="7353563F">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钻机</w:t>
                  </w:r>
                </w:p>
              </w:tc>
              <w:tc>
                <w:tcPr>
                  <w:tcW w:w="445" w:type="pct"/>
                  <w:noWrap w:val="0"/>
                  <w:vAlign w:val="center"/>
                </w:tcPr>
                <w:p w14:paraId="790C80CB">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7CE0297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50.6</w:t>
                  </w:r>
                </w:p>
              </w:tc>
              <w:tc>
                <w:tcPr>
                  <w:tcW w:w="536" w:type="pct"/>
                  <w:noWrap w:val="0"/>
                  <w:vAlign w:val="center"/>
                </w:tcPr>
                <w:p w14:paraId="1C4251C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38.82</w:t>
                  </w:r>
                </w:p>
              </w:tc>
              <w:tc>
                <w:tcPr>
                  <w:tcW w:w="437" w:type="pct"/>
                  <w:noWrap w:val="0"/>
                  <w:vAlign w:val="center"/>
                </w:tcPr>
                <w:p w14:paraId="3F6F9976">
                  <w:pPr>
                    <w:pStyle w:val="13"/>
                    <w:keepNext/>
                    <w:keepLines/>
                    <w:pageBreakBefore w:val="0"/>
                    <w:widowControl w:val="0"/>
                    <w:kinsoku/>
                    <w:wordWrap/>
                    <w:overflowPunct/>
                    <w:topLinePunct w:val="0"/>
                    <w:autoSpaceDE/>
                    <w:autoSpaceDN/>
                    <w:bidi w:val="0"/>
                    <w:spacing w:after="0" w:line="240" w:lineRule="auto"/>
                    <w:ind w:left="0" w:lef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4" w:type="pct"/>
                  <w:noWrap w:val="0"/>
                  <w:vAlign w:val="center"/>
                </w:tcPr>
                <w:p w14:paraId="1C9F69C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764" w:type="pct"/>
                  <w:vMerge w:val="restart"/>
                  <w:noWrap w:val="0"/>
                  <w:vAlign w:val="center"/>
                </w:tcPr>
                <w:p w14:paraId="23190A2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noWrap w:val="0"/>
                  <w:vAlign w:val="center"/>
                </w:tcPr>
                <w:p w14:paraId="336C980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07C66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7EEF3646">
                  <w:pPr>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816" w:type="pct"/>
                  <w:noWrap w:val="0"/>
                  <w:vAlign w:val="center"/>
                </w:tcPr>
                <w:p w14:paraId="6C86613B">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泥浆泵（2台）</w:t>
                  </w:r>
                </w:p>
              </w:tc>
              <w:tc>
                <w:tcPr>
                  <w:tcW w:w="445" w:type="pct"/>
                  <w:noWrap w:val="0"/>
                  <w:vAlign w:val="center"/>
                </w:tcPr>
                <w:p w14:paraId="1692D0FD">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C7AA43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74.14</w:t>
                  </w:r>
                </w:p>
              </w:tc>
              <w:tc>
                <w:tcPr>
                  <w:tcW w:w="536" w:type="pct"/>
                  <w:noWrap w:val="0"/>
                  <w:vAlign w:val="center"/>
                </w:tcPr>
                <w:p w14:paraId="3DF5826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34.73</w:t>
                  </w:r>
                </w:p>
              </w:tc>
              <w:tc>
                <w:tcPr>
                  <w:tcW w:w="437" w:type="pct"/>
                  <w:noWrap w:val="0"/>
                  <w:vAlign w:val="center"/>
                </w:tcPr>
                <w:p w14:paraId="7DA2BCE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69D610C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5C01312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2DF89F0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31AA1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63" w:type="pct"/>
                  <w:noWrap w:val="0"/>
                  <w:vAlign w:val="center"/>
                </w:tcPr>
                <w:p w14:paraId="1D38FDAF">
                  <w:pPr>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816" w:type="pct"/>
                  <w:noWrap w:val="0"/>
                  <w:vAlign w:val="center"/>
                </w:tcPr>
                <w:p w14:paraId="3F1FAF32">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除泥器</w:t>
                  </w:r>
                </w:p>
              </w:tc>
              <w:tc>
                <w:tcPr>
                  <w:tcW w:w="445" w:type="pct"/>
                  <w:noWrap w:val="0"/>
                  <w:vAlign w:val="center"/>
                </w:tcPr>
                <w:p w14:paraId="596039E0">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0D34238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72.87</w:t>
                  </w:r>
                </w:p>
              </w:tc>
              <w:tc>
                <w:tcPr>
                  <w:tcW w:w="536" w:type="pct"/>
                  <w:noWrap w:val="0"/>
                  <w:vAlign w:val="center"/>
                </w:tcPr>
                <w:p w14:paraId="776D06D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21.18</w:t>
                  </w:r>
                </w:p>
              </w:tc>
              <w:tc>
                <w:tcPr>
                  <w:tcW w:w="437" w:type="pct"/>
                  <w:noWrap w:val="0"/>
                  <w:vAlign w:val="center"/>
                </w:tcPr>
                <w:p w14:paraId="19E36A1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1402A39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17496CD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069470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0A40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18CE132C">
                  <w:pPr>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816" w:type="pct"/>
                  <w:noWrap w:val="0"/>
                  <w:vAlign w:val="center"/>
                </w:tcPr>
                <w:p w14:paraId="36895659">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除砂器</w:t>
                  </w:r>
                </w:p>
              </w:tc>
              <w:tc>
                <w:tcPr>
                  <w:tcW w:w="445" w:type="pct"/>
                  <w:noWrap w:val="0"/>
                  <w:vAlign w:val="center"/>
                </w:tcPr>
                <w:p w14:paraId="7EB47638">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1CF19D6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76.29</w:t>
                  </w:r>
                </w:p>
              </w:tc>
              <w:tc>
                <w:tcPr>
                  <w:tcW w:w="536" w:type="pct"/>
                  <w:noWrap w:val="0"/>
                  <w:vAlign w:val="center"/>
                </w:tcPr>
                <w:p w14:paraId="3A322AD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44.61</w:t>
                  </w:r>
                </w:p>
              </w:tc>
              <w:tc>
                <w:tcPr>
                  <w:tcW w:w="437" w:type="pct"/>
                  <w:noWrap w:val="0"/>
                  <w:vAlign w:val="center"/>
                </w:tcPr>
                <w:p w14:paraId="14553C2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0F8B1F4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6BFD774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7EF070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4EED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70470F3E">
                  <w:pPr>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16" w:type="pct"/>
                  <w:noWrap w:val="0"/>
                  <w:vAlign w:val="center"/>
                </w:tcPr>
                <w:p w14:paraId="7D50895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振动筛（3台）</w:t>
                  </w:r>
                </w:p>
              </w:tc>
              <w:tc>
                <w:tcPr>
                  <w:tcW w:w="445" w:type="pct"/>
                  <w:noWrap w:val="0"/>
                  <w:vAlign w:val="center"/>
                </w:tcPr>
                <w:p w14:paraId="54DF591C">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1770DEE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77.87</w:t>
                  </w:r>
                </w:p>
              </w:tc>
              <w:tc>
                <w:tcPr>
                  <w:tcW w:w="536" w:type="pct"/>
                  <w:noWrap w:val="0"/>
                  <w:vAlign w:val="center"/>
                </w:tcPr>
                <w:p w14:paraId="028A6F7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51.46</w:t>
                  </w:r>
                </w:p>
              </w:tc>
              <w:tc>
                <w:tcPr>
                  <w:tcW w:w="437" w:type="pct"/>
                  <w:noWrap w:val="0"/>
                  <w:vAlign w:val="center"/>
                </w:tcPr>
                <w:p w14:paraId="0589994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652F0EB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780E4E7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12B5D47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3E806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3EE52063">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816" w:type="pct"/>
                  <w:noWrap w:val="0"/>
                  <w:vAlign w:val="center"/>
                </w:tcPr>
                <w:p w14:paraId="6621489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离心机（2台）</w:t>
                  </w:r>
                </w:p>
              </w:tc>
              <w:tc>
                <w:tcPr>
                  <w:tcW w:w="445" w:type="pct"/>
                  <w:noWrap w:val="0"/>
                  <w:vAlign w:val="center"/>
                </w:tcPr>
                <w:p w14:paraId="18407492">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D082A8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71.55</w:t>
                  </w:r>
                </w:p>
              </w:tc>
              <w:tc>
                <w:tcPr>
                  <w:tcW w:w="536" w:type="pct"/>
                  <w:noWrap w:val="0"/>
                  <w:vAlign w:val="center"/>
                </w:tcPr>
                <w:p w14:paraId="4CCC58C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3.81</w:t>
                  </w:r>
                </w:p>
              </w:tc>
              <w:tc>
                <w:tcPr>
                  <w:tcW w:w="437" w:type="pct"/>
                  <w:noWrap w:val="0"/>
                  <w:vAlign w:val="center"/>
                </w:tcPr>
                <w:p w14:paraId="33E19CC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55C6B72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8A5EA4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308361E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34DA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6724622A">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16" w:type="pct"/>
                  <w:noWrap w:val="0"/>
                  <w:vAlign w:val="center"/>
                </w:tcPr>
                <w:p w14:paraId="7100A5FB">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自动压风机</w:t>
                  </w:r>
                </w:p>
              </w:tc>
              <w:tc>
                <w:tcPr>
                  <w:tcW w:w="445" w:type="pct"/>
                  <w:noWrap w:val="0"/>
                  <w:vAlign w:val="center"/>
                </w:tcPr>
                <w:p w14:paraId="48771A5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8A23B9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61.02</w:t>
                  </w:r>
                </w:p>
              </w:tc>
              <w:tc>
                <w:tcPr>
                  <w:tcW w:w="536" w:type="pct"/>
                  <w:noWrap w:val="0"/>
                  <w:vAlign w:val="center"/>
                </w:tcPr>
                <w:p w14:paraId="415E6AF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3.55</w:t>
                  </w:r>
                </w:p>
              </w:tc>
              <w:tc>
                <w:tcPr>
                  <w:tcW w:w="437" w:type="pct"/>
                  <w:noWrap w:val="0"/>
                  <w:vAlign w:val="center"/>
                </w:tcPr>
                <w:p w14:paraId="62E231F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7C3B47A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0877764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1A61BA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78D21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40769023">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816" w:type="pct"/>
                  <w:noWrap w:val="0"/>
                  <w:vAlign w:val="center"/>
                </w:tcPr>
                <w:p w14:paraId="1C63D424">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电动压风机</w:t>
                  </w:r>
                </w:p>
              </w:tc>
              <w:tc>
                <w:tcPr>
                  <w:tcW w:w="445" w:type="pct"/>
                  <w:noWrap w:val="0"/>
                  <w:vAlign w:val="center"/>
                </w:tcPr>
                <w:p w14:paraId="24892C3A">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68DBC0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52.86</w:t>
                  </w:r>
                </w:p>
              </w:tc>
              <w:tc>
                <w:tcPr>
                  <w:tcW w:w="536" w:type="pct"/>
                  <w:noWrap w:val="0"/>
                  <w:vAlign w:val="center"/>
                </w:tcPr>
                <w:p w14:paraId="0BD5384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4.86</w:t>
                  </w:r>
                </w:p>
              </w:tc>
              <w:tc>
                <w:tcPr>
                  <w:tcW w:w="437" w:type="pct"/>
                  <w:noWrap w:val="0"/>
                  <w:vAlign w:val="center"/>
                </w:tcPr>
                <w:p w14:paraId="1F5973F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1C19BD9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35325C3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511B6A7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10D37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3" w:hRule="atLeast"/>
              </w:trPr>
              <w:tc>
                <w:tcPr>
                  <w:tcW w:w="263" w:type="pct"/>
                  <w:noWrap w:val="0"/>
                  <w:vAlign w:val="center"/>
                </w:tcPr>
                <w:p w14:paraId="0D9E1BE9">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816" w:type="pct"/>
                  <w:noWrap w:val="0"/>
                  <w:vAlign w:val="center"/>
                </w:tcPr>
                <w:p w14:paraId="062C4956">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钻井泵（2台）</w:t>
                  </w:r>
                </w:p>
              </w:tc>
              <w:tc>
                <w:tcPr>
                  <w:tcW w:w="445" w:type="pct"/>
                  <w:noWrap w:val="0"/>
                  <w:vAlign w:val="center"/>
                </w:tcPr>
                <w:p w14:paraId="2060A772">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CBE06B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55.49</w:t>
                  </w:r>
                </w:p>
              </w:tc>
              <w:tc>
                <w:tcPr>
                  <w:tcW w:w="536" w:type="pct"/>
                  <w:noWrap w:val="0"/>
                  <w:vAlign w:val="center"/>
                </w:tcPr>
                <w:p w14:paraId="5ED81A7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38.03</w:t>
                  </w:r>
                </w:p>
              </w:tc>
              <w:tc>
                <w:tcPr>
                  <w:tcW w:w="437" w:type="pct"/>
                  <w:noWrap w:val="0"/>
                  <w:vAlign w:val="center"/>
                </w:tcPr>
                <w:p w14:paraId="0B901C7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0084D89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07C3DA2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7AF0786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038A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8" w:hRule="atLeast"/>
              </w:trPr>
              <w:tc>
                <w:tcPr>
                  <w:tcW w:w="263" w:type="pct"/>
                  <w:noWrap w:val="0"/>
                  <w:vAlign w:val="center"/>
                </w:tcPr>
                <w:p w14:paraId="4E281652">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816" w:type="pct"/>
                  <w:noWrap w:val="0"/>
                  <w:vAlign w:val="center"/>
                </w:tcPr>
                <w:p w14:paraId="0161CD7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加重泵（2台）</w:t>
                  </w:r>
                </w:p>
              </w:tc>
              <w:tc>
                <w:tcPr>
                  <w:tcW w:w="445" w:type="pct"/>
                  <w:noWrap w:val="0"/>
                  <w:vAlign w:val="center"/>
                </w:tcPr>
                <w:p w14:paraId="193A3AD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441DF0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51.97</w:t>
                  </w:r>
                </w:p>
              </w:tc>
              <w:tc>
                <w:tcPr>
                  <w:tcW w:w="536" w:type="pct"/>
                  <w:noWrap w:val="0"/>
                  <w:vAlign w:val="center"/>
                </w:tcPr>
                <w:p w14:paraId="471F230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18.79</w:t>
                  </w:r>
                </w:p>
              </w:tc>
              <w:tc>
                <w:tcPr>
                  <w:tcW w:w="437" w:type="pct"/>
                  <w:noWrap w:val="0"/>
                  <w:vAlign w:val="center"/>
                </w:tcPr>
                <w:p w14:paraId="6ED1E54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78084D7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239F366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32AC747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71F79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58385504">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noWrap w:val="0"/>
                  <w:vAlign w:val="center"/>
                </w:tcPr>
                <w:p w14:paraId="2480102D">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noWrap w:val="0"/>
                  <w:vAlign w:val="center"/>
                </w:tcPr>
                <w:p w14:paraId="6AEA7D11">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F490D6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75.31</w:t>
                  </w:r>
                </w:p>
              </w:tc>
              <w:tc>
                <w:tcPr>
                  <w:tcW w:w="536" w:type="pct"/>
                  <w:noWrap w:val="0"/>
                  <w:vAlign w:val="center"/>
                </w:tcPr>
                <w:p w14:paraId="0E54CE2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5.46</w:t>
                  </w:r>
                </w:p>
              </w:tc>
              <w:tc>
                <w:tcPr>
                  <w:tcW w:w="437" w:type="pct"/>
                  <w:noWrap w:val="0"/>
                  <w:vAlign w:val="center"/>
                </w:tcPr>
                <w:p w14:paraId="3EE4B9F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1886329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4D4E23C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E747A1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p>
              </w:tc>
            </w:tr>
            <w:tr w14:paraId="6E1D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438C8981">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w:t>
                  </w:r>
                  <w:r>
                    <w:rPr>
                      <w:rFonts w:hint="default" w:ascii="Times New Roman" w:hAnsi="Times New Roman" w:cs="Times New Roman"/>
                      <w:color w:val="auto"/>
                      <w:szCs w:val="21"/>
                    </w:rPr>
                    <w:t>西南角边界。</w:t>
                  </w:r>
                </w:p>
              </w:tc>
            </w:tr>
            <w:tr w14:paraId="1977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0F8831D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米107-</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val="en-US" w:eastAsia="zh-CN"/>
                    </w:rPr>
                    <w:t>X</w:t>
                  </w:r>
                </w:p>
              </w:tc>
            </w:tr>
            <w:tr w14:paraId="59B99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1D89A55">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1</w:t>
                  </w:r>
                </w:p>
              </w:tc>
              <w:tc>
                <w:tcPr>
                  <w:tcW w:w="816" w:type="pct"/>
                  <w:shd w:val="clear" w:color="auto" w:fill="auto"/>
                  <w:noWrap w:val="0"/>
                  <w:vAlign w:val="center"/>
                </w:tcPr>
                <w:p w14:paraId="716D760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钻机</w:t>
                  </w:r>
                </w:p>
              </w:tc>
              <w:tc>
                <w:tcPr>
                  <w:tcW w:w="445" w:type="pct"/>
                  <w:shd w:val="clear" w:color="auto" w:fill="auto"/>
                  <w:noWrap w:val="0"/>
                  <w:vAlign w:val="center"/>
                </w:tcPr>
                <w:p w14:paraId="7C19E568">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1661DE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48.73</w:t>
                  </w:r>
                </w:p>
              </w:tc>
              <w:tc>
                <w:tcPr>
                  <w:tcW w:w="536" w:type="pct"/>
                  <w:noWrap w:val="0"/>
                  <w:vAlign w:val="center"/>
                </w:tcPr>
                <w:p w14:paraId="0401CB8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63.36</w:t>
                  </w:r>
                </w:p>
              </w:tc>
              <w:tc>
                <w:tcPr>
                  <w:tcW w:w="437" w:type="pct"/>
                  <w:noWrap w:val="0"/>
                  <w:vAlign w:val="center"/>
                </w:tcPr>
                <w:p w14:paraId="60C42B1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4" w:type="pct"/>
                  <w:shd w:val="clear" w:color="auto" w:fill="auto"/>
                  <w:noWrap w:val="0"/>
                  <w:vAlign w:val="center"/>
                </w:tcPr>
                <w:p w14:paraId="753BB00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90</w:t>
                  </w:r>
                </w:p>
              </w:tc>
              <w:tc>
                <w:tcPr>
                  <w:tcW w:w="764" w:type="pct"/>
                  <w:vMerge w:val="restart"/>
                  <w:noWrap w:val="0"/>
                  <w:vAlign w:val="center"/>
                </w:tcPr>
                <w:p w14:paraId="1F47634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noWrap w:val="0"/>
                  <w:vAlign w:val="center"/>
                </w:tcPr>
                <w:p w14:paraId="149C282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39E2B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5B2F3FF">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2</w:t>
                  </w:r>
                </w:p>
              </w:tc>
              <w:tc>
                <w:tcPr>
                  <w:tcW w:w="816" w:type="pct"/>
                  <w:shd w:val="clear" w:color="auto" w:fill="auto"/>
                  <w:noWrap w:val="0"/>
                  <w:vAlign w:val="center"/>
                </w:tcPr>
                <w:p w14:paraId="44B23EC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泥浆泵（2台）</w:t>
                  </w:r>
                </w:p>
              </w:tc>
              <w:tc>
                <w:tcPr>
                  <w:tcW w:w="445" w:type="pct"/>
                  <w:shd w:val="clear" w:color="auto" w:fill="auto"/>
                  <w:noWrap w:val="0"/>
                  <w:vAlign w:val="center"/>
                </w:tcPr>
                <w:p w14:paraId="17C7A9E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7596A8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0.66</w:t>
                  </w:r>
                </w:p>
              </w:tc>
              <w:tc>
                <w:tcPr>
                  <w:tcW w:w="536" w:type="pct"/>
                  <w:noWrap w:val="0"/>
                  <w:vAlign w:val="center"/>
                </w:tcPr>
                <w:p w14:paraId="3E196F9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43.24</w:t>
                  </w:r>
                </w:p>
              </w:tc>
              <w:tc>
                <w:tcPr>
                  <w:tcW w:w="437" w:type="pct"/>
                  <w:noWrap w:val="0"/>
                  <w:vAlign w:val="center"/>
                </w:tcPr>
                <w:p w14:paraId="1499F9D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1284E16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495CB7AD">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1B8CD6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28B87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3A89A32">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3</w:t>
                  </w:r>
                </w:p>
              </w:tc>
              <w:tc>
                <w:tcPr>
                  <w:tcW w:w="816" w:type="pct"/>
                  <w:shd w:val="clear" w:color="auto" w:fill="auto"/>
                  <w:noWrap w:val="0"/>
                  <w:vAlign w:val="center"/>
                </w:tcPr>
                <w:p w14:paraId="6C53355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除泥器</w:t>
                  </w:r>
                </w:p>
              </w:tc>
              <w:tc>
                <w:tcPr>
                  <w:tcW w:w="445" w:type="pct"/>
                  <w:shd w:val="clear" w:color="auto" w:fill="auto"/>
                  <w:noWrap w:val="0"/>
                  <w:vAlign w:val="center"/>
                </w:tcPr>
                <w:p w14:paraId="317A63F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5F2C9E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7.52</w:t>
                  </w:r>
                </w:p>
              </w:tc>
              <w:tc>
                <w:tcPr>
                  <w:tcW w:w="536" w:type="pct"/>
                  <w:noWrap w:val="0"/>
                  <w:vAlign w:val="center"/>
                </w:tcPr>
                <w:p w14:paraId="55F54DE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22.66</w:t>
                  </w:r>
                </w:p>
              </w:tc>
              <w:tc>
                <w:tcPr>
                  <w:tcW w:w="437" w:type="pct"/>
                  <w:noWrap w:val="0"/>
                  <w:vAlign w:val="center"/>
                </w:tcPr>
                <w:p w14:paraId="06F0991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17BCF91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63EFBF1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BE4BB3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2C1FF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A9E9F82">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4</w:t>
                  </w:r>
                </w:p>
              </w:tc>
              <w:tc>
                <w:tcPr>
                  <w:tcW w:w="816" w:type="pct"/>
                  <w:shd w:val="clear" w:color="auto" w:fill="auto"/>
                  <w:noWrap w:val="0"/>
                  <w:vAlign w:val="center"/>
                </w:tcPr>
                <w:p w14:paraId="2507D931">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除砂器</w:t>
                  </w:r>
                </w:p>
              </w:tc>
              <w:tc>
                <w:tcPr>
                  <w:tcW w:w="445" w:type="pct"/>
                  <w:shd w:val="clear" w:color="auto" w:fill="auto"/>
                  <w:noWrap w:val="0"/>
                  <w:vAlign w:val="center"/>
                </w:tcPr>
                <w:p w14:paraId="343A7CB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1ECC0A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-12.51</w:t>
                  </w:r>
                </w:p>
              </w:tc>
              <w:tc>
                <w:tcPr>
                  <w:tcW w:w="536" w:type="pct"/>
                  <w:noWrap w:val="0"/>
                  <w:vAlign w:val="center"/>
                </w:tcPr>
                <w:p w14:paraId="20F520E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55.89</w:t>
                  </w:r>
                </w:p>
              </w:tc>
              <w:tc>
                <w:tcPr>
                  <w:tcW w:w="437" w:type="pct"/>
                  <w:noWrap w:val="0"/>
                  <w:vAlign w:val="center"/>
                </w:tcPr>
                <w:p w14:paraId="0900864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31AA4FB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2492795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A37A1C8">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22C82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1CF7BE9">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5</w:t>
                  </w:r>
                </w:p>
              </w:tc>
              <w:tc>
                <w:tcPr>
                  <w:tcW w:w="816" w:type="pct"/>
                  <w:shd w:val="clear" w:color="auto" w:fill="auto"/>
                  <w:noWrap w:val="0"/>
                  <w:vAlign w:val="center"/>
                </w:tcPr>
                <w:p w14:paraId="0BFC0EE3">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振动筛（3台）</w:t>
                  </w:r>
                </w:p>
              </w:tc>
              <w:tc>
                <w:tcPr>
                  <w:tcW w:w="445" w:type="pct"/>
                  <w:shd w:val="clear" w:color="auto" w:fill="auto"/>
                  <w:noWrap w:val="0"/>
                  <w:vAlign w:val="center"/>
                </w:tcPr>
                <w:p w14:paraId="371419D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568418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15.51</w:t>
                  </w:r>
                </w:p>
              </w:tc>
              <w:tc>
                <w:tcPr>
                  <w:tcW w:w="536" w:type="pct"/>
                  <w:noWrap w:val="0"/>
                  <w:vAlign w:val="center"/>
                </w:tcPr>
                <w:p w14:paraId="0A87624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47.4</w:t>
                  </w:r>
                </w:p>
              </w:tc>
              <w:tc>
                <w:tcPr>
                  <w:tcW w:w="437" w:type="pct"/>
                  <w:noWrap w:val="0"/>
                  <w:vAlign w:val="center"/>
                </w:tcPr>
                <w:p w14:paraId="4439EAA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EB903B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372D5C22">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5DDE587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3EE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F1E5CC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816" w:type="pct"/>
                  <w:shd w:val="clear" w:color="auto" w:fill="auto"/>
                  <w:noWrap w:val="0"/>
                  <w:vAlign w:val="center"/>
                </w:tcPr>
                <w:p w14:paraId="1FA54EA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离心机（2台）</w:t>
                  </w:r>
                </w:p>
              </w:tc>
              <w:tc>
                <w:tcPr>
                  <w:tcW w:w="445" w:type="pct"/>
                  <w:shd w:val="clear" w:color="auto" w:fill="auto"/>
                  <w:noWrap w:val="0"/>
                  <w:vAlign w:val="center"/>
                </w:tcPr>
                <w:p w14:paraId="1E912493">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440F5B3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536" w:type="pct"/>
                  <w:noWrap w:val="0"/>
                  <w:vAlign w:val="center"/>
                </w:tcPr>
                <w:p w14:paraId="77D92CB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59.4</w:t>
                  </w:r>
                </w:p>
              </w:tc>
              <w:tc>
                <w:tcPr>
                  <w:tcW w:w="437" w:type="pct"/>
                  <w:noWrap w:val="0"/>
                  <w:vAlign w:val="center"/>
                </w:tcPr>
                <w:p w14:paraId="20B6631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831F9C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56687FB">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D92AA4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48593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B91FA9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816" w:type="pct"/>
                  <w:shd w:val="clear" w:color="auto" w:fill="auto"/>
                  <w:noWrap w:val="0"/>
                  <w:vAlign w:val="center"/>
                </w:tcPr>
                <w:p w14:paraId="79DA9F62">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自动压风机</w:t>
                  </w:r>
                </w:p>
              </w:tc>
              <w:tc>
                <w:tcPr>
                  <w:tcW w:w="445" w:type="pct"/>
                  <w:shd w:val="clear" w:color="auto" w:fill="auto"/>
                  <w:noWrap w:val="0"/>
                  <w:vAlign w:val="center"/>
                </w:tcPr>
                <w:p w14:paraId="51EC57B5">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8C21CF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20.39</w:t>
                  </w:r>
                </w:p>
              </w:tc>
              <w:tc>
                <w:tcPr>
                  <w:tcW w:w="536" w:type="pct"/>
                  <w:noWrap w:val="0"/>
                  <w:vAlign w:val="center"/>
                </w:tcPr>
                <w:p w14:paraId="344AF23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25.15</w:t>
                  </w:r>
                </w:p>
              </w:tc>
              <w:tc>
                <w:tcPr>
                  <w:tcW w:w="437" w:type="pct"/>
                  <w:noWrap w:val="0"/>
                  <w:vAlign w:val="center"/>
                </w:tcPr>
                <w:p w14:paraId="2E50E9F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D81437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2042AD45">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6B79027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0573B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B2C7673">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16" w:type="pct"/>
                  <w:shd w:val="clear" w:color="auto" w:fill="auto"/>
                  <w:noWrap w:val="0"/>
                  <w:vAlign w:val="center"/>
                </w:tcPr>
                <w:p w14:paraId="4E367AF3">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电动压风机</w:t>
                  </w:r>
                </w:p>
              </w:tc>
              <w:tc>
                <w:tcPr>
                  <w:tcW w:w="445" w:type="pct"/>
                  <w:shd w:val="clear" w:color="auto" w:fill="auto"/>
                  <w:noWrap w:val="0"/>
                  <w:vAlign w:val="center"/>
                </w:tcPr>
                <w:p w14:paraId="5B26736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4BF023F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26.72</w:t>
                  </w:r>
                </w:p>
              </w:tc>
              <w:tc>
                <w:tcPr>
                  <w:tcW w:w="536" w:type="pct"/>
                  <w:noWrap w:val="0"/>
                  <w:vAlign w:val="center"/>
                </w:tcPr>
                <w:p w14:paraId="2D888EB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27.09</w:t>
                  </w:r>
                </w:p>
              </w:tc>
              <w:tc>
                <w:tcPr>
                  <w:tcW w:w="437" w:type="pct"/>
                  <w:noWrap w:val="0"/>
                  <w:vAlign w:val="center"/>
                </w:tcPr>
                <w:p w14:paraId="34E5A45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EC9B27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52531CB2">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B1B448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7482F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5" w:hRule="atLeast"/>
              </w:trPr>
              <w:tc>
                <w:tcPr>
                  <w:tcW w:w="263" w:type="pct"/>
                  <w:shd w:val="clear" w:color="auto" w:fill="auto"/>
                  <w:noWrap w:val="0"/>
                  <w:vAlign w:val="center"/>
                </w:tcPr>
                <w:p w14:paraId="6D7C65A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16" w:type="pct"/>
                  <w:shd w:val="clear" w:color="auto" w:fill="auto"/>
                  <w:noWrap w:val="0"/>
                  <w:vAlign w:val="center"/>
                </w:tcPr>
                <w:p w14:paraId="6B74A073">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钻井泵（2台）</w:t>
                  </w:r>
                </w:p>
              </w:tc>
              <w:tc>
                <w:tcPr>
                  <w:tcW w:w="445" w:type="pct"/>
                  <w:shd w:val="clear" w:color="auto" w:fill="auto"/>
                  <w:noWrap w:val="0"/>
                  <w:vAlign w:val="center"/>
                </w:tcPr>
                <w:p w14:paraId="55C41BEE">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7B1494C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31.82</w:t>
                  </w:r>
                </w:p>
              </w:tc>
              <w:tc>
                <w:tcPr>
                  <w:tcW w:w="536" w:type="pct"/>
                  <w:noWrap w:val="0"/>
                  <w:vAlign w:val="center"/>
                </w:tcPr>
                <w:p w14:paraId="4D0B43F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34.39</w:t>
                  </w:r>
                </w:p>
              </w:tc>
              <w:tc>
                <w:tcPr>
                  <w:tcW w:w="437" w:type="pct"/>
                  <w:noWrap w:val="0"/>
                  <w:vAlign w:val="center"/>
                </w:tcPr>
                <w:p w14:paraId="71450FE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97FF66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6C66280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9FF9E9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FCA8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trPr>
              <w:tc>
                <w:tcPr>
                  <w:tcW w:w="263" w:type="pct"/>
                  <w:shd w:val="clear" w:color="auto" w:fill="auto"/>
                  <w:noWrap w:val="0"/>
                  <w:vAlign w:val="center"/>
                </w:tcPr>
                <w:p w14:paraId="6CA2D31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16" w:type="pct"/>
                  <w:shd w:val="clear" w:color="auto" w:fill="auto"/>
                  <w:noWrap w:val="0"/>
                  <w:vAlign w:val="center"/>
                </w:tcPr>
                <w:p w14:paraId="7E903790">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加重泵（2台）</w:t>
                  </w:r>
                </w:p>
              </w:tc>
              <w:tc>
                <w:tcPr>
                  <w:tcW w:w="445" w:type="pct"/>
                  <w:shd w:val="clear" w:color="auto" w:fill="auto"/>
                  <w:noWrap w:val="0"/>
                  <w:vAlign w:val="center"/>
                </w:tcPr>
                <w:p w14:paraId="34F1D2FA">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449420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31.58</w:t>
                  </w:r>
                </w:p>
              </w:tc>
              <w:tc>
                <w:tcPr>
                  <w:tcW w:w="536" w:type="pct"/>
                  <w:noWrap w:val="0"/>
                  <w:vAlign w:val="center"/>
                </w:tcPr>
                <w:p w14:paraId="52125A6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39.26</w:t>
                  </w:r>
                </w:p>
              </w:tc>
              <w:tc>
                <w:tcPr>
                  <w:tcW w:w="437" w:type="pct"/>
                  <w:noWrap w:val="0"/>
                  <w:vAlign w:val="center"/>
                </w:tcPr>
                <w:p w14:paraId="2B8990E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18148A1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C5A18B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1E1A5E8">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B8D3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4E1018A">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shd w:val="clear" w:color="auto" w:fill="auto"/>
                  <w:noWrap w:val="0"/>
                  <w:vAlign w:val="center"/>
                </w:tcPr>
                <w:p w14:paraId="1524621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shd w:val="clear" w:color="auto" w:fill="auto"/>
                  <w:noWrap w:val="0"/>
                  <w:vAlign w:val="center"/>
                </w:tcPr>
                <w:p w14:paraId="478EA3B9">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2506C9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536" w:type="pct"/>
                  <w:noWrap w:val="0"/>
                  <w:vAlign w:val="center"/>
                </w:tcPr>
                <w:p w14:paraId="6B14827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61.8</w:t>
                  </w:r>
                </w:p>
              </w:tc>
              <w:tc>
                <w:tcPr>
                  <w:tcW w:w="437" w:type="pct"/>
                  <w:noWrap w:val="0"/>
                  <w:vAlign w:val="center"/>
                </w:tcPr>
                <w:p w14:paraId="4AF8FED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F60442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66FEA29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EC5375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0F7D3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36E3265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井场最南侧边界点</w:t>
                  </w:r>
                  <w:r>
                    <w:rPr>
                      <w:rFonts w:hint="default" w:ascii="Times New Roman" w:hAnsi="Times New Roman" w:cs="Times New Roman"/>
                      <w:color w:val="auto"/>
                      <w:szCs w:val="21"/>
                    </w:rPr>
                    <w:t>。</w:t>
                  </w:r>
                </w:p>
              </w:tc>
            </w:tr>
            <w:tr w14:paraId="75B05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0AF874E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米107-</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M</w:t>
                  </w:r>
                </w:p>
              </w:tc>
            </w:tr>
            <w:tr w14:paraId="3D210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33346195">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1</w:t>
                  </w:r>
                </w:p>
              </w:tc>
              <w:tc>
                <w:tcPr>
                  <w:tcW w:w="816" w:type="pct"/>
                  <w:shd w:val="clear" w:color="auto" w:fill="auto"/>
                  <w:noWrap w:val="0"/>
                  <w:vAlign w:val="center"/>
                </w:tcPr>
                <w:p w14:paraId="0FC432FD">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钻机</w:t>
                  </w:r>
                </w:p>
              </w:tc>
              <w:tc>
                <w:tcPr>
                  <w:tcW w:w="445" w:type="pct"/>
                  <w:shd w:val="clear" w:color="auto" w:fill="auto"/>
                  <w:noWrap w:val="0"/>
                  <w:vAlign w:val="center"/>
                </w:tcPr>
                <w:p w14:paraId="68846A8A">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2A20D0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12.65</w:t>
                  </w:r>
                </w:p>
              </w:tc>
              <w:tc>
                <w:tcPr>
                  <w:tcW w:w="536" w:type="pct"/>
                  <w:noWrap w:val="0"/>
                  <w:vAlign w:val="center"/>
                </w:tcPr>
                <w:p w14:paraId="76251DA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97.93</w:t>
                  </w:r>
                </w:p>
              </w:tc>
              <w:tc>
                <w:tcPr>
                  <w:tcW w:w="437" w:type="pct"/>
                  <w:noWrap w:val="0"/>
                  <w:vAlign w:val="center"/>
                </w:tcPr>
                <w:p w14:paraId="159FD4BD">
                  <w:pPr>
                    <w:pStyle w:val="13"/>
                    <w:keepNext/>
                    <w:keepLines/>
                    <w:pageBreakBefore w:val="0"/>
                    <w:widowControl w:val="0"/>
                    <w:kinsoku/>
                    <w:wordWrap/>
                    <w:overflowPunct/>
                    <w:topLinePunct w:val="0"/>
                    <w:autoSpaceDE/>
                    <w:autoSpaceDN/>
                    <w:bidi w:val="0"/>
                    <w:spacing w:after="0" w:line="240" w:lineRule="auto"/>
                    <w:ind w:left="0" w:lef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4" w:type="pct"/>
                  <w:shd w:val="clear" w:color="auto" w:fill="auto"/>
                  <w:noWrap w:val="0"/>
                  <w:vAlign w:val="center"/>
                </w:tcPr>
                <w:p w14:paraId="1879E8E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90</w:t>
                  </w:r>
                </w:p>
              </w:tc>
              <w:tc>
                <w:tcPr>
                  <w:tcW w:w="764" w:type="pct"/>
                  <w:vMerge w:val="restart"/>
                  <w:shd w:val="clear" w:color="auto" w:fill="auto"/>
                  <w:noWrap w:val="0"/>
                  <w:vAlign w:val="center"/>
                </w:tcPr>
                <w:p w14:paraId="5B2039A1">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shd w:val="clear" w:color="auto" w:fill="auto"/>
                  <w:noWrap w:val="0"/>
                  <w:vAlign w:val="center"/>
                </w:tcPr>
                <w:p w14:paraId="61B855AB">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Cs w:val="21"/>
                    </w:rPr>
                    <w:t>昼间、夜间</w:t>
                  </w:r>
                </w:p>
              </w:tc>
            </w:tr>
            <w:tr w14:paraId="7F641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C2AF1A0">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2</w:t>
                  </w:r>
                </w:p>
              </w:tc>
              <w:tc>
                <w:tcPr>
                  <w:tcW w:w="816" w:type="pct"/>
                  <w:shd w:val="clear" w:color="auto" w:fill="auto"/>
                  <w:noWrap w:val="0"/>
                  <w:vAlign w:val="center"/>
                </w:tcPr>
                <w:p w14:paraId="34D6DA15">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泥浆泵（2台）</w:t>
                  </w:r>
                </w:p>
              </w:tc>
              <w:tc>
                <w:tcPr>
                  <w:tcW w:w="445" w:type="pct"/>
                  <w:shd w:val="clear" w:color="auto" w:fill="auto"/>
                  <w:noWrap w:val="0"/>
                  <w:vAlign w:val="center"/>
                </w:tcPr>
                <w:p w14:paraId="59D64314">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8873B5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-38.62</w:t>
                  </w:r>
                </w:p>
              </w:tc>
              <w:tc>
                <w:tcPr>
                  <w:tcW w:w="536" w:type="pct"/>
                  <w:noWrap w:val="0"/>
                  <w:vAlign w:val="center"/>
                </w:tcPr>
                <w:p w14:paraId="0758CF3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124.59</w:t>
                  </w:r>
                </w:p>
              </w:tc>
              <w:tc>
                <w:tcPr>
                  <w:tcW w:w="437" w:type="pct"/>
                  <w:noWrap w:val="0"/>
                  <w:vAlign w:val="center"/>
                </w:tcPr>
                <w:p w14:paraId="4A0CBA8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DEACFB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2F58FCF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CAF01B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6AEA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87EA14D">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3</w:t>
                  </w:r>
                </w:p>
              </w:tc>
              <w:tc>
                <w:tcPr>
                  <w:tcW w:w="816" w:type="pct"/>
                  <w:shd w:val="clear" w:color="auto" w:fill="auto"/>
                  <w:noWrap w:val="0"/>
                  <w:vAlign w:val="center"/>
                </w:tcPr>
                <w:p w14:paraId="40AC6A9E">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除泥器</w:t>
                  </w:r>
                </w:p>
              </w:tc>
              <w:tc>
                <w:tcPr>
                  <w:tcW w:w="445" w:type="pct"/>
                  <w:shd w:val="clear" w:color="auto" w:fill="auto"/>
                  <w:noWrap w:val="0"/>
                  <w:vAlign w:val="center"/>
                </w:tcPr>
                <w:p w14:paraId="3897361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289B0E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-21.3</w:t>
                  </w:r>
                </w:p>
              </w:tc>
              <w:tc>
                <w:tcPr>
                  <w:tcW w:w="536" w:type="pct"/>
                  <w:noWrap w:val="0"/>
                  <w:vAlign w:val="center"/>
                </w:tcPr>
                <w:p w14:paraId="3CBCD41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138.2</w:t>
                  </w:r>
                </w:p>
              </w:tc>
              <w:tc>
                <w:tcPr>
                  <w:tcW w:w="437" w:type="pct"/>
                  <w:noWrap w:val="0"/>
                  <w:vAlign w:val="center"/>
                </w:tcPr>
                <w:p w14:paraId="2DCF440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2AA9C79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0BD56C08">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9AB7C5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4419F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BB880C5">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4</w:t>
                  </w:r>
                </w:p>
              </w:tc>
              <w:tc>
                <w:tcPr>
                  <w:tcW w:w="816" w:type="pct"/>
                  <w:shd w:val="clear" w:color="auto" w:fill="auto"/>
                  <w:noWrap w:val="0"/>
                  <w:vAlign w:val="center"/>
                </w:tcPr>
                <w:p w14:paraId="07176851">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除砂器</w:t>
                  </w:r>
                </w:p>
              </w:tc>
              <w:tc>
                <w:tcPr>
                  <w:tcW w:w="445" w:type="pct"/>
                  <w:shd w:val="clear" w:color="auto" w:fill="auto"/>
                  <w:noWrap w:val="0"/>
                  <w:vAlign w:val="center"/>
                </w:tcPr>
                <w:p w14:paraId="2083EF38">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0815E3C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-1.51</w:t>
                  </w:r>
                </w:p>
              </w:tc>
              <w:tc>
                <w:tcPr>
                  <w:tcW w:w="536" w:type="pct"/>
                  <w:noWrap w:val="0"/>
                  <w:vAlign w:val="center"/>
                </w:tcPr>
                <w:p w14:paraId="29FB3B8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148.71</w:t>
                  </w:r>
                </w:p>
              </w:tc>
              <w:tc>
                <w:tcPr>
                  <w:tcW w:w="437" w:type="pct"/>
                  <w:noWrap w:val="0"/>
                  <w:vAlign w:val="center"/>
                </w:tcPr>
                <w:p w14:paraId="76530CF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7D47EAD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581850B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87E5CE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6903F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09E00387">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5</w:t>
                  </w:r>
                </w:p>
              </w:tc>
              <w:tc>
                <w:tcPr>
                  <w:tcW w:w="816" w:type="pct"/>
                  <w:shd w:val="clear" w:color="auto" w:fill="auto"/>
                  <w:noWrap w:val="0"/>
                  <w:vAlign w:val="center"/>
                </w:tcPr>
                <w:p w14:paraId="3BF7A93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振动筛（3台）</w:t>
                  </w:r>
                </w:p>
              </w:tc>
              <w:tc>
                <w:tcPr>
                  <w:tcW w:w="445" w:type="pct"/>
                  <w:shd w:val="clear" w:color="auto" w:fill="auto"/>
                  <w:noWrap w:val="0"/>
                  <w:vAlign w:val="center"/>
                </w:tcPr>
                <w:p w14:paraId="6A627B2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16B772E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15.2</w:t>
                  </w:r>
                </w:p>
              </w:tc>
              <w:tc>
                <w:tcPr>
                  <w:tcW w:w="536" w:type="pct"/>
                  <w:noWrap w:val="0"/>
                  <w:vAlign w:val="center"/>
                </w:tcPr>
                <w:p w14:paraId="27DFA3F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159.85</w:t>
                  </w:r>
                </w:p>
              </w:tc>
              <w:tc>
                <w:tcPr>
                  <w:tcW w:w="437" w:type="pct"/>
                  <w:noWrap w:val="0"/>
                  <w:vAlign w:val="center"/>
                </w:tcPr>
                <w:p w14:paraId="340635C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C4FCBF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65C449C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09D168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312DB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76C2473">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816" w:type="pct"/>
                  <w:shd w:val="clear" w:color="auto" w:fill="auto"/>
                  <w:noWrap w:val="0"/>
                  <w:vAlign w:val="center"/>
                </w:tcPr>
                <w:p w14:paraId="4B5255BF">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离心机（2台）</w:t>
                  </w:r>
                </w:p>
              </w:tc>
              <w:tc>
                <w:tcPr>
                  <w:tcW w:w="445" w:type="pct"/>
                  <w:shd w:val="clear" w:color="auto" w:fill="auto"/>
                  <w:noWrap w:val="0"/>
                  <w:vAlign w:val="center"/>
                </w:tcPr>
                <w:p w14:paraId="05D99279">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4A3267E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-47.9</w:t>
                  </w:r>
                </w:p>
              </w:tc>
              <w:tc>
                <w:tcPr>
                  <w:tcW w:w="536" w:type="pct"/>
                  <w:noWrap w:val="0"/>
                  <w:vAlign w:val="center"/>
                </w:tcPr>
                <w:p w14:paraId="6910C9D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139.43</w:t>
                  </w:r>
                </w:p>
              </w:tc>
              <w:tc>
                <w:tcPr>
                  <w:tcW w:w="437" w:type="pct"/>
                  <w:noWrap w:val="0"/>
                  <w:vAlign w:val="center"/>
                </w:tcPr>
                <w:p w14:paraId="120C446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41B13B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1C572E02">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6D949FB">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2922F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F732C0A">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816" w:type="pct"/>
                  <w:shd w:val="clear" w:color="auto" w:fill="auto"/>
                  <w:noWrap w:val="0"/>
                  <w:vAlign w:val="center"/>
                </w:tcPr>
                <w:p w14:paraId="00B8C11B">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自动压风机</w:t>
                  </w:r>
                </w:p>
              </w:tc>
              <w:tc>
                <w:tcPr>
                  <w:tcW w:w="445" w:type="pct"/>
                  <w:shd w:val="clear" w:color="auto" w:fill="auto"/>
                  <w:noWrap w:val="0"/>
                  <w:vAlign w:val="center"/>
                </w:tcPr>
                <w:p w14:paraId="68535C88">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74DD83C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-31.2</w:t>
                  </w:r>
                </w:p>
              </w:tc>
              <w:tc>
                <w:tcPr>
                  <w:tcW w:w="536" w:type="pct"/>
                  <w:noWrap w:val="0"/>
                  <w:vAlign w:val="center"/>
                </w:tcPr>
                <w:p w14:paraId="6A16DF7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148.71</w:t>
                  </w:r>
                </w:p>
              </w:tc>
              <w:tc>
                <w:tcPr>
                  <w:tcW w:w="437" w:type="pct"/>
                  <w:noWrap w:val="0"/>
                  <w:vAlign w:val="center"/>
                </w:tcPr>
                <w:p w14:paraId="18DB394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C94C63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2B16505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58523A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73300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49E9D2A">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16" w:type="pct"/>
                  <w:shd w:val="clear" w:color="auto" w:fill="auto"/>
                  <w:noWrap w:val="0"/>
                  <w:vAlign w:val="center"/>
                </w:tcPr>
                <w:p w14:paraId="53FAA86C">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电动压风机</w:t>
                  </w:r>
                </w:p>
              </w:tc>
              <w:tc>
                <w:tcPr>
                  <w:tcW w:w="445" w:type="pct"/>
                  <w:shd w:val="clear" w:color="auto" w:fill="auto"/>
                  <w:noWrap w:val="0"/>
                  <w:vAlign w:val="center"/>
                </w:tcPr>
                <w:p w14:paraId="0DFCA587">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8CE680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-15.73</w:t>
                  </w:r>
                </w:p>
              </w:tc>
              <w:tc>
                <w:tcPr>
                  <w:tcW w:w="536" w:type="pct"/>
                  <w:noWrap w:val="0"/>
                  <w:vAlign w:val="center"/>
                </w:tcPr>
                <w:p w14:paraId="05AF80E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156.13</w:t>
                  </w:r>
                </w:p>
              </w:tc>
              <w:tc>
                <w:tcPr>
                  <w:tcW w:w="437" w:type="pct"/>
                  <w:noWrap w:val="0"/>
                  <w:vAlign w:val="center"/>
                </w:tcPr>
                <w:p w14:paraId="5AAE43E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BF9F3E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0C4EF60B">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939C86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5051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888FBB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16" w:type="pct"/>
                  <w:shd w:val="clear" w:color="auto" w:fill="auto"/>
                  <w:noWrap w:val="0"/>
                  <w:vAlign w:val="center"/>
                </w:tcPr>
                <w:p w14:paraId="7F02863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钻井泵（2台）</w:t>
                  </w:r>
                </w:p>
              </w:tc>
              <w:tc>
                <w:tcPr>
                  <w:tcW w:w="445" w:type="pct"/>
                  <w:shd w:val="clear" w:color="auto" w:fill="auto"/>
                  <w:noWrap w:val="0"/>
                  <w:vAlign w:val="center"/>
                </w:tcPr>
                <w:p w14:paraId="0DC11823">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806222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536" w:type="pct"/>
                  <w:noWrap w:val="0"/>
                  <w:vAlign w:val="center"/>
                </w:tcPr>
                <w:p w14:paraId="6FE12CE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112.22</w:t>
                  </w:r>
                </w:p>
              </w:tc>
              <w:tc>
                <w:tcPr>
                  <w:tcW w:w="437" w:type="pct"/>
                  <w:noWrap w:val="0"/>
                  <w:vAlign w:val="center"/>
                </w:tcPr>
                <w:p w14:paraId="1C199B0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C71204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71B00B08">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7AA92B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20045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C0A47B1">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16" w:type="pct"/>
                  <w:shd w:val="clear" w:color="auto" w:fill="auto"/>
                  <w:noWrap w:val="0"/>
                  <w:vAlign w:val="center"/>
                </w:tcPr>
                <w:p w14:paraId="4F5C5312">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加重泵（2台）</w:t>
                  </w:r>
                </w:p>
              </w:tc>
              <w:tc>
                <w:tcPr>
                  <w:tcW w:w="445" w:type="pct"/>
                  <w:shd w:val="clear" w:color="auto" w:fill="auto"/>
                  <w:noWrap w:val="0"/>
                  <w:vAlign w:val="center"/>
                </w:tcPr>
                <w:p w14:paraId="12516BC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66548F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23.24</w:t>
                  </w:r>
                </w:p>
              </w:tc>
              <w:tc>
                <w:tcPr>
                  <w:tcW w:w="536" w:type="pct"/>
                  <w:noWrap w:val="0"/>
                  <w:vAlign w:val="center"/>
                </w:tcPr>
                <w:p w14:paraId="66EEAA1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121.5</w:t>
                  </w:r>
                </w:p>
              </w:tc>
              <w:tc>
                <w:tcPr>
                  <w:tcW w:w="437" w:type="pct"/>
                  <w:noWrap w:val="0"/>
                  <w:vAlign w:val="center"/>
                </w:tcPr>
                <w:p w14:paraId="0E315B2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8FA133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6D38D5A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BFB27C1">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052EF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19DCFF02">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shd w:val="clear" w:color="auto" w:fill="auto"/>
                  <w:noWrap w:val="0"/>
                  <w:vAlign w:val="center"/>
                </w:tcPr>
                <w:p w14:paraId="25B9CDA5">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shd w:val="clear" w:color="auto" w:fill="auto"/>
                  <w:noWrap w:val="0"/>
                  <w:vAlign w:val="center"/>
                </w:tcPr>
                <w:p w14:paraId="1BE8D59C">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C13BDF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-44.69</w:t>
                  </w:r>
                </w:p>
              </w:tc>
              <w:tc>
                <w:tcPr>
                  <w:tcW w:w="536" w:type="pct"/>
                  <w:noWrap w:val="0"/>
                  <w:vAlign w:val="center"/>
                </w:tcPr>
                <w:p w14:paraId="25275C8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146.58</w:t>
                  </w:r>
                </w:p>
              </w:tc>
              <w:tc>
                <w:tcPr>
                  <w:tcW w:w="437" w:type="pct"/>
                  <w:noWrap w:val="0"/>
                  <w:vAlign w:val="center"/>
                </w:tcPr>
                <w:p w14:paraId="7BBD6BD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7CB61DD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1F3AF6B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CFE2B4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2364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0AB8CE6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井场最南侧边界点</w:t>
                  </w:r>
                  <w:r>
                    <w:rPr>
                      <w:rFonts w:hint="default" w:ascii="Times New Roman" w:hAnsi="Times New Roman" w:cs="Times New Roman"/>
                      <w:color w:val="auto"/>
                      <w:szCs w:val="21"/>
                    </w:rPr>
                    <w:t>。</w:t>
                  </w:r>
                </w:p>
              </w:tc>
            </w:tr>
            <w:tr w14:paraId="4C25B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4F1EE48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米107-</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M</w:t>
                  </w:r>
                </w:p>
              </w:tc>
            </w:tr>
            <w:tr w14:paraId="59652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0223088">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1</w:t>
                  </w:r>
                </w:p>
              </w:tc>
              <w:tc>
                <w:tcPr>
                  <w:tcW w:w="816" w:type="pct"/>
                  <w:shd w:val="clear" w:color="auto" w:fill="auto"/>
                  <w:noWrap w:val="0"/>
                  <w:vAlign w:val="center"/>
                </w:tcPr>
                <w:p w14:paraId="6079473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钻机</w:t>
                  </w:r>
                </w:p>
              </w:tc>
              <w:tc>
                <w:tcPr>
                  <w:tcW w:w="445" w:type="pct"/>
                  <w:shd w:val="clear" w:color="auto" w:fill="auto"/>
                  <w:noWrap w:val="0"/>
                  <w:vAlign w:val="center"/>
                </w:tcPr>
                <w:p w14:paraId="12CC69E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680886B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9.32</w:t>
                  </w:r>
                </w:p>
              </w:tc>
              <w:tc>
                <w:tcPr>
                  <w:tcW w:w="536" w:type="pct"/>
                  <w:shd w:val="clear" w:color="auto" w:fill="auto"/>
                  <w:noWrap w:val="0"/>
                  <w:vAlign w:val="center"/>
                </w:tcPr>
                <w:p w14:paraId="4ABEB3B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70.42</w:t>
                  </w:r>
                </w:p>
              </w:tc>
              <w:tc>
                <w:tcPr>
                  <w:tcW w:w="437" w:type="pct"/>
                  <w:shd w:val="clear" w:color="auto" w:fill="auto"/>
                  <w:noWrap w:val="0"/>
                  <w:vAlign w:val="center"/>
                </w:tcPr>
                <w:p w14:paraId="7A8DD31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w:t>
                  </w:r>
                </w:p>
              </w:tc>
              <w:tc>
                <w:tcPr>
                  <w:tcW w:w="704" w:type="pct"/>
                  <w:shd w:val="clear" w:color="auto" w:fill="auto"/>
                  <w:noWrap w:val="0"/>
                  <w:vAlign w:val="center"/>
                </w:tcPr>
                <w:p w14:paraId="5A5616E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90</w:t>
                  </w:r>
                </w:p>
              </w:tc>
              <w:tc>
                <w:tcPr>
                  <w:tcW w:w="764" w:type="pct"/>
                  <w:vMerge w:val="restart"/>
                  <w:shd w:val="clear" w:color="auto" w:fill="auto"/>
                  <w:noWrap w:val="0"/>
                  <w:vAlign w:val="center"/>
                </w:tcPr>
                <w:p w14:paraId="4D4201B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shd w:val="clear" w:color="auto" w:fill="auto"/>
                  <w:noWrap w:val="0"/>
                  <w:vAlign w:val="center"/>
                </w:tcPr>
                <w:p w14:paraId="00548BC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Cs w:val="21"/>
                    </w:rPr>
                    <w:t>昼间、夜间</w:t>
                  </w:r>
                </w:p>
              </w:tc>
            </w:tr>
            <w:tr w14:paraId="136B0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324AFF5">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2</w:t>
                  </w:r>
                </w:p>
              </w:tc>
              <w:tc>
                <w:tcPr>
                  <w:tcW w:w="816" w:type="pct"/>
                  <w:shd w:val="clear" w:color="auto" w:fill="auto"/>
                  <w:noWrap w:val="0"/>
                  <w:vAlign w:val="center"/>
                </w:tcPr>
                <w:p w14:paraId="7172B585">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泥浆泵（2台）</w:t>
                  </w:r>
                </w:p>
              </w:tc>
              <w:tc>
                <w:tcPr>
                  <w:tcW w:w="445" w:type="pct"/>
                  <w:shd w:val="clear" w:color="auto" w:fill="auto"/>
                  <w:noWrap w:val="0"/>
                  <w:vAlign w:val="center"/>
                </w:tcPr>
                <w:p w14:paraId="054C449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6A4385E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-25.94</w:t>
                  </w:r>
                </w:p>
              </w:tc>
              <w:tc>
                <w:tcPr>
                  <w:tcW w:w="536" w:type="pct"/>
                  <w:shd w:val="clear" w:color="auto" w:fill="auto"/>
                  <w:noWrap w:val="0"/>
                  <w:vAlign w:val="center"/>
                </w:tcPr>
                <w:p w14:paraId="20D4A82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82.17</w:t>
                  </w:r>
                </w:p>
              </w:tc>
              <w:tc>
                <w:tcPr>
                  <w:tcW w:w="437" w:type="pct"/>
                  <w:shd w:val="clear" w:color="auto" w:fill="auto"/>
                  <w:noWrap w:val="0"/>
                  <w:vAlign w:val="center"/>
                </w:tcPr>
                <w:p w14:paraId="08AEDBE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8DEBAB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4531EB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AB7248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74B08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19A1F11">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3</w:t>
                  </w:r>
                </w:p>
              </w:tc>
              <w:tc>
                <w:tcPr>
                  <w:tcW w:w="816" w:type="pct"/>
                  <w:shd w:val="clear" w:color="auto" w:fill="auto"/>
                  <w:noWrap w:val="0"/>
                  <w:vAlign w:val="center"/>
                </w:tcPr>
                <w:p w14:paraId="2043CEE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除泥器</w:t>
                  </w:r>
                </w:p>
              </w:tc>
              <w:tc>
                <w:tcPr>
                  <w:tcW w:w="445" w:type="pct"/>
                  <w:shd w:val="clear" w:color="auto" w:fill="auto"/>
                  <w:noWrap w:val="0"/>
                  <w:vAlign w:val="center"/>
                </w:tcPr>
                <w:p w14:paraId="33CB0497">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45A2E88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-12.95</w:t>
                  </w:r>
                </w:p>
              </w:tc>
              <w:tc>
                <w:tcPr>
                  <w:tcW w:w="536" w:type="pct"/>
                  <w:shd w:val="clear" w:color="auto" w:fill="auto"/>
                  <w:noWrap w:val="0"/>
                  <w:vAlign w:val="center"/>
                </w:tcPr>
                <w:p w14:paraId="367D0B9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95.78</w:t>
                  </w:r>
                </w:p>
              </w:tc>
              <w:tc>
                <w:tcPr>
                  <w:tcW w:w="437" w:type="pct"/>
                  <w:shd w:val="clear" w:color="auto" w:fill="auto"/>
                  <w:noWrap w:val="0"/>
                  <w:vAlign w:val="center"/>
                </w:tcPr>
                <w:p w14:paraId="225F9D7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3FFE1A2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5C5F3C4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4EA87C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B95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3C3FB548">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4</w:t>
                  </w:r>
                </w:p>
              </w:tc>
              <w:tc>
                <w:tcPr>
                  <w:tcW w:w="816" w:type="pct"/>
                  <w:shd w:val="clear" w:color="auto" w:fill="auto"/>
                  <w:noWrap w:val="0"/>
                  <w:vAlign w:val="center"/>
                </w:tcPr>
                <w:p w14:paraId="3E7F07F2">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除砂器</w:t>
                  </w:r>
                </w:p>
              </w:tc>
              <w:tc>
                <w:tcPr>
                  <w:tcW w:w="445" w:type="pct"/>
                  <w:shd w:val="clear" w:color="auto" w:fill="auto"/>
                  <w:noWrap w:val="0"/>
                  <w:vAlign w:val="center"/>
                </w:tcPr>
                <w:p w14:paraId="280CA134">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43FF4EA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1.28</w:t>
                  </w:r>
                </w:p>
              </w:tc>
              <w:tc>
                <w:tcPr>
                  <w:tcW w:w="536" w:type="pct"/>
                  <w:shd w:val="clear" w:color="auto" w:fill="auto"/>
                  <w:noWrap w:val="0"/>
                  <w:vAlign w:val="center"/>
                </w:tcPr>
                <w:p w14:paraId="375B0B8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105.06</w:t>
                  </w:r>
                </w:p>
              </w:tc>
              <w:tc>
                <w:tcPr>
                  <w:tcW w:w="437" w:type="pct"/>
                  <w:shd w:val="clear" w:color="auto" w:fill="auto"/>
                  <w:noWrap w:val="0"/>
                  <w:vAlign w:val="center"/>
                </w:tcPr>
                <w:p w14:paraId="35E921B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642F46C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24A2D13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94F518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F47F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0803C269">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5</w:t>
                  </w:r>
                </w:p>
              </w:tc>
              <w:tc>
                <w:tcPr>
                  <w:tcW w:w="816" w:type="pct"/>
                  <w:shd w:val="clear" w:color="auto" w:fill="auto"/>
                  <w:noWrap w:val="0"/>
                  <w:vAlign w:val="center"/>
                </w:tcPr>
                <w:p w14:paraId="128EBFF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振动筛（3台）</w:t>
                  </w:r>
                </w:p>
              </w:tc>
              <w:tc>
                <w:tcPr>
                  <w:tcW w:w="445" w:type="pct"/>
                  <w:shd w:val="clear" w:color="auto" w:fill="auto"/>
                  <w:noWrap w:val="0"/>
                  <w:vAlign w:val="center"/>
                </w:tcPr>
                <w:p w14:paraId="2CF56E4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062A612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13.03</w:t>
                  </w:r>
                </w:p>
              </w:tc>
              <w:tc>
                <w:tcPr>
                  <w:tcW w:w="536" w:type="pct"/>
                  <w:shd w:val="clear" w:color="auto" w:fill="auto"/>
                  <w:noWrap w:val="0"/>
                  <w:vAlign w:val="center"/>
                </w:tcPr>
                <w:p w14:paraId="6C3C438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113.71</w:t>
                  </w:r>
                </w:p>
              </w:tc>
              <w:tc>
                <w:tcPr>
                  <w:tcW w:w="437" w:type="pct"/>
                  <w:shd w:val="clear" w:color="auto" w:fill="auto"/>
                  <w:noWrap w:val="0"/>
                  <w:vAlign w:val="center"/>
                </w:tcPr>
                <w:p w14:paraId="6CEBE89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699FEF3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04C8604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6F36F08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6F10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0EDED26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816" w:type="pct"/>
                  <w:shd w:val="clear" w:color="auto" w:fill="auto"/>
                  <w:noWrap w:val="0"/>
                  <w:vAlign w:val="center"/>
                </w:tcPr>
                <w:p w14:paraId="13619CD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离心机（2台）</w:t>
                  </w:r>
                </w:p>
              </w:tc>
              <w:tc>
                <w:tcPr>
                  <w:tcW w:w="445" w:type="pct"/>
                  <w:shd w:val="clear" w:color="auto" w:fill="auto"/>
                  <w:noWrap w:val="0"/>
                  <w:vAlign w:val="center"/>
                </w:tcPr>
                <w:p w14:paraId="67B21364">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5807152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-41.4</w:t>
                  </w:r>
                </w:p>
              </w:tc>
              <w:tc>
                <w:tcPr>
                  <w:tcW w:w="536" w:type="pct"/>
                  <w:shd w:val="clear" w:color="auto" w:fill="auto"/>
                  <w:noWrap w:val="0"/>
                  <w:vAlign w:val="center"/>
                </w:tcPr>
                <w:p w14:paraId="0C7724A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88.36</w:t>
                  </w:r>
                </w:p>
              </w:tc>
              <w:tc>
                <w:tcPr>
                  <w:tcW w:w="437" w:type="pct"/>
                  <w:shd w:val="clear" w:color="auto" w:fill="auto"/>
                  <w:noWrap w:val="0"/>
                  <w:vAlign w:val="center"/>
                </w:tcPr>
                <w:p w14:paraId="131F971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9B6BD1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1624F998">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0DC1928B">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4A15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3971253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816" w:type="pct"/>
                  <w:shd w:val="clear" w:color="auto" w:fill="auto"/>
                  <w:noWrap w:val="0"/>
                  <w:vAlign w:val="center"/>
                </w:tcPr>
                <w:p w14:paraId="41B3169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自动压风机</w:t>
                  </w:r>
                </w:p>
              </w:tc>
              <w:tc>
                <w:tcPr>
                  <w:tcW w:w="445" w:type="pct"/>
                  <w:shd w:val="clear" w:color="auto" w:fill="auto"/>
                  <w:noWrap w:val="0"/>
                  <w:vAlign w:val="center"/>
                </w:tcPr>
                <w:p w14:paraId="532A0E4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48DB9AF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-30.27</w:t>
                  </w:r>
                </w:p>
              </w:tc>
              <w:tc>
                <w:tcPr>
                  <w:tcW w:w="536" w:type="pct"/>
                  <w:shd w:val="clear" w:color="auto" w:fill="auto"/>
                  <w:noWrap w:val="0"/>
                  <w:vAlign w:val="center"/>
                </w:tcPr>
                <w:p w14:paraId="06FEE4C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98.25</w:t>
                  </w:r>
                </w:p>
              </w:tc>
              <w:tc>
                <w:tcPr>
                  <w:tcW w:w="437" w:type="pct"/>
                  <w:shd w:val="clear" w:color="auto" w:fill="auto"/>
                  <w:noWrap w:val="0"/>
                  <w:vAlign w:val="center"/>
                </w:tcPr>
                <w:p w14:paraId="753ECAB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417AAA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71633CD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0B0894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0143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0E3E0819">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16" w:type="pct"/>
                  <w:shd w:val="clear" w:color="auto" w:fill="auto"/>
                  <w:noWrap w:val="0"/>
                  <w:vAlign w:val="center"/>
                </w:tcPr>
                <w:p w14:paraId="58C79DD6">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电动压风机</w:t>
                  </w:r>
                </w:p>
              </w:tc>
              <w:tc>
                <w:tcPr>
                  <w:tcW w:w="445" w:type="pct"/>
                  <w:shd w:val="clear" w:color="auto" w:fill="auto"/>
                  <w:noWrap w:val="0"/>
                  <w:vAlign w:val="center"/>
                </w:tcPr>
                <w:p w14:paraId="2DB14F6D">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4BF57D3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-9.86</w:t>
                  </w:r>
                </w:p>
              </w:tc>
              <w:tc>
                <w:tcPr>
                  <w:tcW w:w="536" w:type="pct"/>
                  <w:shd w:val="clear" w:color="auto" w:fill="auto"/>
                  <w:noWrap w:val="0"/>
                  <w:vAlign w:val="center"/>
                </w:tcPr>
                <w:p w14:paraId="3E53A75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106.29</w:t>
                  </w:r>
                </w:p>
              </w:tc>
              <w:tc>
                <w:tcPr>
                  <w:tcW w:w="437" w:type="pct"/>
                  <w:shd w:val="clear" w:color="auto" w:fill="auto"/>
                  <w:noWrap w:val="0"/>
                  <w:vAlign w:val="center"/>
                </w:tcPr>
                <w:p w14:paraId="2B7E1D1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76FAB90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1EFA237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6FBBD8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48DC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0D84642">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16" w:type="pct"/>
                  <w:shd w:val="clear" w:color="auto" w:fill="auto"/>
                  <w:noWrap w:val="0"/>
                  <w:vAlign w:val="center"/>
                </w:tcPr>
                <w:p w14:paraId="173EE334">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钻井泵（2台）</w:t>
                  </w:r>
                </w:p>
              </w:tc>
              <w:tc>
                <w:tcPr>
                  <w:tcW w:w="445" w:type="pct"/>
                  <w:shd w:val="clear" w:color="auto" w:fill="auto"/>
                  <w:noWrap w:val="0"/>
                  <w:vAlign w:val="center"/>
                </w:tcPr>
                <w:p w14:paraId="778F815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5B5F56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18.59</w:t>
                  </w:r>
                </w:p>
              </w:tc>
              <w:tc>
                <w:tcPr>
                  <w:tcW w:w="536" w:type="pct"/>
                  <w:shd w:val="clear" w:color="auto" w:fill="auto"/>
                  <w:noWrap w:val="0"/>
                  <w:vAlign w:val="center"/>
                </w:tcPr>
                <w:p w14:paraId="1E1B373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75.99</w:t>
                  </w:r>
                </w:p>
              </w:tc>
              <w:tc>
                <w:tcPr>
                  <w:tcW w:w="437" w:type="pct"/>
                  <w:shd w:val="clear" w:color="auto" w:fill="auto"/>
                  <w:noWrap w:val="0"/>
                  <w:vAlign w:val="center"/>
                </w:tcPr>
                <w:p w14:paraId="37F5A45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617A3D1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4380FF2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928F6D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D8EB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BD4E9C7">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16" w:type="pct"/>
                  <w:shd w:val="clear" w:color="auto" w:fill="auto"/>
                  <w:noWrap w:val="0"/>
                  <w:vAlign w:val="center"/>
                </w:tcPr>
                <w:p w14:paraId="3773E816">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加重泵（2台）</w:t>
                  </w:r>
                </w:p>
              </w:tc>
              <w:tc>
                <w:tcPr>
                  <w:tcW w:w="445" w:type="pct"/>
                  <w:shd w:val="clear" w:color="auto" w:fill="auto"/>
                  <w:noWrap w:val="0"/>
                  <w:vAlign w:val="center"/>
                </w:tcPr>
                <w:p w14:paraId="48CF00FD">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47A0AFB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0.04</w:t>
                  </w:r>
                </w:p>
              </w:tc>
              <w:tc>
                <w:tcPr>
                  <w:tcW w:w="536" w:type="pct"/>
                  <w:shd w:val="clear" w:color="auto" w:fill="auto"/>
                  <w:noWrap w:val="0"/>
                  <w:vAlign w:val="center"/>
                </w:tcPr>
                <w:p w14:paraId="3BDAECD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59.9</w:t>
                  </w:r>
                </w:p>
              </w:tc>
              <w:tc>
                <w:tcPr>
                  <w:tcW w:w="437" w:type="pct"/>
                  <w:shd w:val="clear" w:color="auto" w:fill="auto"/>
                  <w:noWrap w:val="0"/>
                  <w:vAlign w:val="center"/>
                </w:tcPr>
                <w:p w14:paraId="4C8DC8E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66EF565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6367447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6CE4C68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DF17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F27FB23">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shd w:val="clear" w:color="auto" w:fill="auto"/>
                  <w:noWrap w:val="0"/>
                  <w:vAlign w:val="center"/>
                </w:tcPr>
                <w:p w14:paraId="41BE6CFC">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shd w:val="clear" w:color="auto" w:fill="auto"/>
                  <w:noWrap w:val="0"/>
                  <w:vAlign w:val="center"/>
                </w:tcPr>
                <w:p w14:paraId="4164AB57">
                  <w:pPr>
                    <w:keepNext/>
                    <w:keepLines/>
                    <w:pageBreakBefore w:val="0"/>
                    <w:widowControl w:val="0"/>
                    <w:kinsoku/>
                    <w:wordWrap/>
                    <w:overflowPunct/>
                    <w:topLinePunct w:val="0"/>
                    <w:autoSpaceDE/>
                    <w:autoSpaceDN/>
                    <w:bidi w:val="0"/>
                    <w:jc w:val="center"/>
                    <w:rPr>
                      <w:rFonts w:hint="eastAsia" w:ascii="Times New Roman" w:hAnsi="Times New Roman" w:eastAsia="宋体" w:cs="Times New Roman"/>
                      <w:color w:val="auto"/>
                      <w:sz w:val="21"/>
                      <w:szCs w:val="21"/>
                      <w:lang w:val="en-US" w:eastAsia="zh-CN"/>
                    </w:rPr>
                  </w:pPr>
                </w:p>
              </w:tc>
              <w:tc>
                <w:tcPr>
                  <w:tcW w:w="580" w:type="pct"/>
                  <w:shd w:val="clear" w:color="auto" w:fill="auto"/>
                  <w:noWrap w:val="0"/>
                  <w:vAlign w:val="center"/>
                </w:tcPr>
                <w:p w14:paraId="0F23D00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-38.89</w:t>
                  </w:r>
                </w:p>
              </w:tc>
              <w:tc>
                <w:tcPr>
                  <w:tcW w:w="536" w:type="pct"/>
                  <w:shd w:val="clear" w:color="auto" w:fill="auto"/>
                  <w:noWrap w:val="0"/>
                  <w:vAlign w:val="center"/>
                </w:tcPr>
                <w:p w14:paraId="08AA5F4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93.5</w:t>
                  </w:r>
                </w:p>
              </w:tc>
              <w:tc>
                <w:tcPr>
                  <w:tcW w:w="437" w:type="pct"/>
                  <w:shd w:val="clear" w:color="auto" w:fill="auto"/>
                  <w:noWrap w:val="0"/>
                  <w:vAlign w:val="center"/>
                </w:tcPr>
                <w:p w14:paraId="64103B2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2C98E4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578277E1">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E2D3F4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75326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5CD340F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井场最南侧边界点</w:t>
                  </w:r>
                  <w:r>
                    <w:rPr>
                      <w:rFonts w:hint="default" w:ascii="Times New Roman" w:hAnsi="Times New Roman" w:cs="Times New Roman"/>
                      <w:color w:val="auto"/>
                      <w:szCs w:val="21"/>
                    </w:rPr>
                    <w:t>。</w:t>
                  </w:r>
                </w:p>
              </w:tc>
            </w:tr>
            <w:tr w14:paraId="07A5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493D589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米107-</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M</w:t>
                  </w:r>
                </w:p>
              </w:tc>
            </w:tr>
            <w:tr w14:paraId="349F1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E01AF88">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1</w:t>
                  </w:r>
                </w:p>
              </w:tc>
              <w:tc>
                <w:tcPr>
                  <w:tcW w:w="816" w:type="pct"/>
                  <w:shd w:val="clear" w:color="auto" w:fill="auto"/>
                  <w:noWrap w:val="0"/>
                  <w:vAlign w:val="center"/>
                </w:tcPr>
                <w:p w14:paraId="6379022F">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钻机</w:t>
                  </w:r>
                </w:p>
              </w:tc>
              <w:tc>
                <w:tcPr>
                  <w:tcW w:w="445" w:type="pct"/>
                  <w:shd w:val="clear" w:color="auto" w:fill="auto"/>
                  <w:noWrap w:val="0"/>
                  <w:vAlign w:val="center"/>
                </w:tcPr>
                <w:p w14:paraId="1DF44E7C">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1D34631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77.56</w:t>
                  </w:r>
                </w:p>
              </w:tc>
              <w:tc>
                <w:tcPr>
                  <w:tcW w:w="536" w:type="pct"/>
                  <w:shd w:val="clear" w:color="auto" w:fill="auto"/>
                  <w:noWrap w:val="0"/>
                  <w:vAlign w:val="center"/>
                </w:tcPr>
                <w:p w14:paraId="2F387E3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-1.46</w:t>
                  </w:r>
                </w:p>
              </w:tc>
              <w:tc>
                <w:tcPr>
                  <w:tcW w:w="437" w:type="pct"/>
                  <w:shd w:val="clear" w:color="auto" w:fill="auto"/>
                  <w:noWrap w:val="0"/>
                  <w:vAlign w:val="center"/>
                </w:tcPr>
                <w:p w14:paraId="5830E62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w:t>
                  </w:r>
                </w:p>
              </w:tc>
              <w:tc>
                <w:tcPr>
                  <w:tcW w:w="704" w:type="pct"/>
                  <w:shd w:val="clear" w:color="auto" w:fill="auto"/>
                  <w:noWrap w:val="0"/>
                  <w:vAlign w:val="center"/>
                </w:tcPr>
                <w:p w14:paraId="2E1C51B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90</w:t>
                  </w:r>
                </w:p>
              </w:tc>
              <w:tc>
                <w:tcPr>
                  <w:tcW w:w="764" w:type="pct"/>
                  <w:vMerge w:val="restart"/>
                  <w:noWrap w:val="0"/>
                  <w:vAlign w:val="center"/>
                </w:tcPr>
                <w:p w14:paraId="0E414B3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noWrap w:val="0"/>
                  <w:vAlign w:val="center"/>
                </w:tcPr>
                <w:p w14:paraId="74B1B7E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3DA02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192CEE3E">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2</w:t>
                  </w:r>
                </w:p>
              </w:tc>
              <w:tc>
                <w:tcPr>
                  <w:tcW w:w="816" w:type="pct"/>
                  <w:shd w:val="clear" w:color="auto" w:fill="auto"/>
                  <w:noWrap w:val="0"/>
                  <w:vAlign w:val="center"/>
                </w:tcPr>
                <w:p w14:paraId="2E56D5A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泥浆泵（2台）</w:t>
                  </w:r>
                </w:p>
              </w:tc>
              <w:tc>
                <w:tcPr>
                  <w:tcW w:w="445" w:type="pct"/>
                  <w:shd w:val="clear" w:color="auto" w:fill="auto"/>
                  <w:noWrap w:val="0"/>
                  <w:vAlign w:val="center"/>
                </w:tcPr>
                <w:p w14:paraId="243368AD">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3A2D9441">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32.21</w:t>
                  </w:r>
                </w:p>
              </w:tc>
              <w:tc>
                <w:tcPr>
                  <w:tcW w:w="536" w:type="pct"/>
                  <w:shd w:val="clear" w:color="auto" w:fill="auto"/>
                  <w:noWrap w:val="0"/>
                  <w:vAlign w:val="center"/>
                </w:tcPr>
                <w:p w14:paraId="1C3C4F3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087</w:t>
                  </w:r>
                </w:p>
              </w:tc>
              <w:tc>
                <w:tcPr>
                  <w:tcW w:w="437" w:type="pct"/>
                  <w:shd w:val="clear" w:color="auto" w:fill="auto"/>
                  <w:noWrap w:val="0"/>
                  <w:vAlign w:val="center"/>
                </w:tcPr>
                <w:p w14:paraId="261ED35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3E90A0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2460B848">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CEDFDF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6395D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39D3C75">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3</w:t>
                  </w:r>
                </w:p>
              </w:tc>
              <w:tc>
                <w:tcPr>
                  <w:tcW w:w="816" w:type="pct"/>
                  <w:shd w:val="clear" w:color="auto" w:fill="auto"/>
                  <w:noWrap w:val="0"/>
                  <w:vAlign w:val="center"/>
                </w:tcPr>
                <w:p w14:paraId="5311D926">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除泥器</w:t>
                  </w:r>
                </w:p>
              </w:tc>
              <w:tc>
                <w:tcPr>
                  <w:tcW w:w="445" w:type="pct"/>
                  <w:shd w:val="clear" w:color="auto" w:fill="auto"/>
                  <w:noWrap w:val="0"/>
                  <w:vAlign w:val="center"/>
                </w:tcPr>
                <w:p w14:paraId="7D252272">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484CBA6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47.05</w:t>
                  </w:r>
                </w:p>
              </w:tc>
              <w:tc>
                <w:tcPr>
                  <w:tcW w:w="536" w:type="pct"/>
                  <w:shd w:val="clear" w:color="auto" w:fill="auto"/>
                  <w:noWrap w:val="0"/>
                  <w:vAlign w:val="center"/>
                </w:tcPr>
                <w:p w14:paraId="6C99B3E5">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-12.21</w:t>
                  </w:r>
                </w:p>
              </w:tc>
              <w:tc>
                <w:tcPr>
                  <w:tcW w:w="437" w:type="pct"/>
                  <w:shd w:val="clear" w:color="auto" w:fill="auto"/>
                  <w:noWrap w:val="0"/>
                  <w:vAlign w:val="center"/>
                </w:tcPr>
                <w:p w14:paraId="1AABE75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6ACA527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51906FA1">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0FA32DB">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3082C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423F5AE">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4</w:t>
                  </w:r>
                </w:p>
              </w:tc>
              <w:tc>
                <w:tcPr>
                  <w:tcW w:w="816" w:type="pct"/>
                  <w:shd w:val="clear" w:color="auto" w:fill="auto"/>
                  <w:noWrap w:val="0"/>
                  <w:vAlign w:val="center"/>
                </w:tcPr>
                <w:p w14:paraId="36C1E2FC">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除砂器</w:t>
                  </w:r>
                </w:p>
              </w:tc>
              <w:tc>
                <w:tcPr>
                  <w:tcW w:w="445" w:type="pct"/>
                  <w:shd w:val="clear" w:color="auto" w:fill="auto"/>
                  <w:noWrap w:val="0"/>
                  <w:vAlign w:val="center"/>
                </w:tcPr>
                <w:p w14:paraId="584975CC">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04094A6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73.64</w:t>
                  </w:r>
                </w:p>
              </w:tc>
              <w:tc>
                <w:tcPr>
                  <w:tcW w:w="536" w:type="pct"/>
                  <w:shd w:val="clear" w:color="auto" w:fill="auto"/>
                  <w:noWrap w:val="0"/>
                  <w:vAlign w:val="center"/>
                </w:tcPr>
                <w:p w14:paraId="5773CB2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-33.76</w:t>
                  </w:r>
                </w:p>
              </w:tc>
              <w:tc>
                <w:tcPr>
                  <w:tcW w:w="437" w:type="pct"/>
                  <w:shd w:val="clear" w:color="auto" w:fill="auto"/>
                  <w:noWrap w:val="0"/>
                  <w:vAlign w:val="center"/>
                </w:tcPr>
                <w:p w14:paraId="75CA456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7256222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7F82428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7B7CBCD">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05376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123C75A">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5</w:t>
                  </w:r>
                </w:p>
              </w:tc>
              <w:tc>
                <w:tcPr>
                  <w:tcW w:w="816" w:type="pct"/>
                  <w:shd w:val="clear" w:color="auto" w:fill="auto"/>
                  <w:noWrap w:val="0"/>
                  <w:vAlign w:val="center"/>
                </w:tcPr>
                <w:p w14:paraId="64C297FF">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振动筛（3台）</w:t>
                  </w:r>
                </w:p>
              </w:tc>
              <w:tc>
                <w:tcPr>
                  <w:tcW w:w="445" w:type="pct"/>
                  <w:shd w:val="clear" w:color="auto" w:fill="auto"/>
                  <w:noWrap w:val="0"/>
                  <w:vAlign w:val="center"/>
                </w:tcPr>
                <w:p w14:paraId="305610D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00E8E8E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71.79</w:t>
                  </w:r>
                </w:p>
              </w:tc>
              <w:tc>
                <w:tcPr>
                  <w:tcW w:w="536" w:type="pct"/>
                  <w:shd w:val="clear" w:color="auto" w:fill="auto"/>
                  <w:noWrap w:val="0"/>
                  <w:vAlign w:val="center"/>
                </w:tcPr>
                <w:p w14:paraId="5907D66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-25.72</w:t>
                  </w:r>
                </w:p>
              </w:tc>
              <w:tc>
                <w:tcPr>
                  <w:tcW w:w="437" w:type="pct"/>
                  <w:shd w:val="clear" w:color="auto" w:fill="auto"/>
                  <w:noWrap w:val="0"/>
                  <w:vAlign w:val="center"/>
                </w:tcPr>
                <w:p w14:paraId="41B5EAA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3D4C08C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0DFD951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BDD5695">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86F3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B7A19E4">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816" w:type="pct"/>
                  <w:shd w:val="clear" w:color="auto" w:fill="auto"/>
                  <w:noWrap w:val="0"/>
                  <w:vAlign w:val="center"/>
                </w:tcPr>
                <w:p w14:paraId="00B25FE7">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离心机（2台）</w:t>
                  </w:r>
                </w:p>
              </w:tc>
              <w:tc>
                <w:tcPr>
                  <w:tcW w:w="445" w:type="pct"/>
                  <w:shd w:val="clear" w:color="auto" w:fill="auto"/>
                  <w:noWrap w:val="0"/>
                  <w:vAlign w:val="center"/>
                </w:tcPr>
                <w:p w14:paraId="22A009E5">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606B6A2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93.43</w:t>
                  </w:r>
                </w:p>
              </w:tc>
              <w:tc>
                <w:tcPr>
                  <w:tcW w:w="536" w:type="pct"/>
                  <w:shd w:val="clear" w:color="auto" w:fill="auto"/>
                  <w:noWrap w:val="0"/>
                  <w:vAlign w:val="center"/>
                </w:tcPr>
                <w:p w14:paraId="59E00408">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-51.69</w:t>
                  </w:r>
                </w:p>
              </w:tc>
              <w:tc>
                <w:tcPr>
                  <w:tcW w:w="437" w:type="pct"/>
                  <w:shd w:val="clear" w:color="auto" w:fill="auto"/>
                  <w:noWrap w:val="0"/>
                  <w:vAlign w:val="center"/>
                </w:tcPr>
                <w:p w14:paraId="20D81F8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08259E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01A11C7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5C81B9BD">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62C6C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1DEBBEF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816" w:type="pct"/>
                  <w:shd w:val="clear" w:color="auto" w:fill="auto"/>
                  <w:noWrap w:val="0"/>
                  <w:vAlign w:val="center"/>
                </w:tcPr>
                <w:p w14:paraId="2D7E0FDE">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自动压风机</w:t>
                  </w:r>
                </w:p>
              </w:tc>
              <w:tc>
                <w:tcPr>
                  <w:tcW w:w="445" w:type="pct"/>
                  <w:shd w:val="clear" w:color="auto" w:fill="auto"/>
                  <w:noWrap w:val="0"/>
                  <w:vAlign w:val="center"/>
                </w:tcPr>
                <w:p w14:paraId="4165ACE5">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451EAF92">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43.96</w:t>
                  </w:r>
                </w:p>
              </w:tc>
              <w:tc>
                <w:tcPr>
                  <w:tcW w:w="536" w:type="pct"/>
                  <w:shd w:val="clear" w:color="auto" w:fill="auto"/>
                  <w:noWrap w:val="0"/>
                  <w:vAlign w:val="center"/>
                </w:tcPr>
                <w:p w14:paraId="3871DF95">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00.37</w:t>
                  </w:r>
                </w:p>
              </w:tc>
              <w:tc>
                <w:tcPr>
                  <w:tcW w:w="437" w:type="pct"/>
                  <w:shd w:val="clear" w:color="auto" w:fill="auto"/>
                  <w:noWrap w:val="0"/>
                  <w:vAlign w:val="center"/>
                </w:tcPr>
                <w:p w14:paraId="564BFC4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DFF578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4C8DF9E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17C325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8929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08BDD71">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16" w:type="pct"/>
                  <w:shd w:val="clear" w:color="auto" w:fill="auto"/>
                  <w:noWrap w:val="0"/>
                  <w:vAlign w:val="center"/>
                </w:tcPr>
                <w:p w14:paraId="4EBFAFB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电动压风机</w:t>
                  </w:r>
                </w:p>
              </w:tc>
              <w:tc>
                <w:tcPr>
                  <w:tcW w:w="445" w:type="pct"/>
                  <w:shd w:val="clear" w:color="auto" w:fill="auto"/>
                  <w:noWrap w:val="0"/>
                  <w:vAlign w:val="center"/>
                </w:tcPr>
                <w:p w14:paraId="32595097">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BD92AF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57.56</w:t>
                  </w:r>
                </w:p>
              </w:tc>
              <w:tc>
                <w:tcPr>
                  <w:tcW w:w="536" w:type="pct"/>
                  <w:shd w:val="clear" w:color="auto" w:fill="auto"/>
                  <w:noWrap w:val="0"/>
                  <w:vAlign w:val="center"/>
                </w:tcPr>
                <w:p w14:paraId="7242D092">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-3.46</w:t>
                  </w:r>
                </w:p>
              </w:tc>
              <w:tc>
                <w:tcPr>
                  <w:tcW w:w="437" w:type="pct"/>
                  <w:shd w:val="clear" w:color="auto" w:fill="auto"/>
                  <w:noWrap w:val="0"/>
                  <w:vAlign w:val="center"/>
                </w:tcPr>
                <w:p w14:paraId="57A3C44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993E1A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4368F875">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6FA936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312E2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52FD6D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16" w:type="pct"/>
                  <w:shd w:val="clear" w:color="auto" w:fill="auto"/>
                  <w:noWrap w:val="0"/>
                  <w:vAlign w:val="center"/>
                </w:tcPr>
                <w:p w14:paraId="48501D95">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钻井泵（2台）</w:t>
                  </w:r>
                </w:p>
              </w:tc>
              <w:tc>
                <w:tcPr>
                  <w:tcW w:w="445" w:type="pct"/>
                  <w:shd w:val="clear" w:color="auto" w:fill="auto"/>
                  <w:noWrap w:val="0"/>
                  <w:vAlign w:val="center"/>
                </w:tcPr>
                <w:p w14:paraId="77280EE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EA8094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67.46</w:t>
                  </w:r>
                </w:p>
              </w:tc>
              <w:tc>
                <w:tcPr>
                  <w:tcW w:w="536" w:type="pct"/>
                  <w:shd w:val="clear" w:color="auto" w:fill="auto"/>
                  <w:noWrap w:val="0"/>
                  <w:vAlign w:val="center"/>
                </w:tcPr>
                <w:p w14:paraId="01D0724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-4.08</w:t>
                  </w:r>
                </w:p>
              </w:tc>
              <w:tc>
                <w:tcPr>
                  <w:tcW w:w="437" w:type="pct"/>
                  <w:shd w:val="clear" w:color="auto" w:fill="auto"/>
                  <w:noWrap w:val="0"/>
                  <w:vAlign w:val="center"/>
                </w:tcPr>
                <w:p w14:paraId="23AF01B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37EBE91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1528C54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679632F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4A3C9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35BA804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16" w:type="pct"/>
                  <w:shd w:val="clear" w:color="auto" w:fill="auto"/>
                  <w:noWrap w:val="0"/>
                  <w:vAlign w:val="center"/>
                </w:tcPr>
                <w:p w14:paraId="64CA9295">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加重泵（2台）</w:t>
                  </w:r>
                </w:p>
              </w:tc>
              <w:tc>
                <w:tcPr>
                  <w:tcW w:w="445" w:type="pct"/>
                  <w:shd w:val="clear" w:color="auto" w:fill="auto"/>
                  <w:noWrap w:val="0"/>
                  <w:vAlign w:val="center"/>
                </w:tcPr>
                <w:p w14:paraId="66923D5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B70A20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87.86</w:t>
                  </w:r>
                </w:p>
              </w:tc>
              <w:tc>
                <w:tcPr>
                  <w:tcW w:w="536" w:type="pct"/>
                  <w:shd w:val="clear" w:color="auto" w:fill="auto"/>
                  <w:noWrap w:val="0"/>
                  <w:vAlign w:val="center"/>
                </w:tcPr>
                <w:p w14:paraId="7AA0853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-25.1</w:t>
                  </w:r>
                </w:p>
              </w:tc>
              <w:tc>
                <w:tcPr>
                  <w:tcW w:w="437" w:type="pct"/>
                  <w:shd w:val="clear" w:color="auto" w:fill="auto"/>
                  <w:noWrap w:val="0"/>
                  <w:vAlign w:val="center"/>
                </w:tcPr>
                <w:p w14:paraId="04F137D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7F533FF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D97ED3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7D5367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52726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3623CF9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shd w:val="clear" w:color="auto" w:fill="auto"/>
                  <w:noWrap w:val="0"/>
                  <w:vAlign w:val="center"/>
                </w:tcPr>
                <w:p w14:paraId="4F4D6D29">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shd w:val="clear" w:color="auto" w:fill="auto"/>
                  <w:noWrap w:val="0"/>
                  <w:vAlign w:val="center"/>
                </w:tcPr>
                <w:p w14:paraId="0F3FFAE9">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B24C144">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89.52</w:t>
                  </w:r>
                </w:p>
              </w:tc>
              <w:tc>
                <w:tcPr>
                  <w:tcW w:w="536" w:type="pct"/>
                  <w:shd w:val="clear" w:color="auto" w:fill="auto"/>
                  <w:noWrap w:val="0"/>
                  <w:vAlign w:val="center"/>
                </w:tcPr>
                <w:p w14:paraId="3790C01D">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-50.22</w:t>
                  </w:r>
                </w:p>
              </w:tc>
              <w:tc>
                <w:tcPr>
                  <w:tcW w:w="437" w:type="pct"/>
                  <w:shd w:val="clear" w:color="auto" w:fill="auto"/>
                  <w:noWrap w:val="0"/>
                  <w:vAlign w:val="center"/>
                </w:tcPr>
                <w:p w14:paraId="5B819C5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w:t>
                  </w:r>
                </w:p>
              </w:tc>
              <w:tc>
                <w:tcPr>
                  <w:tcW w:w="704" w:type="pct"/>
                  <w:shd w:val="clear" w:color="auto" w:fill="auto"/>
                  <w:noWrap w:val="0"/>
                  <w:vAlign w:val="center"/>
                </w:tcPr>
                <w:p w14:paraId="6BEDA9F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3E1F7BA0">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061B8C12">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4C2C7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25A2E99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w:t>
                  </w:r>
                  <w:r>
                    <w:rPr>
                      <w:rFonts w:hint="default" w:ascii="Times New Roman" w:hAnsi="Times New Roman" w:cs="Times New Roman"/>
                      <w:color w:val="auto"/>
                      <w:szCs w:val="21"/>
                    </w:rPr>
                    <w:t>西南角边界。</w:t>
                  </w:r>
                </w:p>
              </w:tc>
            </w:tr>
            <w:tr w14:paraId="05356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4E46670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米107-34M</w:t>
                  </w:r>
                </w:p>
              </w:tc>
            </w:tr>
            <w:tr w14:paraId="013AF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6B7F00E">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1</w:t>
                  </w:r>
                </w:p>
              </w:tc>
              <w:tc>
                <w:tcPr>
                  <w:tcW w:w="816" w:type="pct"/>
                  <w:shd w:val="clear" w:color="auto" w:fill="auto"/>
                  <w:noWrap w:val="0"/>
                  <w:vAlign w:val="center"/>
                </w:tcPr>
                <w:p w14:paraId="5709D819">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钻机</w:t>
                  </w:r>
                </w:p>
              </w:tc>
              <w:tc>
                <w:tcPr>
                  <w:tcW w:w="445" w:type="pct"/>
                  <w:shd w:val="clear" w:color="auto" w:fill="auto"/>
                  <w:noWrap w:val="0"/>
                  <w:vAlign w:val="center"/>
                </w:tcPr>
                <w:p w14:paraId="5AEC0EDC">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9D2834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77.72</w:t>
                  </w:r>
                </w:p>
              </w:tc>
              <w:tc>
                <w:tcPr>
                  <w:tcW w:w="536" w:type="pct"/>
                  <w:shd w:val="clear" w:color="auto" w:fill="auto"/>
                  <w:noWrap w:val="0"/>
                  <w:vAlign w:val="center"/>
                </w:tcPr>
                <w:p w14:paraId="4E1F795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-12.67</w:t>
                  </w:r>
                </w:p>
              </w:tc>
              <w:tc>
                <w:tcPr>
                  <w:tcW w:w="437" w:type="pct"/>
                  <w:shd w:val="clear" w:color="auto" w:fill="auto"/>
                  <w:noWrap w:val="0"/>
                  <w:vAlign w:val="center"/>
                </w:tcPr>
                <w:p w14:paraId="23AAAB3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w:t>
                  </w:r>
                </w:p>
              </w:tc>
              <w:tc>
                <w:tcPr>
                  <w:tcW w:w="704" w:type="pct"/>
                  <w:shd w:val="clear" w:color="auto" w:fill="auto"/>
                  <w:noWrap w:val="0"/>
                  <w:vAlign w:val="center"/>
                </w:tcPr>
                <w:p w14:paraId="7D08186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90</w:t>
                  </w:r>
                </w:p>
              </w:tc>
              <w:tc>
                <w:tcPr>
                  <w:tcW w:w="764" w:type="pct"/>
                  <w:vMerge w:val="restart"/>
                  <w:noWrap w:val="0"/>
                  <w:vAlign w:val="center"/>
                </w:tcPr>
                <w:p w14:paraId="673C9FF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noWrap w:val="0"/>
                  <w:vAlign w:val="center"/>
                </w:tcPr>
                <w:p w14:paraId="3B4D8AA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618ED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7AEC426">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2</w:t>
                  </w:r>
                </w:p>
              </w:tc>
              <w:tc>
                <w:tcPr>
                  <w:tcW w:w="816" w:type="pct"/>
                  <w:shd w:val="clear" w:color="auto" w:fill="auto"/>
                  <w:noWrap w:val="0"/>
                  <w:vAlign w:val="center"/>
                </w:tcPr>
                <w:p w14:paraId="2AA36518">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泥浆泵（2台）</w:t>
                  </w:r>
                </w:p>
              </w:tc>
              <w:tc>
                <w:tcPr>
                  <w:tcW w:w="445" w:type="pct"/>
                  <w:shd w:val="clear" w:color="auto" w:fill="auto"/>
                  <w:noWrap w:val="0"/>
                  <w:vAlign w:val="center"/>
                </w:tcPr>
                <w:p w14:paraId="3D04B312">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132A3028">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97.1</w:t>
                  </w:r>
                </w:p>
              </w:tc>
              <w:tc>
                <w:tcPr>
                  <w:tcW w:w="536" w:type="pct"/>
                  <w:shd w:val="clear" w:color="auto" w:fill="auto"/>
                  <w:noWrap w:val="0"/>
                  <w:vAlign w:val="center"/>
                </w:tcPr>
                <w:p w14:paraId="0BCD64D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-53.02</w:t>
                  </w:r>
                </w:p>
              </w:tc>
              <w:tc>
                <w:tcPr>
                  <w:tcW w:w="437" w:type="pct"/>
                  <w:shd w:val="clear" w:color="auto" w:fill="auto"/>
                  <w:noWrap w:val="0"/>
                  <w:vAlign w:val="center"/>
                </w:tcPr>
                <w:p w14:paraId="355AB1F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7C45CA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0983E42">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C85B08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28E3A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3E08F837">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3</w:t>
                  </w:r>
                </w:p>
              </w:tc>
              <w:tc>
                <w:tcPr>
                  <w:tcW w:w="816" w:type="pct"/>
                  <w:shd w:val="clear" w:color="auto" w:fill="auto"/>
                  <w:noWrap w:val="0"/>
                  <w:vAlign w:val="center"/>
                </w:tcPr>
                <w:p w14:paraId="083CB39D">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除泥器</w:t>
                  </w:r>
                </w:p>
              </w:tc>
              <w:tc>
                <w:tcPr>
                  <w:tcW w:w="445" w:type="pct"/>
                  <w:shd w:val="clear" w:color="auto" w:fill="auto"/>
                  <w:noWrap w:val="0"/>
                  <w:vAlign w:val="center"/>
                </w:tcPr>
                <w:p w14:paraId="718F5005">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544D25A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104.48</w:t>
                  </w:r>
                </w:p>
              </w:tc>
              <w:tc>
                <w:tcPr>
                  <w:tcW w:w="536" w:type="pct"/>
                  <w:shd w:val="clear" w:color="auto" w:fill="auto"/>
                  <w:noWrap w:val="0"/>
                  <w:vAlign w:val="center"/>
                </w:tcPr>
                <w:p w14:paraId="3E2D631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-47.23</w:t>
                  </w:r>
                </w:p>
              </w:tc>
              <w:tc>
                <w:tcPr>
                  <w:tcW w:w="437" w:type="pct"/>
                  <w:shd w:val="clear" w:color="auto" w:fill="auto"/>
                  <w:noWrap w:val="0"/>
                  <w:vAlign w:val="center"/>
                </w:tcPr>
                <w:p w14:paraId="49EFEB8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75F11A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53C1BD3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1F02B2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7C0EA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484DC27">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4</w:t>
                  </w:r>
                </w:p>
              </w:tc>
              <w:tc>
                <w:tcPr>
                  <w:tcW w:w="816" w:type="pct"/>
                  <w:shd w:val="clear" w:color="auto" w:fill="auto"/>
                  <w:noWrap w:val="0"/>
                  <w:vAlign w:val="center"/>
                </w:tcPr>
                <w:p w14:paraId="5EA0FFBD">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除砂器</w:t>
                  </w:r>
                </w:p>
              </w:tc>
              <w:tc>
                <w:tcPr>
                  <w:tcW w:w="445" w:type="pct"/>
                  <w:shd w:val="clear" w:color="auto" w:fill="auto"/>
                  <w:noWrap w:val="0"/>
                  <w:vAlign w:val="center"/>
                </w:tcPr>
                <w:p w14:paraId="1FCAF4B3">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131CF1A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109.48</w:t>
                  </w:r>
                </w:p>
              </w:tc>
              <w:tc>
                <w:tcPr>
                  <w:tcW w:w="536" w:type="pct"/>
                  <w:shd w:val="clear" w:color="auto" w:fill="auto"/>
                  <w:noWrap w:val="0"/>
                  <w:vAlign w:val="center"/>
                </w:tcPr>
                <w:p w14:paraId="242206F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-41.96</w:t>
                  </w:r>
                </w:p>
              </w:tc>
              <w:tc>
                <w:tcPr>
                  <w:tcW w:w="437" w:type="pct"/>
                  <w:shd w:val="clear" w:color="auto" w:fill="auto"/>
                  <w:noWrap w:val="0"/>
                  <w:vAlign w:val="center"/>
                </w:tcPr>
                <w:p w14:paraId="043682D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29ABED8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53D5F74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F88585F">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30129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3A8C49D">
                  <w:pPr>
                    <w:keepNext/>
                    <w:keepLines/>
                    <w:pageBreakBefore w:val="0"/>
                    <w:widowControl w:val="0"/>
                    <w:kinsoku/>
                    <w:wordWrap/>
                    <w:overflowPunct/>
                    <w:topLinePunct w:val="0"/>
                    <w:autoSpaceDE/>
                    <w:autoSpaceDN/>
                    <w:bidi w:val="0"/>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5</w:t>
                  </w:r>
                </w:p>
              </w:tc>
              <w:tc>
                <w:tcPr>
                  <w:tcW w:w="816" w:type="pct"/>
                  <w:shd w:val="clear" w:color="auto" w:fill="auto"/>
                  <w:noWrap w:val="0"/>
                  <w:vAlign w:val="center"/>
                </w:tcPr>
                <w:p w14:paraId="4E4F71AA">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振动筛（3台）</w:t>
                  </w:r>
                </w:p>
              </w:tc>
              <w:tc>
                <w:tcPr>
                  <w:tcW w:w="445" w:type="pct"/>
                  <w:shd w:val="clear" w:color="auto" w:fill="auto"/>
                  <w:noWrap w:val="0"/>
                  <w:vAlign w:val="center"/>
                </w:tcPr>
                <w:p w14:paraId="6EE9F8F3">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AF7677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117.38</w:t>
                  </w:r>
                </w:p>
              </w:tc>
              <w:tc>
                <w:tcPr>
                  <w:tcW w:w="536" w:type="pct"/>
                  <w:shd w:val="clear" w:color="auto" w:fill="auto"/>
                  <w:noWrap w:val="0"/>
                  <w:vAlign w:val="center"/>
                </w:tcPr>
                <w:p w14:paraId="4B54601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-36.43</w:t>
                  </w:r>
                </w:p>
              </w:tc>
              <w:tc>
                <w:tcPr>
                  <w:tcW w:w="437" w:type="pct"/>
                  <w:shd w:val="clear" w:color="auto" w:fill="auto"/>
                  <w:noWrap w:val="0"/>
                  <w:vAlign w:val="center"/>
                </w:tcPr>
                <w:p w14:paraId="17551BBF">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29C01DF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11E0F743">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765CE8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4407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D350CE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816" w:type="pct"/>
                  <w:shd w:val="clear" w:color="auto" w:fill="auto"/>
                  <w:noWrap w:val="0"/>
                  <w:vAlign w:val="center"/>
                </w:tcPr>
                <w:p w14:paraId="612AC536">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离心机（2台）</w:t>
                  </w:r>
                </w:p>
              </w:tc>
              <w:tc>
                <w:tcPr>
                  <w:tcW w:w="445" w:type="pct"/>
                  <w:shd w:val="clear" w:color="auto" w:fill="auto"/>
                  <w:noWrap w:val="0"/>
                  <w:vAlign w:val="center"/>
                </w:tcPr>
                <w:p w14:paraId="4D6FC5A0">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6E79EB0">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123.7</w:t>
                  </w:r>
                </w:p>
              </w:tc>
              <w:tc>
                <w:tcPr>
                  <w:tcW w:w="536" w:type="pct"/>
                  <w:shd w:val="clear" w:color="auto" w:fill="auto"/>
                  <w:noWrap w:val="0"/>
                  <w:vAlign w:val="center"/>
                </w:tcPr>
                <w:p w14:paraId="27935204">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-31.7</w:t>
                  </w:r>
                </w:p>
              </w:tc>
              <w:tc>
                <w:tcPr>
                  <w:tcW w:w="437" w:type="pct"/>
                  <w:shd w:val="clear" w:color="auto" w:fill="auto"/>
                  <w:noWrap w:val="0"/>
                  <w:vAlign w:val="center"/>
                </w:tcPr>
                <w:p w14:paraId="79ADACC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674B488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57D41E11">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3166ABC">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6E86C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0EA7D65">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816" w:type="pct"/>
                  <w:shd w:val="clear" w:color="auto" w:fill="auto"/>
                  <w:noWrap w:val="0"/>
                  <w:vAlign w:val="center"/>
                </w:tcPr>
                <w:p w14:paraId="5D927F39">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自动压风机</w:t>
                  </w:r>
                </w:p>
              </w:tc>
              <w:tc>
                <w:tcPr>
                  <w:tcW w:w="445" w:type="pct"/>
                  <w:shd w:val="clear" w:color="auto" w:fill="auto"/>
                  <w:noWrap w:val="0"/>
                  <w:vAlign w:val="center"/>
                </w:tcPr>
                <w:p w14:paraId="0FC5E48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699EE4F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129.75</w:t>
                  </w:r>
                </w:p>
              </w:tc>
              <w:tc>
                <w:tcPr>
                  <w:tcW w:w="536" w:type="pct"/>
                  <w:shd w:val="clear" w:color="auto" w:fill="auto"/>
                  <w:noWrap w:val="0"/>
                  <w:vAlign w:val="center"/>
                </w:tcPr>
                <w:p w14:paraId="4CDCA931">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-26.43</w:t>
                  </w:r>
                </w:p>
              </w:tc>
              <w:tc>
                <w:tcPr>
                  <w:tcW w:w="437" w:type="pct"/>
                  <w:shd w:val="clear" w:color="auto" w:fill="auto"/>
                  <w:noWrap w:val="0"/>
                  <w:vAlign w:val="center"/>
                </w:tcPr>
                <w:p w14:paraId="6ABE9279">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425F13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62CD20E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64FB9C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0CCAB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387863E">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16" w:type="pct"/>
                  <w:shd w:val="clear" w:color="auto" w:fill="auto"/>
                  <w:noWrap w:val="0"/>
                  <w:vAlign w:val="center"/>
                </w:tcPr>
                <w:p w14:paraId="19AB6C6E">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电动压风机</w:t>
                  </w:r>
                </w:p>
              </w:tc>
              <w:tc>
                <w:tcPr>
                  <w:tcW w:w="445" w:type="pct"/>
                  <w:shd w:val="clear" w:color="auto" w:fill="auto"/>
                  <w:noWrap w:val="0"/>
                  <w:vAlign w:val="center"/>
                </w:tcPr>
                <w:p w14:paraId="7C054D8F">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2E2E652E">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136.07</w:t>
                  </w:r>
                </w:p>
              </w:tc>
              <w:tc>
                <w:tcPr>
                  <w:tcW w:w="536" w:type="pct"/>
                  <w:shd w:val="clear" w:color="auto" w:fill="auto"/>
                  <w:noWrap w:val="0"/>
                  <w:vAlign w:val="center"/>
                </w:tcPr>
                <w:p w14:paraId="732419A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-21.43</w:t>
                  </w:r>
                </w:p>
              </w:tc>
              <w:tc>
                <w:tcPr>
                  <w:tcW w:w="437" w:type="pct"/>
                  <w:shd w:val="clear" w:color="auto" w:fill="auto"/>
                  <w:noWrap w:val="0"/>
                  <w:vAlign w:val="center"/>
                </w:tcPr>
                <w:p w14:paraId="6C64553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C2227A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0B954D3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0485D57">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6A9ED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5D18EFB">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16" w:type="pct"/>
                  <w:shd w:val="clear" w:color="auto" w:fill="auto"/>
                  <w:noWrap w:val="0"/>
                  <w:vAlign w:val="center"/>
                </w:tcPr>
                <w:p w14:paraId="7918602C">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钻井泵（2台）</w:t>
                  </w:r>
                </w:p>
              </w:tc>
              <w:tc>
                <w:tcPr>
                  <w:tcW w:w="445" w:type="pct"/>
                  <w:shd w:val="clear" w:color="auto" w:fill="auto"/>
                  <w:noWrap w:val="0"/>
                  <w:vAlign w:val="center"/>
                </w:tcPr>
                <w:p w14:paraId="10C162E7">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56F7928B">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86.57</w:t>
                  </w:r>
                </w:p>
              </w:tc>
              <w:tc>
                <w:tcPr>
                  <w:tcW w:w="536" w:type="pct"/>
                  <w:shd w:val="clear" w:color="auto" w:fill="auto"/>
                  <w:noWrap w:val="0"/>
                  <w:vAlign w:val="center"/>
                </w:tcPr>
                <w:p w14:paraId="4681707A">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-20.37</w:t>
                  </w:r>
                </w:p>
              </w:tc>
              <w:tc>
                <w:tcPr>
                  <w:tcW w:w="437" w:type="pct"/>
                  <w:shd w:val="clear" w:color="auto" w:fill="auto"/>
                  <w:noWrap w:val="0"/>
                  <w:vAlign w:val="center"/>
                </w:tcPr>
                <w:p w14:paraId="1C90456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6FD45772">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015DC5CD">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5B3658A">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29F06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00366858">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16" w:type="pct"/>
                  <w:shd w:val="clear" w:color="auto" w:fill="auto"/>
                  <w:noWrap w:val="0"/>
                  <w:vAlign w:val="center"/>
                </w:tcPr>
                <w:p w14:paraId="0B542BEB">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加重泵（2台）</w:t>
                  </w:r>
                </w:p>
              </w:tc>
              <w:tc>
                <w:tcPr>
                  <w:tcW w:w="445" w:type="pct"/>
                  <w:shd w:val="clear" w:color="auto" w:fill="auto"/>
                  <w:noWrap w:val="0"/>
                  <w:vAlign w:val="center"/>
                </w:tcPr>
                <w:p w14:paraId="132E2806">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shd w:val="clear" w:color="auto" w:fill="auto"/>
                  <w:noWrap w:val="0"/>
                  <w:vAlign w:val="center"/>
                </w:tcPr>
                <w:p w14:paraId="360D645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89.47</w:t>
                  </w:r>
                </w:p>
              </w:tc>
              <w:tc>
                <w:tcPr>
                  <w:tcW w:w="536" w:type="pct"/>
                  <w:shd w:val="clear" w:color="auto" w:fill="auto"/>
                  <w:noWrap w:val="0"/>
                  <w:vAlign w:val="center"/>
                </w:tcPr>
                <w:p w14:paraId="61BD1A26">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-14.58</w:t>
                  </w:r>
                </w:p>
              </w:tc>
              <w:tc>
                <w:tcPr>
                  <w:tcW w:w="437" w:type="pct"/>
                  <w:shd w:val="clear" w:color="auto" w:fill="auto"/>
                  <w:noWrap w:val="0"/>
                  <w:vAlign w:val="center"/>
                </w:tcPr>
                <w:p w14:paraId="2B50691C">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B65BDB7">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4E9DB58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E7D4C9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7344E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0" w:type="auto"/>
                </w:tcPr>
                <w:p w14:paraId="5B4897E9">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w:t>
                  </w:r>
                </w:p>
              </w:tc>
              <w:tc>
                <w:tcPr>
                  <w:tcW w:w="0" w:type="auto"/>
                  <w:shd w:val="clear" w:color="auto" w:fill="auto"/>
                  <w:vAlign w:val="center"/>
                </w:tcPr>
                <w:p w14:paraId="7E47F4CB">
                  <w:pPr>
                    <w:keepNext/>
                    <w:keepLines/>
                    <w:pageBreakBefore w:val="0"/>
                    <w:widowControl w:val="0"/>
                    <w:tabs>
                      <w:tab w:val="left" w:pos="600"/>
                    </w:tabs>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压滤机</w:t>
                  </w:r>
                </w:p>
              </w:tc>
              <w:tc>
                <w:tcPr>
                  <w:tcW w:w="0" w:type="auto"/>
                  <w:shd w:val="clear" w:color="auto" w:fill="auto"/>
                  <w:vAlign w:val="center"/>
                </w:tcPr>
                <w:p w14:paraId="19DC2D41">
                  <w:pPr>
                    <w:keepNext/>
                    <w:keepLines/>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0" w:type="auto"/>
                </w:tcPr>
                <w:p w14:paraId="2755F86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113.43</w:t>
                  </w:r>
                </w:p>
              </w:tc>
              <w:tc>
                <w:tcPr>
                  <w:tcW w:w="0" w:type="auto"/>
                </w:tcPr>
                <w:p w14:paraId="7126F885">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-32.75</w:t>
                  </w:r>
                </w:p>
              </w:tc>
              <w:tc>
                <w:tcPr>
                  <w:tcW w:w="0" w:type="auto"/>
                  <w:shd w:val="clear" w:color="auto" w:fill="auto"/>
                  <w:vAlign w:val="center"/>
                </w:tcPr>
                <w:p w14:paraId="3E748E63">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Cs w:val="21"/>
                      <w:lang w:val="en-US" w:eastAsia="zh-CN"/>
                    </w:rPr>
                    <w:t>0.5</w:t>
                  </w:r>
                </w:p>
              </w:tc>
              <w:tc>
                <w:tcPr>
                  <w:tcW w:w="0" w:type="auto"/>
                </w:tcPr>
                <w:p w14:paraId="624E36FD">
                  <w:pPr>
                    <w:pStyle w:val="13"/>
                    <w:keepNext/>
                    <w:keepLines/>
                    <w:pageBreakBefore w:val="0"/>
                    <w:widowControl w:val="0"/>
                    <w:kinsoku/>
                    <w:wordWrap/>
                    <w:overflowPunct/>
                    <w:topLinePunct w:val="0"/>
                    <w:autoSpaceDE/>
                    <w:autoSpaceDN/>
                    <w:bidi w:val="0"/>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75</w:t>
                  </w:r>
                </w:p>
              </w:tc>
              <w:tc>
                <w:tcPr>
                  <w:tcW w:w="764" w:type="pct"/>
                  <w:vMerge w:val="continue"/>
                </w:tcPr>
                <w:p w14:paraId="39C8C216">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c>
                <w:tcPr>
                  <w:tcW w:w="450" w:type="pct"/>
                  <w:vMerge w:val="continue"/>
                </w:tcPr>
                <w:p w14:paraId="0E8B65E9">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p>
              </w:tc>
            </w:tr>
            <w:tr w14:paraId="16BD3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tcPr>
                <w:p w14:paraId="3A1A9BDE">
                  <w:pPr>
                    <w:pStyle w:val="13"/>
                    <w:keepNext/>
                    <w:keepLines/>
                    <w:pageBreakBefore w:val="0"/>
                    <w:widowControl w:val="0"/>
                    <w:kinsoku/>
                    <w:wordWrap/>
                    <w:overflowPunct/>
                    <w:topLinePunct w:val="0"/>
                    <w:autoSpaceDE/>
                    <w:autoSpaceDN/>
                    <w:bidi w:val="0"/>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w:t>
                  </w:r>
                  <w:r>
                    <w:rPr>
                      <w:rFonts w:hint="default" w:ascii="Times New Roman" w:hAnsi="Times New Roman" w:cs="Times New Roman"/>
                      <w:color w:val="auto"/>
                      <w:szCs w:val="21"/>
                    </w:rPr>
                    <w:t>西</w:t>
                  </w:r>
                  <w:r>
                    <w:rPr>
                      <w:rFonts w:hint="eastAsia" w:ascii="Times New Roman" w:hAnsi="Times New Roman" w:eastAsia="宋体" w:cs="Times New Roman"/>
                      <w:color w:val="auto"/>
                      <w:szCs w:val="21"/>
                      <w:lang w:val="en-US" w:eastAsia="zh-CN"/>
                    </w:rPr>
                    <w:t>侧</w:t>
                  </w:r>
                  <w:r>
                    <w:rPr>
                      <w:rFonts w:hint="default" w:ascii="Times New Roman" w:hAnsi="Times New Roman" w:cs="Times New Roman"/>
                      <w:color w:val="auto"/>
                      <w:szCs w:val="21"/>
                    </w:rPr>
                    <w:t>边界。</w:t>
                  </w:r>
                </w:p>
              </w:tc>
            </w:tr>
          </w:tbl>
          <w:p w14:paraId="61F97CAF">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2、评价方法</w:t>
            </w:r>
          </w:p>
          <w:p w14:paraId="2BB9F5F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根据本项目施工期间主要噪声源的特征，可采用点声源距离衰减公式对主要声源产生声环境质量影响进行预测，具体公式如下：</w:t>
            </w:r>
          </w:p>
          <w:p w14:paraId="3E9E80FA">
            <w:pPr>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L</w:t>
            </w:r>
            <w:r>
              <w:rPr>
                <w:rFonts w:hint="default" w:ascii="Times New Roman" w:hAnsi="Times New Roman" w:eastAsia="宋体" w:cs="Times New Roman"/>
                <w:b w:val="0"/>
                <w:bCs w:val="0"/>
                <w:color w:val="auto"/>
                <w:sz w:val="24"/>
                <w:szCs w:val="24"/>
                <w:vertAlign w:val="subscript"/>
                <w:lang w:val="en-US" w:eastAsia="zh-CN"/>
              </w:rPr>
              <w:t>A</w:t>
            </w:r>
            <w:r>
              <w:rPr>
                <w:rFonts w:hint="default" w:ascii="Times New Roman" w:hAnsi="Times New Roman" w:eastAsia="宋体" w:cs="Times New Roman"/>
                <w:b w:val="0"/>
                <w:bCs w:val="0"/>
                <w:color w:val="auto"/>
                <w:sz w:val="24"/>
                <w:szCs w:val="24"/>
                <w:vertAlign w:val="baseline"/>
                <w:lang w:val="en-US" w:eastAsia="zh-CN"/>
              </w:rPr>
              <w:t>（r）=L</w:t>
            </w:r>
            <w:r>
              <w:rPr>
                <w:rFonts w:hint="default" w:ascii="Times New Roman" w:hAnsi="Times New Roman" w:eastAsia="宋体" w:cs="Times New Roman"/>
                <w:b w:val="0"/>
                <w:bCs w:val="0"/>
                <w:color w:val="auto"/>
                <w:sz w:val="24"/>
                <w:szCs w:val="24"/>
                <w:vertAlign w:val="subscript"/>
                <w:lang w:val="en-US" w:eastAsia="zh-CN"/>
              </w:rPr>
              <w:t>A</w:t>
            </w:r>
            <w:r>
              <w:rPr>
                <w:rFonts w:hint="default" w:ascii="Times New Roman" w:hAnsi="Times New Roman" w:eastAsia="宋体" w:cs="Times New Roman"/>
                <w:b w:val="0"/>
                <w:bCs w:val="0"/>
                <w:color w:val="auto"/>
                <w:sz w:val="24"/>
                <w:szCs w:val="24"/>
                <w:vertAlign w:val="baseline"/>
                <w:lang w:val="en-US" w:eastAsia="zh-CN"/>
              </w:rPr>
              <w:t>（r</w:t>
            </w:r>
            <w:r>
              <w:rPr>
                <w:rFonts w:hint="default" w:ascii="Times New Roman" w:hAnsi="Times New Roman" w:eastAsia="宋体" w:cs="Times New Roman"/>
                <w:b w:val="0"/>
                <w:bCs w:val="0"/>
                <w:color w:val="auto"/>
                <w:sz w:val="24"/>
                <w:szCs w:val="24"/>
                <w:vertAlign w:val="subscript"/>
                <w:lang w:val="en-US" w:eastAsia="zh-CN"/>
              </w:rPr>
              <w:t>0</w:t>
            </w:r>
            <w:r>
              <w:rPr>
                <w:rFonts w:hint="default" w:ascii="Times New Roman" w:hAnsi="Times New Roman" w:eastAsia="宋体" w:cs="Times New Roman"/>
                <w:b w:val="0"/>
                <w:bCs w:val="0"/>
                <w:color w:val="auto"/>
                <w:sz w:val="24"/>
                <w:szCs w:val="24"/>
                <w:vertAlign w:val="baseline"/>
                <w:lang w:val="en-US" w:eastAsia="zh-CN"/>
              </w:rPr>
              <w:t>）-20lg（r/r</w:t>
            </w:r>
            <w:r>
              <w:rPr>
                <w:rFonts w:hint="default" w:ascii="Times New Roman" w:hAnsi="Times New Roman" w:eastAsia="宋体" w:cs="Times New Roman"/>
                <w:b w:val="0"/>
                <w:bCs w:val="0"/>
                <w:color w:val="auto"/>
                <w:sz w:val="24"/>
                <w:szCs w:val="24"/>
                <w:vertAlign w:val="subscript"/>
                <w:lang w:val="en-US" w:eastAsia="zh-CN"/>
              </w:rPr>
              <w:t>0</w:t>
            </w:r>
            <w:r>
              <w:rPr>
                <w:rFonts w:hint="default" w:ascii="Times New Roman" w:hAnsi="Times New Roman" w:eastAsia="宋体" w:cs="Times New Roman"/>
                <w:b w:val="0"/>
                <w:bCs w:val="0"/>
                <w:color w:val="auto"/>
                <w:sz w:val="24"/>
                <w:szCs w:val="24"/>
                <w:vertAlign w:val="baseline"/>
                <w:lang w:val="en-US" w:eastAsia="zh-CN"/>
              </w:rPr>
              <w:t>）</w:t>
            </w:r>
          </w:p>
          <w:p w14:paraId="0900481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式中：L</w:t>
            </w:r>
            <w:r>
              <w:rPr>
                <w:rFonts w:hint="default" w:ascii="Times New Roman" w:hAnsi="Times New Roman" w:eastAsia="宋体" w:cs="Times New Roman"/>
                <w:b w:val="0"/>
                <w:bCs w:val="0"/>
                <w:color w:val="auto"/>
                <w:sz w:val="24"/>
                <w:szCs w:val="24"/>
                <w:vertAlign w:val="subscript"/>
                <w:lang w:val="en-US" w:eastAsia="zh-CN"/>
              </w:rPr>
              <w:t>A</w:t>
            </w:r>
            <w:r>
              <w:rPr>
                <w:rFonts w:hint="default" w:ascii="Times New Roman" w:hAnsi="Times New Roman" w:eastAsia="宋体" w:cs="Times New Roman"/>
                <w:b w:val="0"/>
                <w:bCs w:val="0"/>
                <w:color w:val="auto"/>
                <w:sz w:val="24"/>
                <w:szCs w:val="24"/>
                <w:vertAlign w:val="baseline"/>
                <w:lang w:val="en-US" w:eastAsia="zh-CN"/>
              </w:rPr>
              <w:t>（r）——距声源r处的A声级，dB（A）；</w:t>
            </w:r>
          </w:p>
          <w:p w14:paraId="71C10C8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L</w:t>
            </w:r>
            <w:r>
              <w:rPr>
                <w:rFonts w:hint="default" w:ascii="Times New Roman" w:hAnsi="Times New Roman" w:eastAsia="宋体" w:cs="Times New Roman"/>
                <w:b w:val="0"/>
                <w:bCs w:val="0"/>
                <w:color w:val="auto"/>
                <w:sz w:val="24"/>
                <w:szCs w:val="24"/>
                <w:vertAlign w:val="subscript"/>
                <w:lang w:val="en-US" w:eastAsia="zh-CN"/>
              </w:rPr>
              <w:t>A</w:t>
            </w:r>
            <w:r>
              <w:rPr>
                <w:rFonts w:hint="default" w:ascii="Times New Roman" w:hAnsi="Times New Roman" w:eastAsia="宋体" w:cs="Times New Roman"/>
                <w:b w:val="0"/>
                <w:bCs w:val="0"/>
                <w:color w:val="auto"/>
                <w:sz w:val="24"/>
                <w:szCs w:val="24"/>
                <w:vertAlign w:val="baseline"/>
                <w:lang w:val="en-US" w:eastAsia="zh-CN"/>
              </w:rPr>
              <w:t>（r）——参考位置r</w:t>
            </w:r>
            <w:r>
              <w:rPr>
                <w:rFonts w:hint="default" w:ascii="Times New Roman" w:hAnsi="Times New Roman" w:eastAsia="宋体" w:cs="Times New Roman"/>
                <w:b w:val="0"/>
                <w:bCs w:val="0"/>
                <w:color w:val="auto"/>
                <w:sz w:val="24"/>
                <w:szCs w:val="24"/>
                <w:vertAlign w:val="subscript"/>
                <w:lang w:val="en-US" w:eastAsia="zh-CN"/>
              </w:rPr>
              <w:t>0</w:t>
            </w:r>
            <w:r>
              <w:rPr>
                <w:rFonts w:hint="default" w:ascii="Times New Roman" w:hAnsi="Times New Roman" w:eastAsia="宋体" w:cs="Times New Roman"/>
                <w:b w:val="0"/>
                <w:bCs w:val="0"/>
                <w:color w:val="auto"/>
                <w:sz w:val="24"/>
                <w:szCs w:val="24"/>
                <w:vertAlign w:val="baseline"/>
                <w:lang w:val="en-US" w:eastAsia="zh-CN"/>
              </w:rPr>
              <w:t>处的A声级，dB（A）；</w:t>
            </w:r>
          </w:p>
          <w:p w14:paraId="3347163C">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r——参考点距离声源的距离，m；</w:t>
            </w:r>
          </w:p>
          <w:p w14:paraId="48E5C2D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r</w:t>
            </w:r>
            <w:r>
              <w:rPr>
                <w:rFonts w:hint="default" w:ascii="Times New Roman" w:hAnsi="Times New Roman" w:eastAsia="宋体" w:cs="Times New Roman"/>
                <w:b w:val="0"/>
                <w:bCs w:val="0"/>
                <w:color w:val="auto"/>
                <w:sz w:val="24"/>
                <w:szCs w:val="24"/>
                <w:vertAlign w:val="subscript"/>
                <w:lang w:val="en-US" w:eastAsia="zh-CN"/>
              </w:rPr>
              <w:t>0</w:t>
            </w:r>
            <w:r>
              <w:rPr>
                <w:rFonts w:hint="default" w:ascii="Times New Roman" w:hAnsi="Times New Roman" w:eastAsia="宋体" w:cs="Times New Roman"/>
                <w:b w:val="0"/>
                <w:bCs w:val="0"/>
                <w:color w:val="auto"/>
                <w:sz w:val="24"/>
                <w:szCs w:val="24"/>
                <w:vertAlign w:val="baseline"/>
                <w:lang w:val="en-US" w:eastAsia="zh-CN"/>
              </w:rPr>
              <w:t>——参考位置距离衰减情况见下表：</w:t>
            </w:r>
          </w:p>
          <w:p w14:paraId="7CA7968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施工设备噪声衰减结果表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655"/>
              <w:gridCol w:w="817"/>
              <w:gridCol w:w="578"/>
              <w:gridCol w:w="828"/>
              <w:gridCol w:w="683"/>
              <w:gridCol w:w="683"/>
              <w:gridCol w:w="751"/>
              <w:gridCol w:w="751"/>
              <w:gridCol w:w="751"/>
              <w:gridCol w:w="751"/>
              <w:gridCol w:w="838"/>
            </w:tblGrid>
            <w:tr w14:paraId="01F4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vAlign w:val="center"/>
                </w:tcPr>
                <w:p w14:paraId="0FBE8DD9">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施工阶段</w:t>
                  </w:r>
                </w:p>
              </w:tc>
              <w:tc>
                <w:tcPr>
                  <w:tcW w:w="375" w:type="pct"/>
                  <w:vMerge w:val="restart"/>
                  <w:vAlign w:val="center"/>
                </w:tcPr>
                <w:p w14:paraId="5FB58CA0">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w:t>
                  </w:r>
                </w:p>
              </w:tc>
              <w:tc>
                <w:tcPr>
                  <w:tcW w:w="468" w:type="pct"/>
                  <w:vMerge w:val="restart"/>
                  <w:vAlign w:val="center"/>
                </w:tcPr>
                <w:p w14:paraId="77D02EF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降噪后声级dB（A）</w:t>
                  </w:r>
                </w:p>
              </w:tc>
              <w:tc>
                <w:tcPr>
                  <w:tcW w:w="331" w:type="pct"/>
                  <w:vMerge w:val="restart"/>
                  <w:vAlign w:val="center"/>
                </w:tcPr>
                <w:p w14:paraId="2E269704">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运行数量</w:t>
                  </w:r>
                </w:p>
              </w:tc>
              <w:tc>
                <w:tcPr>
                  <w:tcW w:w="474" w:type="pct"/>
                  <w:vMerge w:val="restart"/>
                  <w:vAlign w:val="center"/>
                </w:tcPr>
                <w:p w14:paraId="07FA11BC">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合成声压级dB（A）</w:t>
                  </w:r>
                </w:p>
              </w:tc>
              <w:tc>
                <w:tcPr>
                  <w:tcW w:w="2982" w:type="pct"/>
                  <w:gridSpan w:val="7"/>
                  <w:vAlign w:val="center"/>
                </w:tcPr>
                <w:p w14:paraId="2B3684C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受声点不同距离处噪声衰减值/dB（A）</w:t>
                  </w:r>
                </w:p>
              </w:tc>
            </w:tr>
            <w:tr w14:paraId="1C0E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522DC71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14:paraId="080FD74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68" w:type="pct"/>
                  <w:vMerge w:val="continue"/>
                  <w:vAlign w:val="center"/>
                </w:tcPr>
                <w:p w14:paraId="0E206EA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1" w:type="pct"/>
                  <w:vMerge w:val="continue"/>
                  <w:vAlign w:val="center"/>
                </w:tcPr>
                <w:p w14:paraId="6F0CE445">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74" w:type="pct"/>
                  <w:vMerge w:val="continue"/>
                  <w:vAlign w:val="center"/>
                </w:tcPr>
                <w:p w14:paraId="453B2FC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91" w:type="pct"/>
                  <w:vAlign w:val="center"/>
                </w:tcPr>
                <w:p w14:paraId="0D67C08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10m</w:t>
                  </w:r>
                </w:p>
              </w:tc>
              <w:tc>
                <w:tcPr>
                  <w:tcW w:w="391" w:type="pct"/>
                  <w:vAlign w:val="center"/>
                </w:tcPr>
                <w:p w14:paraId="2EFF982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50m</w:t>
                  </w:r>
                </w:p>
              </w:tc>
              <w:tc>
                <w:tcPr>
                  <w:tcW w:w="430" w:type="pct"/>
                  <w:vAlign w:val="center"/>
                </w:tcPr>
                <w:p w14:paraId="2C5B3C7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100m</w:t>
                  </w:r>
                </w:p>
              </w:tc>
              <w:tc>
                <w:tcPr>
                  <w:tcW w:w="430" w:type="pct"/>
                  <w:vAlign w:val="center"/>
                </w:tcPr>
                <w:p w14:paraId="14B3A28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150m</w:t>
                  </w:r>
                </w:p>
              </w:tc>
              <w:tc>
                <w:tcPr>
                  <w:tcW w:w="430" w:type="pct"/>
                  <w:vAlign w:val="center"/>
                </w:tcPr>
                <w:p w14:paraId="01BCAA2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200m</w:t>
                  </w:r>
                </w:p>
              </w:tc>
              <w:tc>
                <w:tcPr>
                  <w:tcW w:w="430" w:type="pct"/>
                  <w:vAlign w:val="center"/>
                </w:tcPr>
                <w:p w14:paraId="402E35A7">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250m</w:t>
                  </w:r>
                </w:p>
              </w:tc>
              <w:tc>
                <w:tcPr>
                  <w:tcW w:w="478" w:type="pct"/>
                  <w:vAlign w:val="center"/>
                </w:tcPr>
                <w:p w14:paraId="02A69B5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300m</w:t>
                  </w:r>
                </w:p>
              </w:tc>
            </w:tr>
            <w:tr w14:paraId="201F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vAlign w:val="center"/>
                </w:tcPr>
                <w:p w14:paraId="20260267">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土石方工程</w:t>
                  </w:r>
                </w:p>
              </w:tc>
              <w:tc>
                <w:tcPr>
                  <w:tcW w:w="375" w:type="pct"/>
                  <w:shd w:val="clear" w:color="auto" w:fill="auto"/>
                  <w:vAlign w:val="center"/>
                </w:tcPr>
                <w:p w14:paraId="4EBB69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推土机</w:t>
                  </w:r>
                </w:p>
              </w:tc>
              <w:tc>
                <w:tcPr>
                  <w:tcW w:w="468" w:type="pct"/>
                  <w:shd w:val="clear" w:color="auto" w:fill="auto"/>
                  <w:vAlign w:val="center"/>
                </w:tcPr>
                <w:p w14:paraId="6BB7FC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100</w:t>
                  </w:r>
                </w:p>
              </w:tc>
              <w:tc>
                <w:tcPr>
                  <w:tcW w:w="331" w:type="pct"/>
                  <w:shd w:val="clear" w:color="auto" w:fill="auto"/>
                  <w:vAlign w:val="center"/>
                </w:tcPr>
                <w:p w14:paraId="4EA84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383248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100</w:t>
                  </w:r>
                </w:p>
              </w:tc>
              <w:tc>
                <w:tcPr>
                  <w:tcW w:w="391" w:type="pct"/>
                  <w:shd w:val="clear" w:color="auto" w:fill="auto"/>
                  <w:vAlign w:val="center"/>
                </w:tcPr>
                <w:p w14:paraId="650177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80</w:t>
                  </w:r>
                </w:p>
              </w:tc>
              <w:tc>
                <w:tcPr>
                  <w:tcW w:w="391" w:type="pct"/>
                  <w:shd w:val="clear" w:color="auto" w:fill="auto"/>
                  <w:vAlign w:val="center"/>
                </w:tcPr>
                <w:p w14:paraId="26482D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66</w:t>
                  </w:r>
                </w:p>
              </w:tc>
              <w:tc>
                <w:tcPr>
                  <w:tcW w:w="430" w:type="pct"/>
                  <w:shd w:val="clear" w:color="auto" w:fill="auto"/>
                  <w:vAlign w:val="center"/>
                </w:tcPr>
                <w:p w14:paraId="7F0601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60</w:t>
                  </w:r>
                </w:p>
              </w:tc>
              <w:tc>
                <w:tcPr>
                  <w:tcW w:w="430" w:type="pct"/>
                  <w:shd w:val="clear" w:color="auto" w:fill="auto"/>
                  <w:vAlign w:val="center"/>
                </w:tcPr>
                <w:p w14:paraId="7BB3B9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56</w:t>
                  </w:r>
                </w:p>
              </w:tc>
              <w:tc>
                <w:tcPr>
                  <w:tcW w:w="430" w:type="pct"/>
                  <w:shd w:val="clear" w:color="auto" w:fill="auto"/>
                  <w:vAlign w:val="center"/>
                </w:tcPr>
                <w:p w14:paraId="248BAF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54</w:t>
                  </w:r>
                </w:p>
              </w:tc>
              <w:tc>
                <w:tcPr>
                  <w:tcW w:w="430" w:type="pct"/>
                  <w:shd w:val="clear" w:color="auto" w:fill="auto"/>
                  <w:vAlign w:val="center"/>
                </w:tcPr>
                <w:p w14:paraId="11AA4C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52</w:t>
                  </w:r>
                </w:p>
              </w:tc>
              <w:tc>
                <w:tcPr>
                  <w:tcW w:w="478" w:type="pct"/>
                  <w:shd w:val="clear" w:color="auto" w:fill="auto"/>
                  <w:vAlign w:val="center"/>
                </w:tcPr>
                <w:p w14:paraId="796FE3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50</w:t>
                  </w:r>
                </w:p>
              </w:tc>
            </w:tr>
            <w:tr w14:paraId="54B0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38640C5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75" w:type="pct"/>
                  <w:shd w:val="clear" w:color="auto" w:fill="auto"/>
                  <w:vAlign w:val="center"/>
                </w:tcPr>
                <w:p w14:paraId="5E0936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翻斗车</w:t>
                  </w:r>
                </w:p>
              </w:tc>
              <w:tc>
                <w:tcPr>
                  <w:tcW w:w="468" w:type="pct"/>
                  <w:shd w:val="clear" w:color="auto" w:fill="auto"/>
                  <w:vAlign w:val="center"/>
                </w:tcPr>
                <w:p w14:paraId="07487A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100</w:t>
                  </w:r>
                </w:p>
              </w:tc>
              <w:tc>
                <w:tcPr>
                  <w:tcW w:w="331" w:type="pct"/>
                  <w:shd w:val="clear" w:color="auto" w:fill="auto"/>
                  <w:vAlign w:val="center"/>
                </w:tcPr>
                <w:p w14:paraId="37E557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76548B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100</w:t>
                  </w:r>
                </w:p>
              </w:tc>
              <w:tc>
                <w:tcPr>
                  <w:tcW w:w="391" w:type="pct"/>
                  <w:shd w:val="clear" w:color="auto" w:fill="auto"/>
                  <w:vAlign w:val="center"/>
                </w:tcPr>
                <w:p w14:paraId="63BB7A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80</w:t>
                  </w:r>
                </w:p>
              </w:tc>
              <w:tc>
                <w:tcPr>
                  <w:tcW w:w="391" w:type="pct"/>
                  <w:shd w:val="clear" w:color="auto" w:fill="auto"/>
                  <w:vAlign w:val="center"/>
                </w:tcPr>
                <w:p w14:paraId="1869F2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66</w:t>
                  </w:r>
                </w:p>
              </w:tc>
              <w:tc>
                <w:tcPr>
                  <w:tcW w:w="430" w:type="pct"/>
                  <w:shd w:val="clear" w:color="auto" w:fill="auto"/>
                  <w:vAlign w:val="center"/>
                </w:tcPr>
                <w:p w14:paraId="04917C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60</w:t>
                  </w:r>
                </w:p>
              </w:tc>
              <w:tc>
                <w:tcPr>
                  <w:tcW w:w="430" w:type="pct"/>
                  <w:shd w:val="clear" w:color="auto" w:fill="auto"/>
                  <w:vAlign w:val="center"/>
                </w:tcPr>
                <w:p w14:paraId="567D6C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56</w:t>
                  </w:r>
                </w:p>
              </w:tc>
              <w:tc>
                <w:tcPr>
                  <w:tcW w:w="430" w:type="pct"/>
                  <w:shd w:val="clear" w:color="auto" w:fill="auto"/>
                  <w:vAlign w:val="center"/>
                </w:tcPr>
                <w:p w14:paraId="254DB0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54</w:t>
                  </w:r>
                </w:p>
              </w:tc>
              <w:tc>
                <w:tcPr>
                  <w:tcW w:w="430" w:type="pct"/>
                  <w:shd w:val="clear" w:color="auto" w:fill="auto"/>
                  <w:vAlign w:val="center"/>
                </w:tcPr>
                <w:p w14:paraId="5E8973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52</w:t>
                  </w:r>
                </w:p>
              </w:tc>
              <w:tc>
                <w:tcPr>
                  <w:tcW w:w="478" w:type="pct"/>
                  <w:shd w:val="clear" w:color="auto" w:fill="auto"/>
                  <w:vAlign w:val="center"/>
                </w:tcPr>
                <w:p w14:paraId="618547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50</w:t>
                  </w:r>
                </w:p>
              </w:tc>
            </w:tr>
            <w:tr w14:paraId="08EC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78912600">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75" w:type="pct"/>
                  <w:shd w:val="clear" w:color="auto" w:fill="auto"/>
                  <w:vAlign w:val="center"/>
                </w:tcPr>
                <w:p w14:paraId="0C34CA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装载机</w:t>
                  </w:r>
                </w:p>
              </w:tc>
              <w:tc>
                <w:tcPr>
                  <w:tcW w:w="468" w:type="pct"/>
                  <w:shd w:val="clear" w:color="auto" w:fill="auto"/>
                  <w:vAlign w:val="center"/>
                </w:tcPr>
                <w:p w14:paraId="65F15D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95</w:t>
                  </w:r>
                </w:p>
              </w:tc>
              <w:tc>
                <w:tcPr>
                  <w:tcW w:w="331" w:type="pct"/>
                  <w:shd w:val="clear" w:color="auto" w:fill="auto"/>
                  <w:vAlign w:val="center"/>
                </w:tcPr>
                <w:p w14:paraId="2669B5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233DC1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95</w:t>
                  </w:r>
                </w:p>
              </w:tc>
              <w:tc>
                <w:tcPr>
                  <w:tcW w:w="391" w:type="pct"/>
                  <w:shd w:val="clear" w:color="auto" w:fill="auto"/>
                  <w:vAlign w:val="center"/>
                </w:tcPr>
                <w:p w14:paraId="2A9875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75</w:t>
                  </w:r>
                </w:p>
              </w:tc>
              <w:tc>
                <w:tcPr>
                  <w:tcW w:w="391" w:type="pct"/>
                  <w:shd w:val="clear" w:color="auto" w:fill="auto"/>
                  <w:vAlign w:val="center"/>
                </w:tcPr>
                <w:p w14:paraId="1FA49C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61</w:t>
                  </w:r>
                </w:p>
              </w:tc>
              <w:tc>
                <w:tcPr>
                  <w:tcW w:w="430" w:type="pct"/>
                  <w:shd w:val="clear" w:color="auto" w:fill="auto"/>
                  <w:vAlign w:val="center"/>
                </w:tcPr>
                <w:p w14:paraId="39743C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55</w:t>
                  </w:r>
                </w:p>
              </w:tc>
              <w:tc>
                <w:tcPr>
                  <w:tcW w:w="430" w:type="pct"/>
                  <w:shd w:val="clear" w:color="auto" w:fill="auto"/>
                  <w:vAlign w:val="center"/>
                </w:tcPr>
                <w:p w14:paraId="5B8554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51</w:t>
                  </w:r>
                </w:p>
              </w:tc>
              <w:tc>
                <w:tcPr>
                  <w:tcW w:w="430" w:type="pct"/>
                  <w:shd w:val="clear" w:color="auto" w:fill="auto"/>
                  <w:vAlign w:val="center"/>
                </w:tcPr>
                <w:p w14:paraId="17FFCB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49</w:t>
                  </w:r>
                </w:p>
              </w:tc>
              <w:tc>
                <w:tcPr>
                  <w:tcW w:w="430" w:type="pct"/>
                  <w:shd w:val="clear" w:color="auto" w:fill="auto"/>
                  <w:vAlign w:val="center"/>
                </w:tcPr>
                <w:p w14:paraId="234725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47</w:t>
                  </w:r>
                </w:p>
              </w:tc>
              <w:tc>
                <w:tcPr>
                  <w:tcW w:w="478" w:type="pct"/>
                  <w:shd w:val="clear" w:color="auto" w:fill="auto"/>
                  <w:vAlign w:val="center"/>
                </w:tcPr>
                <w:p w14:paraId="0D64A4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45</w:t>
                  </w:r>
                </w:p>
              </w:tc>
            </w:tr>
            <w:tr w14:paraId="7F81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vAlign w:val="center"/>
                </w:tcPr>
                <w:p w14:paraId="6656D24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钻井过程</w:t>
                  </w:r>
                </w:p>
              </w:tc>
              <w:tc>
                <w:tcPr>
                  <w:tcW w:w="375" w:type="pct"/>
                  <w:shd w:val="clear" w:color="auto" w:fill="auto"/>
                  <w:vAlign w:val="center"/>
                </w:tcPr>
                <w:p w14:paraId="3640CD93">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钻机</w:t>
                  </w:r>
                </w:p>
              </w:tc>
              <w:tc>
                <w:tcPr>
                  <w:tcW w:w="468" w:type="pct"/>
                  <w:shd w:val="clear" w:color="auto" w:fill="auto"/>
                  <w:vAlign w:val="center"/>
                </w:tcPr>
                <w:p w14:paraId="68831BE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95</w:t>
                  </w:r>
                </w:p>
              </w:tc>
              <w:tc>
                <w:tcPr>
                  <w:tcW w:w="331" w:type="pct"/>
                  <w:shd w:val="clear" w:color="auto" w:fill="auto"/>
                  <w:vAlign w:val="center"/>
                </w:tcPr>
                <w:p w14:paraId="2E800B1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7E2892A7">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95</w:t>
                  </w:r>
                </w:p>
              </w:tc>
              <w:tc>
                <w:tcPr>
                  <w:tcW w:w="391" w:type="pct"/>
                  <w:shd w:val="clear" w:color="auto" w:fill="auto"/>
                  <w:vAlign w:val="center"/>
                </w:tcPr>
                <w:p w14:paraId="390C53F7">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75</w:t>
                  </w:r>
                </w:p>
              </w:tc>
              <w:tc>
                <w:tcPr>
                  <w:tcW w:w="391" w:type="pct"/>
                  <w:shd w:val="clear" w:color="auto" w:fill="auto"/>
                  <w:vAlign w:val="center"/>
                </w:tcPr>
                <w:p w14:paraId="0C9814E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61</w:t>
                  </w:r>
                </w:p>
              </w:tc>
              <w:tc>
                <w:tcPr>
                  <w:tcW w:w="430" w:type="pct"/>
                  <w:shd w:val="clear" w:color="auto" w:fill="auto"/>
                  <w:vAlign w:val="center"/>
                </w:tcPr>
                <w:p w14:paraId="07F56B83">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55</w:t>
                  </w:r>
                </w:p>
              </w:tc>
              <w:tc>
                <w:tcPr>
                  <w:tcW w:w="430" w:type="pct"/>
                  <w:shd w:val="clear" w:color="auto" w:fill="auto"/>
                  <w:vAlign w:val="center"/>
                </w:tcPr>
                <w:p w14:paraId="5569434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51</w:t>
                  </w:r>
                </w:p>
              </w:tc>
              <w:tc>
                <w:tcPr>
                  <w:tcW w:w="430" w:type="pct"/>
                  <w:shd w:val="clear" w:color="auto" w:fill="auto"/>
                  <w:vAlign w:val="center"/>
                </w:tcPr>
                <w:p w14:paraId="4C2EF03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49</w:t>
                  </w:r>
                </w:p>
              </w:tc>
              <w:tc>
                <w:tcPr>
                  <w:tcW w:w="430" w:type="pct"/>
                  <w:shd w:val="clear" w:color="auto" w:fill="auto"/>
                  <w:vAlign w:val="center"/>
                </w:tcPr>
                <w:p w14:paraId="4B076A7B">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47</w:t>
                  </w:r>
                </w:p>
              </w:tc>
              <w:tc>
                <w:tcPr>
                  <w:tcW w:w="478" w:type="pct"/>
                  <w:shd w:val="clear" w:color="auto" w:fill="auto"/>
                  <w:vAlign w:val="center"/>
                </w:tcPr>
                <w:p w14:paraId="6B7EDC89">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45</w:t>
                  </w:r>
                </w:p>
              </w:tc>
            </w:tr>
            <w:tr w14:paraId="63FB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7594AFA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3781CBE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泥浆泵</w:t>
                  </w:r>
                </w:p>
              </w:tc>
              <w:tc>
                <w:tcPr>
                  <w:tcW w:w="468" w:type="pct"/>
                  <w:shd w:val="clear" w:color="auto" w:fill="auto"/>
                  <w:vAlign w:val="center"/>
                </w:tcPr>
                <w:p w14:paraId="25DC9D77">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1" w:type="pct"/>
                  <w:shd w:val="clear" w:color="auto" w:fill="auto"/>
                  <w:vAlign w:val="center"/>
                </w:tcPr>
                <w:p w14:paraId="192D959C">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4" w:type="pct"/>
                  <w:shd w:val="clear" w:color="auto" w:fill="auto"/>
                  <w:vAlign w:val="center"/>
                </w:tcPr>
                <w:p w14:paraId="240AB86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73</w:t>
                  </w:r>
                </w:p>
              </w:tc>
              <w:tc>
                <w:tcPr>
                  <w:tcW w:w="391" w:type="pct"/>
                  <w:shd w:val="clear" w:color="auto" w:fill="auto"/>
                  <w:vAlign w:val="center"/>
                </w:tcPr>
                <w:p w14:paraId="7E878E2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w:t>
                  </w:r>
                </w:p>
              </w:tc>
              <w:tc>
                <w:tcPr>
                  <w:tcW w:w="391" w:type="pct"/>
                  <w:shd w:val="clear" w:color="auto" w:fill="auto"/>
                  <w:vAlign w:val="center"/>
                </w:tcPr>
                <w:p w14:paraId="48B7B8A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39</w:t>
                  </w:r>
                </w:p>
              </w:tc>
              <w:tc>
                <w:tcPr>
                  <w:tcW w:w="430" w:type="pct"/>
                  <w:shd w:val="clear" w:color="auto" w:fill="auto"/>
                  <w:vAlign w:val="center"/>
                </w:tcPr>
                <w:p w14:paraId="419DF4B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430" w:type="pct"/>
                  <w:shd w:val="clear" w:color="auto" w:fill="auto"/>
                  <w:vAlign w:val="center"/>
                </w:tcPr>
                <w:p w14:paraId="1295C38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29.5</w:t>
                  </w:r>
                </w:p>
              </w:tc>
              <w:tc>
                <w:tcPr>
                  <w:tcW w:w="430" w:type="pct"/>
                  <w:shd w:val="clear" w:color="auto" w:fill="auto"/>
                  <w:vAlign w:val="center"/>
                </w:tcPr>
                <w:p w14:paraId="48D62E13">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27</w:t>
                  </w:r>
                </w:p>
              </w:tc>
              <w:tc>
                <w:tcPr>
                  <w:tcW w:w="430" w:type="pct"/>
                  <w:shd w:val="clear" w:color="auto" w:fill="auto"/>
                  <w:vAlign w:val="center"/>
                </w:tcPr>
                <w:p w14:paraId="3EF6BC6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78" w:type="pct"/>
                  <w:shd w:val="clear" w:color="auto" w:fill="auto"/>
                  <w:vAlign w:val="center"/>
                </w:tcPr>
                <w:p w14:paraId="70DEF16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23.5</w:t>
                  </w:r>
                </w:p>
              </w:tc>
            </w:tr>
            <w:tr w14:paraId="226F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3A1651DC">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0E736BA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除砂器</w:t>
                  </w:r>
                </w:p>
              </w:tc>
              <w:tc>
                <w:tcPr>
                  <w:tcW w:w="468" w:type="pct"/>
                  <w:shd w:val="clear" w:color="auto" w:fill="auto"/>
                  <w:vAlign w:val="center"/>
                </w:tcPr>
                <w:p w14:paraId="7DBB388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1" w:type="pct"/>
                  <w:shd w:val="clear" w:color="auto" w:fill="auto"/>
                  <w:vAlign w:val="center"/>
                </w:tcPr>
                <w:p w14:paraId="0D5B99E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229AE19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91" w:type="pct"/>
                  <w:shd w:val="clear" w:color="auto" w:fill="auto"/>
                  <w:vAlign w:val="center"/>
                </w:tcPr>
                <w:p w14:paraId="1B96A77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45</w:t>
                  </w:r>
                </w:p>
              </w:tc>
              <w:tc>
                <w:tcPr>
                  <w:tcW w:w="391" w:type="pct"/>
                  <w:shd w:val="clear" w:color="auto" w:fill="auto"/>
                  <w:vAlign w:val="center"/>
                </w:tcPr>
                <w:p w14:paraId="5F99A3DB">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31</w:t>
                  </w:r>
                </w:p>
              </w:tc>
              <w:tc>
                <w:tcPr>
                  <w:tcW w:w="430" w:type="pct"/>
                  <w:shd w:val="clear" w:color="auto" w:fill="auto"/>
                  <w:vAlign w:val="center"/>
                </w:tcPr>
                <w:p w14:paraId="6645079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30" w:type="pct"/>
                  <w:shd w:val="clear" w:color="auto" w:fill="auto"/>
                  <w:vAlign w:val="center"/>
                </w:tcPr>
                <w:p w14:paraId="1295FA9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21.5</w:t>
                  </w:r>
                </w:p>
              </w:tc>
              <w:tc>
                <w:tcPr>
                  <w:tcW w:w="430" w:type="pct"/>
                  <w:shd w:val="clear" w:color="auto" w:fill="auto"/>
                  <w:vAlign w:val="center"/>
                </w:tcPr>
                <w:p w14:paraId="162DE87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19</w:t>
                  </w:r>
                </w:p>
              </w:tc>
              <w:tc>
                <w:tcPr>
                  <w:tcW w:w="430" w:type="pct"/>
                  <w:shd w:val="clear" w:color="auto" w:fill="auto"/>
                  <w:vAlign w:val="center"/>
                </w:tcPr>
                <w:p w14:paraId="578A24C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478" w:type="pct"/>
                  <w:shd w:val="clear" w:color="auto" w:fill="auto"/>
                  <w:vAlign w:val="center"/>
                </w:tcPr>
                <w:p w14:paraId="461C6AA9">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15.5</w:t>
                  </w:r>
                </w:p>
              </w:tc>
            </w:tr>
            <w:tr w14:paraId="10B9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2522D66C">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64E875B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除泥器</w:t>
                  </w:r>
                </w:p>
              </w:tc>
              <w:tc>
                <w:tcPr>
                  <w:tcW w:w="468" w:type="pct"/>
                  <w:shd w:val="clear" w:color="auto" w:fill="auto"/>
                  <w:vAlign w:val="center"/>
                </w:tcPr>
                <w:p w14:paraId="39FFB37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1" w:type="pct"/>
                  <w:shd w:val="clear" w:color="auto" w:fill="auto"/>
                  <w:vAlign w:val="center"/>
                </w:tcPr>
                <w:p w14:paraId="1963765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4AE0EF0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91" w:type="pct"/>
                  <w:shd w:val="clear" w:color="auto" w:fill="auto"/>
                  <w:vAlign w:val="center"/>
                </w:tcPr>
                <w:p w14:paraId="17A4C1C8">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45</w:t>
                  </w:r>
                </w:p>
              </w:tc>
              <w:tc>
                <w:tcPr>
                  <w:tcW w:w="391" w:type="pct"/>
                  <w:shd w:val="clear" w:color="auto" w:fill="auto"/>
                  <w:vAlign w:val="center"/>
                </w:tcPr>
                <w:p w14:paraId="74A3EAD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31</w:t>
                  </w:r>
                </w:p>
              </w:tc>
              <w:tc>
                <w:tcPr>
                  <w:tcW w:w="430" w:type="pct"/>
                  <w:shd w:val="clear" w:color="auto" w:fill="auto"/>
                  <w:vAlign w:val="center"/>
                </w:tcPr>
                <w:p w14:paraId="147DF29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30" w:type="pct"/>
                  <w:shd w:val="clear" w:color="auto" w:fill="auto"/>
                  <w:vAlign w:val="center"/>
                </w:tcPr>
                <w:p w14:paraId="558BE79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21.5</w:t>
                  </w:r>
                </w:p>
              </w:tc>
              <w:tc>
                <w:tcPr>
                  <w:tcW w:w="430" w:type="pct"/>
                  <w:shd w:val="clear" w:color="auto" w:fill="auto"/>
                  <w:vAlign w:val="center"/>
                </w:tcPr>
                <w:p w14:paraId="45D116E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19</w:t>
                  </w:r>
                </w:p>
              </w:tc>
              <w:tc>
                <w:tcPr>
                  <w:tcW w:w="430" w:type="pct"/>
                  <w:shd w:val="clear" w:color="auto" w:fill="auto"/>
                  <w:vAlign w:val="center"/>
                </w:tcPr>
                <w:p w14:paraId="6EC7B689">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478" w:type="pct"/>
                  <w:shd w:val="clear" w:color="auto" w:fill="auto"/>
                  <w:vAlign w:val="center"/>
                </w:tcPr>
                <w:p w14:paraId="1007C6B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15.5</w:t>
                  </w:r>
                </w:p>
              </w:tc>
            </w:tr>
            <w:tr w14:paraId="3182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10E0A66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0900949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离心机</w:t>
                  </w:r>
                </w:p>
              </w:tc>
              <w:tc>
                <w:tcPr>
                  <w:tcW w:w="468" w:type="pct"/>
                  <w:shd w:val="clear" w:color="auto" w:fill="auto"/>
                  <w:vAlign w:val="center"/>
                </w:tcPr>
                <w:p w14:paraId="2A66A3EC">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70</w:t>
                  </w:r>
                </w:p>
              </w:tc>
              <w:tc>
                <w:tcPr>
                  <w:tcW w:w="331" w:type="pct"/>
                  <w:shd w:val="clear" w:color="auto" w:fill="auto"/>
                  <w:vAlign w:val="center"/>
                </w:tcPr>
                <w:p w14:paraId="33D497C7">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4" w:type="pct"/>
                  <w:shd w:val="clear" w:color="auto" w:fill="auto"/>
                  <w:vAlign w:val="center"/>
                </w:tcPr>
                <w:p w14:paraId="627F70E9">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73</w:t>
                  </w:r>
                </w:p>
              </w:tc>
              <w:tc>
                <w:tcPr>
                  <w:tcW w:w="391" w:type="pct"/>
                  <w:shd w:val="clear" w:color="auto" w:fill="auto"/>
                  <w:vAlign w:val="center"/>
                </w:tcPr>
                <w:p w14:paraId="08467BF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w:t>
                  </w:r>
                </w:p>
              </w:tc>
              <w:tc>
                <w:tcPr>
                  <w:tcW w:w="391" w:type="pct"/>
                  <w:shd w:val="clear" w:color="auto" w:fill="auto"/>
                  <w:vAlign w:val="center"/>
                </w:tcPr>
                <w:p w14:paraId="52690DB3">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39</w:t>
                  </w:r>
                </w:p>
              </w:tc>
              <w:tc>
                <w:tcPr>
                  <w:tcW w:w="430" w:type="pct"/>
                  <w:shd w:val="clear" w:color="auto" w:fill="auto"/>
                  <w:vAlign w:val="center"/>
                </w:tcPr>
                <w:p w14:paraId="12B1D5D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430" w:type="pct"/>
                  <w:shd w:val="clear" w:color="auto" w:fill="auto"/>
                  <w:vAlign w:val="center"/>
                </w:tcPr>
                <w:p w14:paraId="4D18187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29.5</w:t>
                  </w:r>
                </w:p>
              </w:tc>
              <w:tc>
                <w:tcPr>
                  <w:tcW w:w="430" w:type="pct"/>
                  <w:shd w:val="clear" w:color="auto" w:fill="auto"/>
                  <w:vAlign w:val="center"/>
                </w:tcPr>
                <w:p w14:paraId="7CB7075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27</w:t>
                  </w:r>
                </w:p>
              </w:tc>
              <w:tc>
                <w:tcPr>
                  <w:tcW w:w="430" w:type="pct"/>
                  <w:shd w:val="clear" w:color="auto" w:fill="auto"/>
                  <w:vAlign w:val="center"/>
                </w:tcPr>
                <w:p w14:paraId="57783F6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78" w:type="pct"/>
                  <w:shd w:val="clear" w:color="auto" w:fill="auto"/>
                  <w:vAlign w:val="center"/>
                </w:tcPr>
                <w:p w14:paraId="4DECB30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23.5</w:t>
                  </w:r>
                </w:p>
              </w:tc>
            </w:tr>
            <w:tr w14:paraId="7D06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4DDF118B">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5B76A89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振动筛</w:t>
                  </w:r>
                </w:p>
              </w:tc>
              <w:tc>
                <w:tcPr>
                  <w:tcW w:w="468" w:type="pct"/>
                  <w:shd w:val="clear" w:color="auto" w:fill="auto"/>
                  <w:vAlign w:val="center"/>
                </w:tcPr>
                <w:p w14:paraId="4F9B879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65</w:t>
                  </w:r>
                </w:p>
              </w:tc>
              <w:tc>
                <w:tcPr>
                  <w:tcW w:w="331" w:type="pct"/>
                  <w:shd w:val="clear" w:color="auto" w:fill="auto"/>
                  <w:vAlign w:val="center"/>
                </w:tcPr>
                <w:p w14:paraId="05E92FC9">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w:t>
                  </w:r>
                </w:p>
              </w:tc>
              <w:tc>
                <w:tcPr>
                  <w:tcW w:w="474" w:type="pct"/>
                  <w:shd w:val="clear" w:color="auto" w:fill="auto"/>
                  <w:vAlign w:val="center"/>
                </w:tcPr>
                <w:p w14:paraId="6B601AC3">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69.7</w:t>
                  </w:r>
                </w:p>
              </w:tc>
              <w:tc>
                <w:tcPr>
                  <w:tcW w:w="391" w:type="pct"/>
                  <w:shd w:val="clear" w:color="auto" w:fill="auto"/>
                  <w:vAlign w:val="center"/>
                </w:tcPr>
                <w:p w14:paraId="5EA0016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49.7</w:t>
                  </w:r>
                </w:p>
              </w:tc>
              <w:tc>
                <w:tcPr>
                  <w:tcW w:w="391" w:type="pct"/>
                  <w:shd w:val="clear" w:color="auto" w:fill="auto"/>
                  <w:vAlign w:val="center"/>
                </w:tcPr>
                <w:p w14:paraId="50F4A8B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35.7</w:t>
                  </w:r>
                </w:p>
              </w:tc>
              <w:tc>
                <w:tcPr>
                  <w:tcW w:w="430" w:type="pct"/>
                  <w:shd w:val="clear" w:color="auto" w:fill="auto"/>
                  <w:vAlign w:val="center"/>
                </w:tcPr>
                <w:p w14:paraId="4D6A09E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29.7</w:t>
                  </w:r>
                </w:p>
              </w:tc>
              <w:tc>
                <w:tcPr>
                  <w:tcW w:w="430" w:type="pct"/>
                  <w:shd w:val="clear" w:color="auto" w:fill="auto"/>
                  <w:vAlign w:val="center"/>
                </w:tcPr>
                <w:p w14:paraId="20834AD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26.2</w:t>
                  </w:r>
                </w:p>
              </w:tc>
              <w:tc>
                <w:tcPr>
                  <w:tcW w:w="430" w:type="pct"/>
                  <w:shd w:val="clear" w:color="auto" w:fill="auto"/>
                  <w:vAlign w:val="center"/>
                </w:tcPr>
                <w:p w14:paraId="1AED213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23.7</w:t>
                  </w:r>
                </w:p>
              </w:tc>
              <w:tc>
                <w:tcPr>
                  <w:tcW w:w="430" w:type="pct"/>
                  <w:shd w:val="clear" w:color="auto" w:fill="auto"/>
                  <w:vAlign w:val="center"/>
                </w:tcPr>
                <w:p w14:paraId="3D7AF68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21.7</w:t>
                  </w:r>
                </w:p>
              </w:tc>
              <w:tc>
                <w:tcPr>
                  <w:tcW w:w="478" w:type="pct"/>
                  <w:shd w:val="clear" w:color="auto" w:fill="auto"/>
                  <w:vAlign w:val="center"/>
                </w:tcPr>
                <w:p w14:paraId="3B90ACE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w:t>
                  </w:r>
                </w:p>
              </w:tc>
            </w:tr>
            <w:tr w14:paraId="19AD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135CBE4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70E2CD14">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加重泵</w:t>
                  </w:r>
                </w:p>
              </w:tc>
              <w:tc>
                <w:tcPr>
                  <w:tcW w:w="468" w:type="pct"/>
                  <w:shd w:val="clear" w:color="auto" w:fill="auto"/>
                  <w:vAlign w:val="center"/>
                </w:tcPr>
                <w:p w14:paraId="1A106AA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1" w:type="pct"/>
                  <w:shd w:val="clear" w:color="auto" w:fill="auto"/>
                  <w:vAlign w:val="center"/>
                </w:tcPr>
                <w:p w14:paraId="2D17098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4" w:type="pct"/>
                  <w:shd w:val="clear" w:color="auto" w:fill="auto"/>
                  <w:vAlign w:val="center"/>
                </w:tcPr>
                <w:p w14:paraId="1B15A3F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73</w:t>
                  </w:r>
                </w:p>
              </w:tc>
              <w:tc>
                <w:tcPr>
                  <w:tcW w:w="391" w:type="pct"/>
                  <w:shd w:val="clear" w:color="auto" w:fill="auto"/>
                  <w:vAlign w:val="center"/>
                </w:tcPr>
                <w:p w14:paraId="1D71FD5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w:t>
                  </w:r>
                </w:p>
              </w:tc>
              <w:tc>
                <w:tcPr>
                  <w:tcW w:w="391" w:type="pct"/>
                  <w:shd w:val="clear" w:color="auto" w:fill="auto"/>
                  <w:vAlign w:val="center"/>
                </w:tcPr>
                <w:p w14:paraId="3A5097E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39</w:t>
                  </w:r>
                </w:p>
              </w:tc>
              <w:tc>
                <w:tcPr>
                  <w:tcW w:w="430" w:type="pct"/>
                  <w:shd w:val="clear" w:color="auto" w:fill="auto"/>
                  <w:vAlign w:val="center"/>
                </w:tcPr>
                <w:p w14:paraId="1C364EC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430" w:type="pct"/>
                  <w:shd w:val="clear" w:color="auto" w:fill="auto"/>
                  <w:vAlign w:val="center"/>
                </w:tcPr>
                <w:p w14:paraId="3AF298A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29.5</w:t>
                  </w:r>
                </w:p>
              </w:tc>
              <w:tc>
                <w:tcPr>
                  <w:tcW w:w="430" w:type="pct"/>
                  <w:shd w:val="clear" w:color="auto" w:fill="auto"/>
                  <w:vAlign w:val="center"/>
                </w:tcPr>
                <w:p w14:paraId="5E51AEE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27</w:t>
                  </w:r>
                </w:p>
              </w:tc>
              <w:tc>
                <w:tcPr>
                  <w:tcW w:w="430" w:type="pct"/>
                  <w:shd w:val="clear" w:color="auto" w:fill="auto"/>
                  <w:vAlign w:val="center"/>
                </w:tcPr>
                <w:p w14:paraId="3CF4A50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78" w:type="pct"/>
                  <w:shd w:val="clear" w:color="auto" w:fill="auto"/>
                  <w:vAlign w:val="center"/>
                </w:tcPr>
                <w:p w14:paraId="720DE8B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23.5</w:t>
                  </w:r>
                </w:p>
              </w:tc>
            </w:tr>
            <w:tr w14:paraId="0F73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2105F33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6A650AE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自动压风机</w:t>
                  </w:r>
                </w:p>
              </w:tc>
              <w:tc>
                <w:tcPr>
                  <w:tcW w:w="468" w:type="pct"/>
                  <w:shd w:val="clear" w:color="auto" w:fill="auto"/>
                  <w:vAlign w:val="center"/>
                </w:tcPr>
                <w:p w14:paraId="5DFCE1D8">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1" w:type="pct"/>
                  <w:shd w:val="clear" w:color="auto" w:fill="auto"/>
                  <w:vAlign w:val="center"/>
                </w:tcPr>
                <w:p w14:paraId="5027314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5DDCE56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391" w:type="pct"/>
                  <w:shd w:val="clear" w:color="auto" w:fill="auto"/>
                  <w:vAlign w:val="center"/>
                </w:tcPr>
                <w:p w14:paraId="2923239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391" w:type="pct"/>
                  <w:shd w:val="clear" w:color="auto" w:fill="auto"/>
                  <w:vAlign w:val="center"/>
                </w:tcPr>
                <w:p w14:paraId="42DEB89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430" w:type="pct"/>
                  <w:shd w:val="clear" w:color="auto" w:fill="auto"/>
                  <w:vAlign w:val="center"/>
                </w:tcPr>
                <w:p w14:paraId="399A416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430" w:type="pct"/>
                  <w:shd w:val="clear" w:color="auto" w:fill="auto"/>
                  <w:vAlign w:val="center"/>
                </w:tcPr>
                <w:p w14:paraId="57B79F64">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430" w:type="pct"/>
                  <w:shd w:val="clear" w:color="auto" w:fill="auto"/>
                  <w:vAlign w:val="center"/>
                </w:tcPr>
                <w:p w14:paraId="42D8B84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430" w:type="pct"/>
                  <w:shd w:val="clear" w:color="auto" w:fill="auto"/>
                  <w:vAlign w:val="center"/>
                </w:tcPr>
                <w:p w14:paraId="4B808C0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478" w:type="pct"/>
                  <w:shd w:val="clear" w:color="auto" w:fill="auto"/>
                  <w:vAlign w:val="center"/>
                </w:tcPr>
                <w:p w14:paraId="125DE0A9">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1EA6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5F86978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5D75D3D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电动压风机</w:t>
                  </w:r>
                </w:p>
              </w:tc>
              <w:tc>
                <w:tcPr>
                  <w:tcW w:w="468" w:type="pct"/>
                  <w:shd w:val="clear" w:color="auto" w:fill="auto"/>
                  <w:vAlign w:val="center"/>
                </w:tcPr>
                <w:p w14:paraId="193BF01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1" w:type="pct"/>
                  <w:shd w:val="clear" w:color="auto" w:fill="auto"/>
                  <w:vAlign w:val="center"/>
                </w:tcPr>
                <w:p w14:paraId="40B2899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57578DF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391" w:type="pct"/>
                  <w:shd w:val="clear" w:color="auto" w:fill="auto"/>
                  <w:vAlign w:val="center"/>
                </w:tcPr>
                <w:p w14:paraId="08E42F3C">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391" w:type="pct"/>
                  <w:shd w:val="clear" w:color="auto" w:fill="auto"/>
                  <w:vAlign w:val="center"/>
                </w:tcPr>
                <w:p w14:paraId="07F0B81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430" w:type="pct"/>
                  <w:shd w:val="clear" w:color="auto" w:fill="auto"/>
                  <w:vAlign w:val="center"/>
                </w:tcPr>
                <w:p w14:paraId="49EC5C0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430" w:type="pct"/>
                  <w:shd w:val="clear" w:color="auto" w:fill="auto"/>
                  <w:vAlign w:val="center"/>
                </w:tcPr>
                <w:p w14:paraId="055C00B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430" w:type="pct"/>
                  <w:shd w:val="clear" w:color="auto" w:fill="auto"/>
                  <w:vAlign w:val="center"/>
                </w:tcPr>
                <w:p w14:paraId="2B0C0DD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430" w:type="pct"/>
                  <w:shd w:val="clear" w:color="auto" w:fill="auto"/>
                  <w:vAlign w:val="center"/>
                </w:tcPr>
                <w:p w14:paraId="680CBD6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478" w:type="pct"/>
                  <w:shd w:val="clear" w:color="auto" w:fill="auto"/>
                  <w:vAlign w:val="center"/>
                </w:tcPr>
                <w:p w14:paraId="43AA7E67">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7CB6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3CFB7BA7">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375" w:type="pct"/>
                  <w:shd w:val="clear" w:color="auto" w:fill="auto"/>
                  <w:vAlign w:val="center"/>
                </w:tcPr>
                <w:p w14:paraId="785A2219">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钻井泵</w:t>
                  </w:r>
                </w:p>
              </w:tc>
              <w:tc>
                <w:tcPr>
                  <w:tcW w:w="468" w:type="pct"/>
                  <w:shd w:val="clear" w:color="auto" w:fill="auto"/>
                  <w:vAlign w:val="center"/>
                </w:tcPr>
                <w:p w14:paraId="569A238C">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1" w:type="pct"/>
                  <w:shd w:val="clear" w:color="auto" w:fill="auto"/>
                  <w:vAlign w:val="center"/>
                </w:tcPr>
                <w:p w14:paraId="33B5394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4" w:type="pct"/>
                  <w:shd w:val="clear" w:color="auto" w:fill="auto"/>
                  <w:vAlign w:val="center"/>
                </w:tcPr>
                <w:p w14:paraId="00A61A7C">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73</w:t>
                  </w:r>
                </w:p>
              </w:tc>
              <w:tc>
                <w:tcPr>
                  <w:tcW w:w="391" w:type="pct"/>
                  <w:shd w:val="clear" w:color="auto" w:fill="auto"/>
                  <w:vAlign w:val="center"/>
                </w:tcPr>
                <w:p w14:paraId="0D734F1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w:t>
                  </w:r>
                </w:p>
              </w:tc>
              <w:tc>
                <w:tcPr>
                  <w:tcW w:w="391" w:type="pct"/>
                  <w:shd w:val="clear" w:color="auto" w:fill="auto"/>
                  <w:vAlign w:val="center"/>
                </w:tcPr>
                <w:p w14:paraId="5F278AC8">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39</w:t>
                  </w:r>
                </w:p>
              </w:tc>
              <w:tc>
                <w:tcPr>
                  <w:tcW w:w="430" w:type="pct"/>
                  <w:shd w:val="clear" w:color="auto" w:fill="auto"/>
                  <w:vAlign w:val="center"/>
                </w:tcPr>
                <w:p w14:paraId="0748B514">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430" w:type="pct"/>
                  <w:shd w:val="clear" w:color="auto" w:fill="auto"/>
                  <w:vAlign w:val="center"/>
                </w:tcPr>
                <w:p w14:paraId="74A7214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29.5</w:t>
                  </w:r>
                </w:p>
              </w:tc>
              <w:tc>
                <w:tcPr>
                  <w:tcW w:w="430" w:type="pct"/>
                  <w:shd w:val="clear" w:color="auto" w:fill="auto"/>
                  <w:vAlign w:val="center"/>
                </w:tcPr>
                <w:p w14:paraId="79B6C49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27</w:t>
                  </w:r>
                </w:p>
              </w:tc>
              <w:tc>
                <w:tcPr>
                  <w:tcW w:w="430" w:type="pct"/>
                  <w:shd w:val="clear" w:color="auto" w:fill="auto"/>
                  <w:vAlign w:val="center"/>
                </w:tcPr>
                <w:p w14:paraId="24C84DD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78" w:type="pct"/>
                  <w:shd w:val="clear" w:color="auto" w:fill="auto"/>
                  <w:vAlign w:val="center"/>
                </w:tcPr>
                <w:p w14:paraId="6130EEB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23.5</w:t>
                  </w:r>
                </w:p>
              </w:tc>
            </w:tr>
            <w:tr w14:paraId="3384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68CF6DE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75" w:type="pct"/>
                  <w:shd w:val="clear" w:color="auto" w:fill="auto"/>
                  <w:vAlign w:val="center"/>
                </w:tcPr>
                <w:p w14:paraId="4AFA8B3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压滤机</w:t>
                  </w:r>
                </w:p>
              </w:tc>
              <w:tc>
                <w:tcPr>
                  <w:tcW w:w="468" w:type="pct"/>
                  <w:shd w:val="clear" w:color="auto" w:fill="auto"/>
                  <w:vAlign w:val="center"/>
                </w:tcPr>
                <w:p w14:paraId="2AA3958B">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75</w:t>
                  </w:r>
                </w:p>
              </w:tc>
              <w:tc>
                <w:tcPr>
                  <w:tcW w:w="331" w:type="pct"/>
                  <w:shd w:val="clear" w:color="auto" w:fill="auto"/>
                  <w:vAlign w:val="center"/>
                </w:tcPr>
                <w:p w14:paraId="31BED01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w:t>
                  </w:r>
                </w:p>
              </w:tc>
              <w:tc>
                <w:tcPr>
                  <w:tcW w:w="474" w:type="pct"/>
                  <w:shd w:val="clear" w:color="auto" w:fill="auto"/>
                  <w:vAlign w:val="center"/>
                </w:tcPr>
                <w:p w14:paraId="2878A71E">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75</w:t>
                  </w:r>
                </w:p>
              </w:tc>
              <w:tc>
                <w:tcPr>
                  <w:tcW w:w="391" w:type="pct"/>
                  <w:shd w:val="clear" w:color="auto" w:fill="auto"/>
                  <w:vAlign w:val="center"/>
                </w:tcPr>
                <w:p w14:paraId="79BEBC07">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55</w:t>
                  </w:r>
                </w:p>
              </w:tc>
              <w:tc>
                <w:tcPr>
                  <w:tcW w:w="391" w:type="pct"/>
                  <w:shd w:val="clear" w:color="auto" w:fill="auto"/>
                  <w:vAlign w:val="center"/>
                </w:tcPr>
                <w:p w14:paraId="6F7BC66D">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41</w:t>
                  </w:r>
                </w:p>
              </w:tc>
              <w:tc>
                <w:tcPr>
                  <w:tcW w:w="430" w:type="pct"/>
                  <w:shd w:val="clear" w:color="auto" w:fill="auto"/>
                  <w:vAlign w:val="center"/>
                </w:tcPr>
                <w:p w14:paraId="57C1216A">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w:t>
                  </w:r>
                </w:p>
              </w:tc>
              <w:tc>
                <w:tcPr>
                  <w:tcW w:w="430" w:type="pct"/>
                  <w:shd w:val="clear" w:color="auto" w:fill="auto"/>
                  <w:vAlign w:val="center"/>
                </w:tcPr>
                <w:p w14:paraId="3591459C">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w:t>
                  </w:r>
                </w:p>
              </w:tc>
              <w:tc>
                <w:tcPr>
                  <w:tcW w:w="430" w:type="pct"/>
                  <w:shd w:val="clear" w:color="auto" w:fill="auto"/>
                  <w:vAlign w:val="center"/>
                </w:tcPr>
                <w:p w14:paraId="392D8A6E">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29</w:t>
                  </w:r>
                </w:p>
              </w:tc>
              <w:tc>
                <w:tcPr>
                  <w:tcW w:w="430" w:type="pct"/>
                  <w:shd w:val="clear" w:color="auto" w:fill="auto"/>
                  <w:vAlign w:val="center"/>
                </w:tcPr>
                <w:p w14:paraId="11AFC560">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w:t>
                  </w:r>
                </w:p>
              </w:tc>
              <w:tc>
                <w:tcPr>
                  <w:tcW w:w="478" w:type="pct"/>
                  <w:shd w:val="clear" w:color="auto" w:fill="auto"/>
                  <w:vAlign w:val="center"/>
                </w:tcPr>
                <w:p w14:paraId="3C0BC2DD">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r>
            <w:tr w14:paraId="645B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shd w:val="clear" w:color="auto" w:fill="auto"/>
                  <w:vAlign w:val="center"/>
                </w:tcPr>
                <w:p w14:paraId="466FE068">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HAnsi" w:cstheme="minorBidi"/>
                      <w:color w:val="auto"/>
                      <w:sz w:val="22"/>
                      <w:szCs w:val="22"/>
                      <w:lang w:val="en-US" w:eastAsia="zh-CN" w:bidi="ar-SA"/>
                    </w:rPr>
                  </w:pPr>
                </w:p>
              </w:tc>
              <w:tc>
                <w:tcPr>
                  <w:tcW w:w="375" w:type="pct"/>
                  <w:shd w:val="clear" w:color="auto" w:fill="auto"/>
                  <w:vAlign w:val="center"/>
                </w:tcPr>
                <w:p w14:paraId="57CB2D28">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HAnsi" w:cstheme="minorBidi"/>
                      <w:color w:val="auto"/>
                      <w:sz w:val="22"/>
                      <w:szCs w:val="22"/>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噪声贡献值叠加结果</w:t>
                  </w:r>
                </w:p>
              </w:tc>
              <w:tc>
                <w:tcPr>
                  <w:tcW w:w="468" w:type="pct"/>
                  <w:shd w:val="clear" w:color="auto" w:fill="auto"/>
                  <w:vAlign w:val="center"/>
                </w:tcPr>
                <w:p w14:paraId="70141B47">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c>
                <w:tcPr>
                  <w:tcW w:w="331" w:type="pct"/>
                  <w:shd w:val="clear" w:color="auto" w:fill="auto"/>
                  <w:vAlign w:val="center"/>
                </w:tcPr>
                <w:p w14:paraId="1AE77470">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c>
                <w:tcPr>
                  <w:tcW w:w="474" w:type="pct"/>
                  <w:shd w:val="clear" w:color="auto" w:fill="auto"/>
                  <w:vAlign w:val="center"/>
                </w:tcPr>
                <w:p w14:paraId="5610831B">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c>
                <w:tcPr>
                  <w:tcW w:w="391" w:type="pct"/>
                  <w:shd w:val="clear" w:color="auto" w:fill="auto"/>
                  <w:vAlign w:val="center"/>
                </w:tcPr>
                <w:p w14:paraId="1A1016DB">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391" w:type="pct"/>
                  <w:shd w:val="clear" w:color="auto" w:fill="auto"/>
                  <w:vAlign w:val="center"/>
                </w:tcPr>
                <w:p w14:paraId="551CDB7B">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61</w:t>
                  </w:r>
                </w:p>
              </w:tc>
              <w:tc>
                <w:tcPr>
                  <w:tcW w:w="430" w:type="pct"/>
                  <w:shd w:val="clear" w:color="auto" w:fill="auto"/>
                  <w:vAlign w:val="center"/>
                </w:tcPr>
                <w:p w14:paraId="5F61F9AE">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66</w:t>
                  </w:r>
                </w:p>
              </w:tc>
              <w:tc>
                <w:tcPr>
                  <w:tcW w:w="430" w:type="pct"/>
                  <w:shd w:val="clear" w:color="auto" w:fill="auto"/>
                  <w:vAlign w:val="center"/>
                </w:tcPr>
                <w:p w14:paraId="7A2A78D0">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51</w:t>
                  </w:r>
                </w:p>
              </w:tc>
              <w:tc>
                <w:tcPr>
                  <w:tcW w:w="430" w:type="pct"/>
                  <w:shd w:val="clear" w:color="auto" w:fill="auto"/>
                  <w:vAlign w:val="center"/>
                </w:tcPr>
                <w:p w14:paraId="4A3D2C1C">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w:t>
                  </w:r>
                </w:p>
              </w:tc>
              <w:tc>
                <w:tcPr>
                  <w:tcW w:w="430" w:type="pct"/>
                  <w:shd w:val="clear" w:color="auto" w:fill="auto"/>
                  <w:vAlign w:val="center"/>
                </w:tcPr>
                <w:p w14:paraId="657C9412">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w:t>
                  </w:r>
                </w:p>
              </w:tc>
              <w:tc>
                <w:tcPr>
                  <w:tcW w:w="478" w:type="pct"/>
                  <w:shd w:val="clear" w:color="auto" w:fill="auto"/>
                  <w:vAlign w:val="center"/>
                </w:tcPr>
                <w:p w14:paraId="623902A0">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45</w:t>
                  </w:r>
                </w:p>
              </w:tc>
            </w:tr>
            <w:tr w14:paraId="308C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shd w:val="clear" w:color="auto" w:fill="auto"/>
                  <w:vAlign w:val="center"/>
                </w:tcPr>
                <w:p w14:paraId="23A7559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heme="minorHAnsi" w:hAnsiTheme="minorHAnsi" w:eastAsiaTheme="minorHAnsi" w:cstheme="minorBidi"/>
                      <w:color w:val="auto"/>
                      <w:sz w:val="22"/>
                      <w:szCs w:val="22"/>
                      <w:lang w:val="en-US" w:eastAsia="zh-CN" w:bidi="ar-SA"/>
                    </w:rPr>
                  </w:pPr>
                  <w:r>
                    <w:rPr>
                      <w:rFonts w:hint="eastAsia" w:cstheme="minorBidi"/>
                      <w:color w:val="auto"/>
                      <w:sz w:val="22"/>
                      <w:szCs w:val="22"/>
                      <w:lang w:val="en-US" w:eastAsia="zh-CN" w:bidi="ar-SA"/>
                    </w:rPr>
                    <w:t>压裂阶段</w:t>
                  </w:r>
                </w:p>
              </w:tc>
              <w:tc>
                <w:tcPr>
                  <w:tcW w:w="375" w:type="pct"/>
                  <w:shd w:val="clear" w:color="auto" w:fill="auto"/>
                  <w:vAlign w:val="center"/>
                </w:tcPr>
                <w:p w14:paraId="5835837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压裂设备</w:t>
                  </w:r>
                </w:p>
              </w:tc>
              <w:tc>
                <w:tcPr>
                  <w:tcW w:w="468" w:type="pct"/>
                  <w:shd w:val="clear" w:color="auto" w:fill="auto"/>
                  <w:vAlign w:val="center"/>
                </w:tcPr>
                <w:p w14:paraId="4D0483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90</w:t>
                  </w:r>
                </w:p>
              </w:tc>
              <w:tc>
                <w:tcPr>
                  <w:tcW w:w="331" w:type="pct"/>
                  <w:shd w:val="clear" w:color="auto" w:fill="auto"/>
                  <w:vAlign w:val="center"/>
                </w:tcPr>
                <w:p w14:paraId="583A20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4</w:t>
                  </w:r>
                </w:p>
              </w:tc>
              <w:tc>
                <w:tcPr>
                  <w:tcW w:w="474" w:type="pct"/>
                  <w:shd w:val="clear" w:color="auto" w:fill="auto"/>
                  <w:vAlign w:val="center"/>
                </w:tcPr>
                <w:p w14:paraId="7FF3EC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96</w:t>
                  </w:r>
                </w:p>
              </w:tc>
              <w:tc>
                <w:tcPr>
                  <w:tcW w:w="391" w:type="pct"/>
                  <w:shd w:val="clear" w:color="auto" w:fill="auto"/>
                  <w:vAlign w:val="center"/>
                </w:tcPr>
                <w:p w14:paraId="11FD99A0">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w:t>
                  </w:r>
                </w:p>
              </w:tc>
              <w:tc>
                <w:tcPr>
                  <w:tcW w:w="391" w:type="pct"/>
                  <w:shd w:val="clear" w:color="auto" w:fill="auto"/>
                  <w:vAlign w:val="center"/>
                </w:tcPr>
                <w:p w14:paraId="2CFF825C">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w:t>
                  </w:r>
                </w:p>
              </w:tc>
              <w:tc>
                <w:tcPr>
                  <w:tcW w:w="430" w:type="pct"/>
                  <w:shd w:val="clear" w:color="auto" w:fill="auto"/>
                  <w:vAlign w:val="center"/>
                </w:tcPr>
                <w:p w14:paraId="6838F353">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30" w:type="pct"/>
                  <w:shd w:val="clear" w:color="auto" w:fill="auto"/>
                  <w:vAlign w:val="center"/>
                </w:tcPr>
                <w:p w14:paraId="3E9D7E21">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30" w:type="pct"/>
                  <w:shd w:val="clear" w:color="auto" w:fill="auto"/>
                  <w:vAlign w:val="center"/>
                </w:tcPr>
                <w:p w14:paraId="041DBD4F">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30" w:type="pct"/>
                  <w:shd w:val="clear" w:color="auto" w:fill="auto"/>
                  <w:vAlign w:val="center"/>
                </w:tcPr>
                <w:p w14:paraId="000AB87F">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w:t>
                  </w:r>
                </w:p>
              </w:tc>
              <w:tc>
                <w:tcPr>
                  <w:tcW w:w="478" w:type="pct"/>
                  <w:shd w:val="clear" w:color="auto" w:fill="auto"/>
                  <w:vAlign w:val="center"/>
                </w:tcPr>
                <w:p w14:paraId="0785D409">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w:t>
                  </w:r>
                </w:p>
              </w:tc>
            </w:tr>
          </w:tbl>
          <w:p w14:paraId="40D9D4A2">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3、施工期声环境影响分析</w:t>
            </w:r>
          </w:p>
          <w:p w14:paraId="0FA64D7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（1）土石方阶段声环境影响分析</w:t>
            </w:r>
          </w:p>
          <w:p w14:paraId="663833B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土石方阶段主要使用推土机、装载机、翻斗车等设备，由于施工量较小，施工期很短，设备噪声值相对较小，类比同类型项目，昼间在距离设备50米处，夜间在距离施工设备250米处可满足《建筑施工场界环境噪声排放标准》（GB12523-2011）中相关规定。</w:t>
            </w:r>
          </w:p>
          <w:p w14:paraId="32E129F3">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根据现场勘查，项目距离最近居民位于井场西南侧248m处，土石方工程施工期段，设备间歇运行，本项目夜间严禁土石方作业。因此，土石方工程施工对居民造成影响较小。</w:t>
            </w:r>
          </w:p>
          <w:p w14:paraId="2387DA2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（2）钻井作业声环境影响分析</w:t>
            </w:r>
          </w:p>
          <w:p w14:paraId="19F05A72">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昼间</w:t>
            </w:r>
            <w:r>
              <w:rPr>
                <w:rFonts w:hint="default" w:ascii="Times New Roman" w:hAnsi="Times New Roman" w:eastAsia="宋体" w:cs="Times New Roman"/>
                <w:b w:val="0"/>
                <w:bCs w:val="0"/>
                <w:color w:val="auto"/>
                <w:sz w:val="24"/>
                <w:szCs w:val="24"/>
                <w:vertAlign w:val="baseline"/>
                <w:lang w:val="en-US" w:eastAsia="zh-CN"/>
              </w:rPr>
              <w:t>在距离施工设备噪声</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，夜间</w:t>
            </w:r>
            <w:r>
              <w:rPr>
                <w:rFonts w:hint="default" w:ascii="Times New Roman" w:hAnsi="Times New Roman" w:eastAsia="宋体" w:cs="Times New Roman"/>
                <w:b w:val="0"/>
                <w:bCs w:val="0"/>
                <w:color w:val="auto"/>
                <w:sz w:val="24"/>
                <w:szCs w:val="24"/>
                <w:highlight w:val="none"/>
                <w:vertAlign w:val="baseline"/>
                <w:lang w:val="en-US" w:eastAsia="zh-CN"/>
              </w:rPr>
              <w:t>距离施工设备噪声150m处昼夜间噪声贡献值可以满足《建筑施工场界环境噪声排放标准》（GB12523-2011）中相关规定</w:t>
            </w:r>
            <w:r>
              <w:rPr>
                <w:rFonts w:hint="default" w:ascii="Times New Roman" w:hAnsi="Times New Roman" w:eastAsia="宋体" w:cs="Times New Roman"/>
                <w:b w:val="0"/>
                <w:bCs w:val="0"/>
                <w:color w:val="auto"/>
                <w:sz w:val="24"/>
                <w:szCs w:val="24"/>
                <w:vertAlign w:val="baseline"/>
                <w:lang w:val="en-US" w:eastAsia="zh-CN"/>
              </w:rPr>
              <w:t>。</w:t>
            </w:r>
          </w:p>
          <w:p w14:paraId="458FB5A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预测结果，距离钻井设备300米处夜间噪声方可满足《声环境质量标准》（GB3096-2008）1类区标准限值要求。根据现场踏勘，距离本项目井场最近的敏感目标位于米107-12M井场西南侧248m处，距离井场较远，在井场西侧厂界、南侧厂界加装隔声墙，各类罐体放置于敏感目标一侧，能够确保环境保护目标处《声环境质量标准》（GB3096-2008）1类区标准限值要求。</w:t>
            </w:r>
          </w:p>
          <w:p w14:paraId="2A953D0C">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（3）压裂作业声环境影响分析</w:t>
            </w:r>
          </w:p>
          <w:p w14:paraId="5072B7AC">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本项目各井场均设置4台压裂车，单台压裂车噪声值为90dB（A），</w:t>
            </w:r>
            <w:r>
              <w:rPr>
                <w:rFonts w:hint="eastAsia" w:ascii="Times New Roman" w:hAnsi="Times New Roman" w:eastAsia="宋体" w:cs="Times New Roman"/>
                <w:b w:val="0"/>
                <w:bCs w:val="0"/>
                <w:color w:val="auto"/>
                <w:sz w:val="24"/>
                <w:szCs w:val="24"/>
                <w:vertAlign w:val="baseline"/>
                <w:lang w:val="en-US" w:eastAsia="zh-CN"/>
              </w:rPr>
              <w:t>叠加后噪声源强为96dB（A）</w:t>
            </w:r>
            <w:r>
              <w:rPr>
                <w:rFonts w:hint="eastAsia" w:ascii="Times New Roman" w:hAnsi="Times New Roman" w:eastAsia="宋体" w:cs="Times New Roman"/>
                <w:b w:val="0"/>
                <w:bCs w:val="0"/>
                <w:color w:val="auto"/>
                <w:sz w:val="24"/>
                <w:szCs w:val="24"/>
                <w:vertAlign w:val="baseline"/>
                <w:lang w:val="en-US" w:eastAsia="zh-CN"/>
              </w:rPr>
              <w:t>，经预测，昼间距离压裂车15米，夜间距离压裂车120米可</w:t>
            </w:r>
            <w:r>
              <w:rPr>
                <w:rFonts w:hint="default" w:ascii="Times New Roman" w:hAnsi="Times New Roman" w:eastAsia="宋体" w:cs="Times New Roman"/>
                <w:b w:val="0"/>
                <w:bCs w:val="0"/>
                <w:color w:val="auto"/>
                <w:sz w:val="24"/>
                <w:szCs w:val="24"/>
                <w:highlight w:val="none"/>
                <w:vertAlign w:val="baseline"/>
                <w:lang w:val="en-US" w:eastAsia="zh-CN"/>
              </w:rPr>
              <w:t>满足《建筑施工场界环境噪声排放标准》（GB12523-2011）中相关规定</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昼间距离压裂车120米、夜间距离压裂车310米方可满足</w:t>
            </w:r>
            <w:r>
              <w:rPr>
                <w:rFonts w:hint="eastAsia" w:ascii="Times New Roman" w:hAnsi="Times New Roman" w:eastAsia="宋体" w:cs="Times New Roman"/>
                <w:b w:val="0"/>
                <w:bCs w:val="0"/>
                <w:color w:val="auto"/>
                <w:sz w:val="24"/>
                <w:szCs w:val="24"/>
                <w:vertAlign w:val="baseline"/>
                <w:lang w:val="en-US" w:eastAsia="zh-CN"/>
              </w:rPr>
              <w:t>《声环境质量标准》（GB3096-2008）1类区标准限值要求。根据现场踏勘，距离本项目井场最近的敏感目标为米107-12M西南侧248米，禁止在夜间进行压裂作业，因此项目压裂作业噪声对周边环境影响较小。</w:t>
            </w:r>
          </w:p>
          <w:p w14:paraId="4014804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试气放喷噪声对环境影响分析</w:t>
            </w:r>
          </w:p>
          <w:p w14:paraId="3FDA4DC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测试放喷根据试气计划依次进行，测试放喷时产生的高压气流噪声为100dB(A)，均是昼夜连续作业。评价对井场试气噪声进行预测，预测模型同钻井工程噪声预测模式，预测结果见表4-</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w:t>
            </w:r>
          </w:p>
          <w:p w14:paraId="716F4D30">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6</w:t>
            </w:r>
            <w:r>
              <w:rPr>
                <w:rFonts w:hint="default" w:ascii="Times New Roman" w:hAnsi="Times New Roman" w:eastAsia="宋体" w:cs="Times New Roman"/>
                <w:b/>
                <w:bCs/>
                <w:color w:val="auto"/>
                <w:sz w:val="21"/>
                <w:szCs w:val="21"/>
                <w:vertAlign w:val="baseline"/>
                <w:lang w:val="en-US" w:eastAsia="zh-CN"/>
              </w:rPr>
              <w:t xml:space="preserve">   放喷噪声影响范围预测结果    单位：dB（A）</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699"/>
              <w:gridCol w:w="968"/>
              <w:gridCol w:w="969"/>
              <w:gridCol w:w="969"/>
              <w:gridCol w:w="969"/>
              <w:gridCol w:w="969"/>
              <w:gridCol w:w="969"/>
              <w:gridCol w:w="981"/>
            </w:tblGrid>
            <w:tr w14:paraId="7099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restart"/>
                  <w:vAlign w:val="center"/>
                </w:tcPr>
                <w:p w14:paraId="04D1913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噪声源</w:t>
                  </w:r>
                </w:p>
              </w:tc>
              <w:tc>
                <w:tcPr>
                  <w:tcW w:w="4290" w:type="pct"/>
                  <w:gridSpan w:val="8"/>
                  <w:vAlign w:val="center"/>
                </w:tcPr>
                <w:p w14:paraId="3286D585">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距声源距离</w:t>
                  </w:r>
                </w:p>
              </w:tc>
            </w:tr>
            <w:tr w14:paraId="588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continue"/>
                  <w:vAlign w:val="center"/>
                </w:tcPr>
                <w:p w14:paraId="1B570D3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400" w:type="pct"/>
                  <w:vAlign w:val="center"/>
                </w:tcPr>
                <w:p w14:paraId="14109B4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w:t>
                  </w:r>
                </w:p>
              </w:tc>
              <w:tc>
                <w:tcPr>
                  <w:tcW w:w="554" w:type="pct"/>
                  <w:vAlign w:val="center"/>
                </w:tcPr>
                <w:p w14:paraId="050FD5F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w:t>
                  </w:r>
                </w:p>
              </w:tc>
              <w:tc>
                <w:tcPr>
                  <w:tcW w:w="555" w:type="pct"/>
                  <w:vAlign w:val="center"/>
                </w:tcPr>
                <w:p w14:paraId="030F4AD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w:t>
                  </w:r>
                </w:p>
              </w:tc>
              <w:tc>
                <w:tcPr>
                  <w:tcW w:w="555" w:type="pct"/>
                  <w:vAlign w:val="center"/>
                </w:tcPr>
                <w:p w14:paraId="52CF9E62">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80</w:t>
                  </w:r>
                </w:p>
              </w:tc>
              <w:tc>
                <w:tcPr>
                  <w:tcW w:w="555" w:type="pct"/>
                  <w:vAlign w:val="center"/>
                </w:tcPr>
                <w:p w14:paraId="5042224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w:t>
                  </w:r>
                </w:p>
              </w:tc>
              <w:tc>
                <w:tcPr>
                  <w:tcW w:w="555" w:type="pct"/>
                  <w:vAlign w:val="center"/>
                </w:tcPr>
                <w:p w14:paraId="0A7FFDC3">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w:t>
                  </w:r>
                </w:p>
              </w:tc>
              <w:tc>
                <w:tcPr>
                  <w:tcW w:w="555" w:type="pct"/>
                  <w:vAlign w:val="center"/>
                </w:tcPr>
                <w:p w14:paraId="58E29715">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w:t>
                  </w:r>
                </w:p>
              </w:tc>
              <w:tc>
                <w:tcPr>
                  <w:tcW w:w="557" w:type="pct"/>
                  <w:vAlign w:val="center"/>
                </w:tcPr>
                <w:p w14:paraId="06252B4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400</w:t>
                  </w:r>
                </w:p>
              </w:tc>
            </w:tr>
            <w:tr w14:paraId="266C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14:paraId="416967B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放喷测试</w:t>
                  </w:r>
                </w:p>
              </w:tc>
              <w:tc>
                <w:tcPr>
                  <w:tcW w:w="400" w:type="pct"/>
                  <w:vAlign w:val="center"/>
                </w:tcPr>
                <w:p w14:paraId="4F5BFF54">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80.0</w:t>
                  </w:r>
                </w:p>
              </w:tc>
              <w:tc>
                <w:tcPr>
                  <w:tcW w:w="554" w:type="pct"/>
                  <w:vAlign w:val="center"/>
                </w:tcPr>
                <w:p w14:paraId="28481890">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74.0</w:t>
                  </w:r>
                </w:p>
              </w:tc>
              <w:tc>
                <w:tcPr>
                  <w:tcW w:w="555" w:type="pct"/>
                  <w:vAlign w:val="center"/>
                </w:tcPr>
                <w:p w14:paraId="4D2452C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68.0</w:t>
                  </w:r>
                </w:p>
              </w:tc>
              <w:tc>
                <w:tcPr>
                  <w:tcW w:w="555" w:type="pct"/>
                  <w:vAlign w:val="center"/>
                </w:tcPr>
                <w:p w14:paraId="47446A5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61.9</w:t>
                  </w:r>
                </w:p>
              </w:tc>
              <w:tc>
                <w:tcPr>
                  <w:tcW w:w="555" w:type="pct"/>
                  <w:vAlign w:val="center"/>
                </w:tcPr>
                <w:p w14:paraId="1B270C4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60.0</w:t>
                  </w:r>
                </w:p>
              </w:tc>
              <w:tc>
                <w:tcPr>
                  <w:tcW w:w="555" w:type="pct"/>
                  <w:vAlign w:val="center"/>
                </w:tcPr>
                <w:p w14:paraId="41F08209">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56.5</w:t>
                  </w:r>
                </w:p>
              </w:tc>
              <w:tc>
                <w:tcPr>
                  <w:tcW w:w="555" w:type="pct"/>
                  <w:vAlign w:val="center"/>
                </w:tcPr>
                <w:p w14:paraId="3FE2A51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54.0</w:t>
                  </w:r>
                </w:p>
              </w:tc>
              <w:tc>
                <w:tcPr>
                  <w:tcW w:w="557" w:type="pct"/>
                  <w:vAlign w:val="center"/>
                </w:tcPr>
                <w:p w14:paraId="17E73C5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48.0</w:t>
                  </w:r>
                </w:p>
              </w:tc>
            </w:tr>
          </w:tbl>
          <w:p w14:paraId="71C437E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yellow"/>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根据上表预测结果，在放喷测试时，在距</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33m处能够满足《建筑施工场界环境噪声排放标准》（GB12523-2011）昼间排放标准70dB(A)；</w:t>
            </w:r>
            <w:r>
              <w:rPr>
                <w:rFonts w:hint="default" w:ascii="Times New Roman" w:hAnsi="Times New Roman" w:eastAsia="宋体" w:cs="Times New Roman"/>
                <w:b w:val="0"/>
                <w:bCs w:val="0"/>
                <w:color w:val="auto"/>
                <w:sz w:val="24"/>
                <w:szCs w:val="24"/>
                <w:highlight w:val="none"/>
                <w:vertAlign w:val="baseline"/>
                <w:lang w:val="en-US" w:eastAsia="zh-CN"/>
              </w:rPr>
              <w:t>在距</w:t>
            </w: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185m处能够满足其夜间排放标准55dB(A)。</w:t>
            </w:r>
          </w:p>
          <w:p w14:paraId="1870C3F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周围200m范围内无居民点，</w:t>
            </w:r>
            <w:r>
              <w:rPr>
                <w:rFonts w:hint="default" w:ascii="Times New Roman" w:hAnsi="Times New Roman" w:eastAsia="宋体" w:cs="Times New Roman"/>
                <w:b w:val="0"/>
                <w:bCs w:val="0"/>
                <w:color w:val="auto"/>
                <w:sz w:val="24"/>
                <w:szCs w:val="24"/>
                <w:vertAlign w:val="baseline"/>
                <w:lang w:val="en-US" w:eastAsia="zh-CN"/>
              </w:rPr>
              <w:t>且钻井施工作业时间短，施工结束后影响随即消失。</w:t>
            </w:r>
          </w:p>
          <w:p w14:paraId="14490EE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综上，气井在钻井过程中，对周围声环境敏感点噪声影响很小。</w:t>
            </w:r>
          </w:p>
          <w:p w14:paraId="1DF4F1FA">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w:t>
            </w:r>
          </w:p>
          <w:p w14:paraId="71BD366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项目钻井过程中产生的固体废物主要有废弃泥浆、岩屑、废机油及井队员工产生的生活垃圾。</w:t>
            </w:r>
          </w:p>
          <w:p w14:paraId="35494AA5">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1、一般固体废物</w:t>
            </w:r>
          </w:p>
          <w:p w14:paraId="2F6137C2">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w:t>
            </w:r>
            <w:r>
              <w:rPr>
                <w:rFonts w:hint="eastAsia" w:ascii="Times New Roman" w:hAnsi="Times New Roman" w:eastAsia="宋体" w:cs="Times New Roman"/>
                <w:b/>
                <w:bCs/>
                <w:color w:val="auto"/>
                <w:sz w:val="24"/>
                <w:szCs w:val="24"/>
                <w:vertAlign w:val="baseline"/>
                <w:lang w:val="en-US" w:eastAsia="zh-CN"/>
              </w:rPr>
              <w:t>泥饼</w:t>
            </w:r>
          </w:p>
          <w:p w14:paraId="7A43D15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废弃钻井泥浆</w:t>
            </w:r>
            <w:r>
              <w:rPr>
                <w:rFonts w:hint="eastAsia" w:ascii="Times New Roman" w:hAnsi="Times New Roman" w:eastAsia="宋体" w:cs="Times New Roman"/>
                <w:b w:val="0"/>
                <w:bCs w:val="0"/>
                <w:color w:val="auto"/>
                <w:sz w:val="24"/>
                <w:szCs w:val="24"/>
                <w:vertAlign w:val="baseline"/>
                <w:lang w:val="en-US" w:eastAsia="zh-CN"/>
              </w:rPr>
              <w:t>（泥饼）</w:t>
            </w:r>
            <w:r>
              <w:rPr>
                <w:rFonts w:hint="default" w:ascii="Times New Roman" w:hAnsi="Times New Roman" w:eastAsia="宋体" w:cs="Times New Roman"/>
                <w:b w:val="0"/>
                <w:bCs w:val="0"/>
                <w:color w:val="auto"/>
                <w:sz w:val="24"/>
                <w:szCs w:val="24"/>
                <w:vertAlign w:val="baseline"/>
                <w:lang w:val="en-US" w:eastAsia="zh-CN"/>
              </w:rPr>
              <w:t>是指在钻井过程中无法利用的剩余泥浆，其产生量随井深和井径的不同而改变。根据类比企业在该地区已建勘探井的调查情况，钻井废弃泥浆产生量可按照经验公式推算：</w:t>
            </w:r>
          </w:p>
          <w:p w14:paraId="56C2C72A">
            <w:pPr>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10"/>
                <w:sz w:val="24"/>
                <w:szCs w:val="24"/>
                <w:vertAlign w:val="baseline"/>
                <w:lang w:val="en-US" w:eastAsia="zh-CN"/>
              </w:rPr>
              <w:object>
                <v:shape id="_x0000_i1027" o:spt="75" type="#_x0000_t75" style="height:18pt;width:197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7" r:id="rId18">
                  <o:LockedField>false</o:LockedField>
                </o:OLEObject>
              </w:object>
            </w:r>
          </w:p>
          <w:p w14:paraId="0D776B5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5E5FB24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V——钻井泥浆量，m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5E72702">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7D7AAE2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w:t>
            </w:r>
            <w:r>
              <w:rPr>
                <w:rFonts w:hint="eastAsia" w:ascii="Times New Roman" w:hAnsi="Times New Roman" w:eastAsia="宋体" w:cs="Times New Roman"/>
                <w:b w:val="0"/>
                <w:bCs w:val="0"/>
                <w:color w:val="auto"/>
                <w:sz w:val="24"/>
                <w:szCs w:val="24"/>
                <w:vertAlign w:val="baseline"/>
                <w:lang w:val="en-US" w:eastAsia="zh-CN"/>
              </w:rPr>
              <w:t>600</w:t>
            </w:r>
            <w:r>
              <w:rPr>
                <w:rFonts w:hint="default" w:ascii="Times New Roman" w:hAnsi="Times New Roman" w:eastAsia="宋体" w:cs="Times New Roman"/>
                <w:b w:val="0"/>
                <w:bCs w:val="0"/>
                <w:color w:val="auto"/>
                <w:sz w:val="24"/>
                <w:szCs w:val="24"/>
                <w:vertAlign w:val="baseline"/>
                <w:lang w:val="en-US" w:eastAsia="zh-CN"/>
              </w:rPr>
              <w:t>m，二开</w:t>
            </w:r>
            <w:r>
              <w:rPr>
                <w:rFonts w:hint="eastAsia" w:ascii="Times New Roman" w:hAnsi="Times New Roman" w:eastAsia="宋体" w:cs="Times New Roman"/>
                <w:b w:val="0"/>
                <w:bCs w:val="0"/>
                <w:color w:val="auto"/>
                <w:sz w:val="24"/>
                <w:szCs w:val="24"/>
                <w:vertAlign w:val="baseline"/>
                <w:lang w:val="en-US" w:eastAsia="zh-CN"/>
              </w:rPr>
              <w:t>600~目的层（2700~3000m）</w:t>
            </w:r>
            <w:r>
              <w:rPr>
                <w:rFonts w:hint="default" w:ascii="Times New Roman" w:hAnsi="Times New Roman" w:eastAsia="宋体" w:cs="Times New Roman"/>
                <w:b w:val="0"/>
                <w:bCs w:val="0"/>
                <w:color w:val="auto"/>
                <w:sz w:val="24"/>
                <w:szCs w:val="24"/>
                <w:vertAlign w:val="baseline"/>
                <w:lang w:val="en-US" w:eastAsia="zh-CN"/>
              </w:rPr>
              <w:t>。</w:t>
            </w:r>
          </w:p>
          <w:p w14:paraId="06982691">
            <w:pPr>
              <w:pStyle w:val="28"/>
              <w:keepNext/>
              <w:keepLines/>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表4-7 钻井泥浆产生情况一览表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3404"/>
              <w:gridCol w:w="3884"/>
            </w:tblGrid>
            <w:tr w14:paraId="1B1E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14:paraId="404D27DD">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1948" w:type="pct"/>
                  <w:vAlign w:val="center"/>
                </w:tcPr>
                <w:p w14:paraId="54DD278D">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井号</w:t>
                  </w:r>
                </w:p>
              </w:tc>
              <w:tc>
                <w:tcPr>
                  <w:tcW w:w="2224" w:type="pct"/>
                  <w:vAlign w:val="center"/>
                </w:tcPr>
                <w:p w14:paraId="1AEFDB0A">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钻井泥浆产生量（</w:t>
                  </w:r>
                  <w:r>
                    <w:rPr>
                      <w:rFonts w:hint="default" w:ascii="Times New Roman" w:hAnsi="Times New Roman" w:eastAsia="宋体" w:cs="Times New Roman"/>
                      <w:b/>
                      <w:bCs/>
                      <w:color w:val="auto"/>
                      <w:sz w:val="24"/>
                      <w:szCs w:val="24"/>
                      <w:vertAlign w:val="baseline"/>
                      <w:lang w:val="en-US" w:eastAsia="zh-CN"/>
                    </w:rPr>
                    <w:t>m</w:t>
                  </w:r>
                  <w:r>
                    <w:rPr>
                      <w:rFonts w:hint="default" w:ascii="Times New Roman" w:hAnsi="Times New Roman" w:eastAsia="宋体" w:cs="Times New Roman"/>
                      <w:b/>
                      <w:bCs/>
                      <w:color w:val="auto"/>
                      <w:sz w:val="24"/>
                      <w:szCs w:val="24"/>
                      <w:vertAlign w:val="superscript"/>
                      <w:lang w:val="en-US" w:eastAsia="zh-CN"/>
                    </w:rPr>
                    <w:t>3</w:t>
                  </w:r>
                  <w:r>
                    <w:rPr>
                      <w:rFonts w:hint="eastAsia" w:ascii="Times New Roman" w:hAnsi="Times New Roman" w:eastAsia="宋体" w:cs="Times New Roman"/>
                      <w:b/>
                      <w:bCs/>
                      <w:color w:val="auto"/>
                      <w:sz w:val="21"/>
                      <w:szCs w:val="21"/>
                      <w:highlight w:val="none"/>
                      <w:vertAlign w:val="baseline"/>
                      <w:lang w:val="en-US" w:eastAsia="zh-CN"/>
                    </w:rPr>
                    <w:t>）</w:t>
                  </w:r>
                </w:p>
              </w:tc>
            </w:tr>
            <w:tr w14:paraId="3124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14:paraId="4F77F3F6">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1948" w:type="pct"/>
                  <w:shd w:val="clear" w:color="auto" w:fill="auto"/>
                  <w:vAlign w:val="center"/>
                </w:tcPr>
                <w:p w14:paraId="09083488">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米107-6MX</w:t>
                  </w:r>
                </w:p>
              </w:tc>
              <w:tc>
                <w:tcPr>
                  <w:tcW w:w="2224" w:type="pct"/>
                  <w:vAlign w:val="center"/>
                </w:tcPr>
                <w:p w14:paraId="66E08F7D">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348.78 </w:t>
                  </w:r>
                </w:p>
              </w:tc>
            </w:tr>
            <w:tr w14:paraId="2D33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14:paraId="072D92BA">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1948" w:type="pct"/>
                  <w:shd w:val="clear" w:color="auto" w:fill="auto"/>
                  <w:vAlign w:val="center"/>
                </w:tcPr>
                <w:p w14:paraId="517A08A6">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米107-10MX</w:t>
                  </w:r>
                </w:p>
              </w:tc>
              <w:tc>
                <w:tcPr>
                  <w:tcW w:w="2224" w:type="pct"/>
                  <w:vAlign w:val="center"/>
                </w:tcPr>
                <w:p w14:paraId="0DFC1AA1">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353.35 </w:t>
                  </w:r>
                </w:p>
              </w:tc>
            </w:tr>
            <w:tr w14:paraId="63F9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14:paraId="3E9CE39C">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1948" w:type="pct"/>
                  <w:shd w:val="clear" w:color="auto" w:fill="auto"/>
                  <w:vAlign w:val="center"/>
                </w:tcPr>
                <w:p w14:paraId="23303E81">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米107-11M</w:t>
                  </w:r>
                </w:p>
              </w:tc>
              <w:tc>
                <w:tcPr>
                  <w:tcW w:w="2224" w:type="pct"/>
                  <w:vAlign w:val="center"/>
                </w:tcPr>
                <w:p w14:paraId="232B9236">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363.79 </w:t>
                  </w:r>
                </w:p>
              </w:tc>
            </w:tr>
            <w:tr w14:paraId="67EA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14:paraId="122FFF5A">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1948" w:type="pct"/>
                  <w:shd w:val="clear" w:color="auto" w:fill="auto"/>
                  <w:vAlign w:val="center"/>
                </w:tcPr>
                <w:p w14:paraId="4D1D28B5">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米107-12M</w:t>
                  </w:r>
                </w:p>
              </w:tc>
              <w:tc>
                <w:tcPr>
                  <w:tcW w:w="2224" w:type="pct"/>
                  <w:vAlign w:val="center"/>
                </w:tcPr>
                <w:p w14:paraId="457D3F30">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346.82 </w:t>
                  </w:r>
                </w:p>
              </w:tc>
            </w:tr>
            <w:tr w14:paraId="5FA0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14:paraId="5BD5A207">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w:t>
                  </w:r>
                </w:p>
              </w:tc>
              <w:tc>
                <w:tcPr>
                  <w:tcW w:w="1948" w:type="pct"/>
                  <w:shd w:val="clear" w:color="auto" w:fill="auto"/>
                  <w:vAlign w:val="center"/>
                </w:tcPr>
                <w:p w14:paraId="67459FDB">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米107-15M</w:t>
                  </w:r>
                </w:p>
              </w:tc>
              <w:tc>
                <w:tcPr>
                  <w:tcW w:w="2224" w:type="pct"/>
                  <w:vAlign w:val="center"/>
                </w:tcPr>
                <w:p w14:paraId="68F146A8">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352.04 </w:t>
                  </w:r>
                </w:p>
              </w:tc>
            </w:tr>
            <w:tr w14:paraId="27FD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14:paraId="39084E62">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w:t>
                  </w:r>
                </w:p>
              </w:tc>
              <w:tc>
                <w:tcPr>
                  <w:tcW w:w="1948" w:type="pct"/>
                  <w:shd w:val="clear" w:color="auto" w:fill="auto"/>
                  <w:vAlign w:val="center"/>
                </w:tcPr>
                <w:p w14:paraId="51613B6E">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米107-34M</w:t>
                  </w:r>
                </w:p>
              </w:tc>
              <w:tc>
                <w:tcPr>
                  <w:tcW w:w="2224" w:type="pct"/>
                  <w:vAlign w:val="center"/>
                </w:tcPr>
                <w:p w14:paraId="679F2D5D">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358.57 </w:t>
                  </w:r>
                </w:p>
              </w:tc>
            </w:tr>
            <w:tr w14:paraId="19AD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5" w:type="pct"/>
                  <w:gridSpan w:val="2"/>
                  <w:vAlign w:val="center"/>
                </w:tcPr>
                <w:p w14:paraId="139B3636">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合计</w:t>
                  </w:r>
                </w:p>
              </w:tc>
              <w:tc>
                <w:tcPr>
                  <w:tcW w:w="2224" w:type="pct"/>
                  <w:vAlign w:val="center"/>
                </w:tcPr>
                <w:p w14:paraId="3218197A">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2123.35</w:t>
                  </w:r>
                </w:p>
              </w:tc>
            </w:tr>
          </w:tbl>
          <w:p w14:paraId="3A0A5F50">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根据计算，项目单井钻井废弃泥浆产生量约为</w:t>
            </w:r>
            <w:r>
              <w:rPr>
                <w:rFonts w:hint="eastAsia" w:ascii="Times New Roman" w:hAnsi="Times New Roman" w:eastAsia="宋体" w:cs="Times New Roman"/>
                <w:b w:val="0"/>
                <w:bCs w:val="0"/>
                <w:color w:val="auto"/>
                <w:sz w:val="24"/>
                <w:szCs w:val="24"/>
                <w:highlight w:val="none"/>
                <w:vertAlign w:val="baseline"/>
                <w:lang w:val="en-US" w:eastAsia="zh-CN"/>
              </w:rPr>
              <w:t>2123.35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钻井泥浆优先循环利用，利用率为95%，废弃钻井泥浆产生量为106.17t。</w:t>
            </w:r>
          </w:p>
          <w:p w14:paraId="63A9BECE">
            <w:pPr>
              <w:pStyle w:val="28"/>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泥浆的主要成分是土粉、纯碱、烧碱和无机及有机添加剂，本项目使用水基泥浆，按照《榆林市油（气）开采废弃物处置环保暂行管理办法》（榆政环发〔2015〕170号）的相关要求进行收集，经场地内泥浆循环系统配套的移动式泥饼和岩屑收集罐暂存，委托</w:t>
            </w:r>
            <w:r>
              <w:rPr>
                <w:rFonts w:hint="eastAsia" w:ascii="Times New Roman" w:hAnsi="Times New Roman" w:eastAsia="宋体" w:cs="Times New Roman"/>
                <w:b w:val="0"/>
                <w:bCs w:val="0"/>
                <w:color w:val="auto"/>
                <w:sz w:val="24"/>
                <w:szCs w:val="24"/>
                <w:vertAlign w:val="baseline"/>
                <w:lang w:val="en-US" w:eastAsia="zh-CN"/>
              </w:rPr>
              <w:t>陕西德禾鑫盛环保科技有限公司</w:t>
            </w:r>
            <w:r>
              <w:rPr>
                <w:rFonts w:hint="default" w:ascii="Times New Roman" w:hAnsi="Times New Roman" w:cs="Times New Roman"/>
                <w:color w:val="auto"/>
                <w:lang w:val="en-US" w:eastAsia="zh-CN"/>
              </w:rPr>
              <w:t>处置。</w:t>
            </w:r>
          </w:p>
          <w:p w14:paraId="5AF435E8">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（2）钻井岩屑</w:t>
            </w:r>
          </w:p>
          <w:p w14:paraId="32610F7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钻井过程中，岩石被钻头破碎成岩屑，随着泥浆经循环泵带出井口，经地面的泥浆不落地系统处理分离，钻井岩屑的产生量按以下公式计算：</w:t>
            </w:r>
          </w:p>
          <w:p w14:paraId="67BF4CF5">
            <w:pPr>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6"/>
                <w:sz w:val="24"/>
                <w:szCs w:val="24"/>
                <w:vertAlign w:val="baseline"/>
                <w:lang w:val="en-US" w:eastAsia="zh-CN"/>
              </w:rPr>
              <w:object>
                <v:shape id="_x0000_i1028" o:spt="75" type="#_x0000_t75" style="height:16pt;width:72pt;" o:ole="t" filled="f" o:preferrelative="t" stroked="f" coordsize="21600,21600">
                  <v:path/>
                  <v:fill on="f" focussize="0,0"/>
                  <v:stroke on="f"/>
                  <v:imagedata r:id="rId21" o:title=""/>
                  <o:lock v:ext="edit" aspectratio="t"/>
                  <w10:wrap type="none"/>
                  <w10:anchorlock/>
                </v:shape>
                <o:OLEObject Type="Embed" ProgID="Equation.KSEE3" ShapeID="_x0000_i1028" DrawAspect="Content" ObjectID="_1468075728" r:id="rId20">
                  <o:LockedField>false</o:LockedField>
                </o:OLEObject>
              </w:object>
            </w:r>
          </w:p>
          <w:p w14:paraId="32DB642D">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48CAD758">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W——钻井岩屑产生量，t；</w:t>
            </w:r>
          </w:p>
          <w:p w14:paraId="39CCB0C5">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341CCBF0">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h——钻井的深度，m，一开6</w:t>
            </w:r>
            <w:r>
              <w:rPr>
                <w:rFonts w:hint="eastAsia" w:ascii="Times New Roman" w:hAnsi="Times New Roman" w:eastAsia="宋体" w:cs="Times New Roman"/>
                <w:b w:val="0"/>
                <w:bCs w:val="0"/>
                <w:color w:val="auto"/>
                <w:sz w:val="24"/>
                <w:szCs w:val="24"/>
                <w:vertAlign w:val="baseline"/>
                <w:lang w:val="en-US" w:eastAsia="zh-CN"/>
              </w:rPr>
              <w:t>0</w:t>
            </w:r>
            <w:r>
              <w:rPr>
                <w:rFonts w:hint="default" w:ascii="Times New Roman" w:hAnsi="Times New Roman" w:eastAsia="宋体" w:cs="Times New Roman"/>
                <w:b w:val="0"/>
                <w:bCs w:val="0"/>
                <w:color w:val="auto"/>
                <w:sz w:val="24"/>
                <w:szCs w:val="24"/>
                <w:vertAlign w:val="baseline"/>
                <w:lang w:val="en-US" w:eastAsia="zh-CN"/>
              </w:rPr>
              <w:t>0m，</w:t>
            </w:r>
            <w:r>
              <w:rPr>
                <w:rFonts w:hint="eastAsia" w:ascii="Times New Roman" w:hAnsi="Times New Roman" w:eastAsia="宋体" w:cs="Times New Roman"/>
                <w:b w:val="0"/>
                <w:bCs w:val="0"/>
                <w:color w:val="auto"/>
                <w:sz w:val="24"/>
                <w:szCs w:val="24"/>
                <w:vertAlign w:val="baseline"/>
                <w:lang w:val="en-US" w:eastAsia="zh-CN"/>
              </w:rPr>
              <w:t>二开2700~3000m</w:t>
            </w:r>
            <w:r>
              <w:rPr>
                <w:rFonts w:hint="default" w:ascii="Times New Roman" w:hAnsi="Times New Roman" w:eastAsia="宋体" w:cs="Times New Roman"/>
                <w:b w:val="0"/>
                <w:bCs w:val="0"/>
                <w:color w:val="auto"/>
                <w:sz w:val="24"/>
                <w:szCs w:val="24"/>
                <w:vertAlign w:val="baseline"/>
                <w:lang w:val="en-US" w:eastAsia="zh-CN"/>
              </w:rPr>
              <w:t>；</w:t>
            </w:r>
          </w:p>
          <w:p w14:paraId="4614388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d——岩石密度，t/m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，取2.71t/m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11D271E1">
            <w:pPr>
              <w:pStyle w:val="15"/>
              <w:keepNext/>
              <w:keepLines/>
              <w:pageBreakBefore w:val="0"/>
              <w:widowControl w:val="0"/>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color w:val="auto"/>
                <w:lang w:val="en-US" w:eastAsia="zh-CN"/>
              </w:rPr>
            </w:pPr>
            <w:r>
              <w:rPr>
                <w:rFonts w:hint="eastAsia" w:ascii="Times New Roman" w:hAnsi="Times New Roman" w:eastAsia="宋体" w:cs="Times New Roman"/>
                <w:b/>
                <w:bCs/>
                <w:color w:val="auto"/>
                <w:sz w:val="21"/>
                <w:szCs w:val="21"/>
                <w:highlight w:val="none"/>
                <w:vertAlign w:val="baseline"/>
                <w:lang w:val="en-US" w:eastAsia="zh-CN"/>
              </w:rPr>
              <w:t>表4-8 钻井岩屑产生情况一览表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3398"/>
              <w:gridCol w:w="3886"/>
            </w:tblGrid>
            <w:tr w14:paraId="1D83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5A3EC463">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1946" w:type="pct"/>
                  <w:vAlign w:val="center"/>
                </w:tcPr>
                <w:p w14:paraId="5B8E1200">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井号</w:t>
                  </w:r>
                </w:p>
              </w:tc>
              <w:tc>
                <w:tcPr>
                  <w:tcW w:w="2225" w:type="pct"/>
                  <w:vAlign w:val="center"/>
                </w:tcPr>
                <w:p w14:paraId="1F70D5AC">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钻井岩屑产生量（</w:t>
                  </w:r>
                  <w:r>
                    <w:rPr>
                      <w:rFonts w:hint="eastAsia" w:ascii="Times New Roman" w:hAnsi="Times New Roman" w:eastAsia="宋体" w:cs="Times New Roman"/>
                      <w:b/>
                      <w:bCs/>
                      <w:color w:val="auto"/>
                      <w:sz w:val="24"/>
                      <w:szCs w:val="24"/>
                      <w:vertAlign w:val="baseline"/>
                      <w:lang w:val="en-US" w:eastAsia="zh-CN"/>
                    </w:rPr>
                    <w:t>t</w:t>
                  </w:r>
                  <w:r>
                    <w:rPr>
                      <w:rFonts w:hint="eastAsia" w:ascii="Times New Roman" w:hAnsi="Times New Roman" w:eastAsia="宋体" w:cs="Times New Roman"/>
                      <w:b/>
                      <w:bCs/>
                      <w:color w:val="auto"/>
                      <w:sz w:val="21"/>
                      <w:szCs w:val="21"/>
                      <w:highlight w:val="none"/>
                      <w:vertAlign w:val="baseline"/>
                      <w:lang w:val="en-US" w:eastAsia="zh-CN"/>
                    </w:rPr>
                    <w:t>）</w:t>
                  </w:r>
                </w:p>
              </w:tc>
            </w:tr>
            <w:tr w14:paraId="5C3C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246F388A">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1946" w:type="pct"/>
                  <w:shd w:val="clear" w:color="auto" w:fill="auto"/>
                  <w:vAlign w:val="center"/>
                </w:tcPr>
                <w:p w14:paraId="6ECE353F">
                  <w:pPr>
                    <w:keepNext/>
                    <w:keepLines/>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米107-6MX</w:t>
                  </w:r>
                </w:p>
              </w:tc>
              <w:tc>
                <w:tcPr>
                  <w:tcW w:w="2225" w:type="pct"/>
                  <w:vAlign w:val="center"/>
                </w:tcPr>
                <w:p w14:paraId="397BD942">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490.52</w:t>
                  </w:r>
                </w:p>
              </w:tc>
            </w:tr>
            <w:tr w14:paraId="47E7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28" w:type="pct"/>
                  <w:vAlign w:val="center"/>
                </w:tcPr>
                <w:p w14:paraId="6CAB07AA">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1946" w:type="pct"/>
                  <w:shd w:val="clear" w:color="auto" w:fill="auto"/>
                  <w:vAlign w:val="center"/>
                </w:tcPr>
                <w:p w14:paraId="6813B45D">
                  <w:pPr>
                    <w:keepNext/>
                    <w:keepLines/>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米107-10MX</w:t>
                  </w:r>
                </w:p>
              </w:tc>
              <w:tc>
                <w:tcPr>
                  <w:tcW w:w="2225" w:type="pct"/>
                  <w:vAlign w:val="center"/>
                </w:tcPr>
                <w:p w14:paraId="68DE32B6">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501.62</w:t>
                  </w:r>
                </w:p>
              </w:tc>
            </w:tr>
            <w:tr w14:paraId="1078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20AAF2E4">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1946" w:type="pct"/>
                  <w:shd w:val="clear" w:color="auto" w:fill="auto"/>
                  <w:vAlign w:val="center"/>
                </w:tcPr>
                <w:p w14:paraId="43CB398E">
                  <w:pPr>
                    <w:keepNext/>
                    <w:keepLines/>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米107-11M</w:t>
                  </w:r>
                </w:p>
              </w:tc>
              <w:tc>
                <w:tcPr>
                  <w:tcW w:w="2225" w:type="pct"/>
                  <w:vAlign w:val="center"/>
                </w:tcPr>
                <w:p w14:paraId="50DAC043">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526.98</w:t>
                  </w:r>
                </w:p>
              </w:tc>
            </w:tr>
            <w:tr w14:paraId="44C7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6BC46944">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1946" w:type="pct"/>
                  <w:shd w:val="clear" w:color="auto" w:fill="auto"/>
                  <w:vAlign w:val="center"/>
                </w:tcPr>
                <w:p w14:paraId="1BBBE4EC">
                  <w:pPr>
                    <w:keepNext/>
                    <w:keepLines/>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米107-12M</w:t>
                  </w:r>
                </w:p>
              </w:tc>
              <w:tc>
                <w:tcPr>
                  <w:tcW w:w="2225" w:type="pct"/>
                  <w:vAlign w:val="center"/>
                </w:tcPr>
                <w:p w14:paraId="2052B6BE">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485.76</w:t>
                  </w:r>
                </w:p>
              </w:tc>
            </w:tr>
            <w:tr w14:paraId="2809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1A50DBE3">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w:t>
                  </w:r>
                </w:p>
              </w:tc>
              <w:tc>
                <w:tcPr>
                  <w:tcW w:w="1946" w:type="pct"/>
                  <w:shd w:val="clear" w:color="auto" w:fill="auto"/>
                  <w:vAlign w:val="center"/>
                </w:tcPr>
                <w:p w14:paraId="34BF1D69">
                  <w:pPr>
                    <w:keepNext/>
                    <w:keepLines/>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米107-15M</w:t>
                  </w:r>
                </w:p>
              </w:tc>
              <w:tc>
                <w:tcPr>
                  <w:tcW w:w="2225" w:type="pct"/>
                  <w:vAlign w:val="center"/>
                </w:tcPr>
                <w:p w14:paraId="31FA5F51">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498.44</w:t>
                  </w:r>
                </w:p>
              </w:tc>
            </w:tr>
            <w:tr w14:paraId="342A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317F32FE">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w:t>
                  </w:r>
                </w:p>
              </w:tc>
              <w:tc>
                <w:tcPr>
                  <w:tcW w:w="1946" w:type="pct"/>
                  <w:shd w:val="clear" w:color="auto" w:fill="auto"/>
                  <w:vAlign w:val="center"/>
                </w:tcPr>
                <w:p w14:paraId="1FFFBB42">
                  <w:pPr>
                    <w:keepNext/>
                    <w:keepLines/>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米107-34M</w:t>
                  </w:r>
                </w:p>
              </w:tc>
              <w:tc>
                <w:tcPr>
                  <w:tcW w:w="2225" w:type="pct"/>
                  <w:vAlign w:val="center"/>
                </w:tcPr>
                <w:p w14:paraId="0F634E64">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514.30</w:t>
                  </w:r>
                </w:p>
              </w:tc>
            </w:tr>
            <w:tr w14:paraId="09F1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4" w:type="pct"/>
                  <w:gridSpan w:val="2"/>
                  <w:vAlign w:val="center"/>
                </w:tcPr>
                <w:p w14:paraId="442AEAE1">
                  <w:pPr>
                    <w:pStyle w:val="28"/>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合计</w:t>
                  </w:r>
                </w:p>
              </w:tc>
              <w:tc>
                <w:tcPr>
                  <w:tcW w:w="2225" w:type="pct"/>
                  <w:vAlign w:val="center"/>
                </w:tcPr>
                <w:p w14:paraId="532080AC">
                  <w:pPr>
                    <w:keepNext/>
                    <w:keepLines/>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3017.62</w:t>
                  </w:r>
                </w:p>
              </w:tc>
            </w:tr>
          </w:tbl>
          <w:p w14:paraId="59342D58">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sz w:val="24"/>
                <w:szCs w:val="24"/>
                <w:vertAlign w:val="baseline"/>
                <w:lang w:val="en-US" w:eastAsia="zh-CN"/>
              </w:rPr>
              <w:t>井场设置移动式泥饼和岩屑收集罐，罐区设置围堰，铺设防渗HDPE膜，设遮雨设施，</w:t>
            </w:r>
            <w:r>
              <w:rPr>
                <w:rFonts w:hint="default" w:ascii="Times New Roman" w:hAnsi="Times New Roman" w:cs="Times New Roman"/>
                <w:color w:val="auto"/>
                <w:lang w:val="en-US" w:eastAsia="zh-CN"/>
              </w:rPr>
              <w:t>符合《榆林市油气开采废弃物不落地集中处置推广项目建设管理指南（试行）》（榆林市生态环境局于2018年8月21日发布）的要求。经场地内泥浆循环系统配套的移动式泥饼和岩屑收集罐暂存，</w:t>
            </w:r>
            <w:r>
              <w:rPr>
                <w:rFonts w:hint="eastAsia" w:ascii="Times New Roman" w:hAnsi="Times New Roman" w:cs="Times New Roman"/>
                <w:color w:val="auto"/>
                <w:lang w:val="en-US" w:eastAsia="zh-CN"/>
              </w:rPr>
              <w:t>交陕西德禾鑫盛环保科技有限公司</w:t>
            </w:r>
            <w:r>
              <w:rPr>
                <w:rFonts w:hint="default" w:ascii="Times New Roman" w:hAnsi="Times New Roman" w:cs="Times New Roman"/>
                <w:color w:val="auto"/>
                <w:lang w:val="en-US" w:eastAsia="zh-CN"/>
              </w:rPr>
              <w:t>处置。</w:t>
            </w:r>
          </w:p>
          <w:p w14:paraId="48298F19">
            <w:pPr>
              <w:pStyle w:val="28"/>
              <w:keepNext/>
              <w:keepLines/>
              <w:pageBreakBefore w:val="0"/>
              <w:widowControl w:val="0"/>
              <w:kinsoku/>
              <w:wordWrap/>
              <w:overflowPunct/>
              <w:topLinePunct w:val="0"/>
              <w:autoSpaceDE/>
              <w:autoSpaceDN/>
              <w:bidi w:val="0"/>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项目使用水基泥浆。钻井岩屑按照《榆林市油（气）开采废弃物处置环保暂行管理办法》（榆政环发〔2015〕170号）的相关要求进行收集，根据本地区同类项目工程经验，钻井岩屑中不含重金属和放射性含量物质，属于Ⅱ类一般固废。</w:t>
            </w:r>
          </w:p>
          <w:p w14:paraId="56D33881">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（3）废纯碱、</w:t>
            </w:r>
            <w:r>
              <w:rPr>
                <w:rFonts w:hint="default" w:ascii="Times New Roman" w:hAnsi="Times New Roman" w:eastAsia="宋体" w:cs="Times New Roman"/>
                <w:b/>
                <w:bCs/>
                <w:color w:val="auto"/>
                <w:sz w:val="24"/>
                <w:szCs w:val="24"/>
                <w:vertAlign w:val="baseline"/>
                <w:lang w:val="en-US" w:eastAsia="zh-CN"/>
              </w:rPr>
              <w:t>膨润土包装袋</w:t>
            </w:r>
            <w:r>
              <w:rPr>
                <w:rFonts w:hint="eastAsia" w:ascii="Times New Roman" w:hAnsi="Times New Roman" w:eastAsia="宋体" w:cs="Times New Roman"/>
                <w:b/>
                <w:bCs/>
                <w:color w:val="auto"/>
                <w:sz w:val="24"/>
                <w:szCs w:val="24"/>
                <w:vertAlign w:val="baseline"/>
                <w:lang w:val="en-US" w:eastAsia="zh-CN"/>
              </w:rPr>
              <w:t>、不含油废防渗布</w:t>
            </w:r>
          </w:p>
          <w:p w14:paraId="6DFC4B1E">
            <w:pPr>
              <w:keepNext/>
              <w:keepLines/>
              <w:pageBreakBefore w:val="0"/>
              <w:widowControl w:val="0"/>
              <w:kinsoku/>
              <w:wordWrap/>
              <w:overflowPunct/>
              <w:topLinePunct w:val="0"/>
              <w:autoSpaceDE/>
              <w:autoSpaceDN/>
              <w:bidi w:val="0"/>
              <w:adjustRightInd w:val="0"/>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废弃包装袋主要为钻井材料中纯碱、膨润土废弃包装</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不含油废防渗布主要为施工场地铺设的未沾染油类物质的防渗布，</w:t>
            </w:r>
            <w:r>
              <w:rPr>
                <w:rFonts w:hint="default" w:ascii="Times New Roman" w:hAnsi="Times New Roman" w:cs="Times New Roman"/>
                <w:color w:val="auto"/>
                <w:sz w:val="24"/>
              </w:rPr>
              <w:t>其中</w:t>
            </w:r>
            <w:r>
              <w:rPr>
                <w:rFonts w:hint="default" w:ascii="Times New Roman" w:hAnsi="Times New Roman" w:cs="Times New Roman"/>
                <w:color w:val="auto"/>
                <w:sz w:val="24"/>
                <w:lang w:eastAsia="zh-CN"/>
              </w:rPr>
              <w:t>单井</w:t>
            </w:r>
            <w:r>
              <w:rPr>
                <w:rFonts w:hint="default" w:ascii="Times New Roman" w:hAnsi="Times New Roman" w:cs="Times New Roman"/>
                <w:color w:val="auto"/>
                <w:sz w:val="24"/>
              </w:rPr>
              <w:t>膨润土、纯碱包装袋产生量约为0.015t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总产生量为0.09t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单井</w:t>
            </w:r>
            <w:r>
              <w:rPr>
                <w:rFonts w:hint="default" w:ascii="Times New Roman" w:hAnsi="Times New Roman" w:cs="Times New Roman"/>
                <w:color w:val="auto"/>
                <w:sz w:val="24"/>
                <w:lang w:val="en-US" w:eastAsia="zh-CN"/>
              </w:rPr>
              <w:t>不含油废防渗布</w:t>
            </w:r>
            <w:r>
              <w:rPr>
                <w:rFonts w:hint="default" w:ascii="Times New Roman" w:hAnsi="Times New Roman" w:cs="Times New Roman"/>
                <w:color w:val="auto"/>
                <w:sz w:val="24"/>
              </w:rPr>
              <w:t>产生量约为0.0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5t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总产生量为0.03t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，属于一般固体废物，施工结束后回收综合利用。</w:t>
            </w:r>
          </w:p>
          <w:p w14:paraId="60ABB9A9">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2、生活垃圾</w:t>
            </w:r>
          </w:p>
          <w:p w14:paraId="2D7FF56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职工生活垃圾每人每天0.5kg计，单井生活垃圾产生量约为0.875t（总产生量为</w:t>
            </w:r>
            <w:r>
              <w:rPr>
                <w:rFonts w:hint="eastAsia" w:ascii="Times New Roman" w:hAnsi="Times New Roman" w:cs="Times New Roman"/>
                <w:color w:val="auto"/>
                <w:sz w:val="24"/>
                <w:lang w:val="en-US" w:eastAsia="zh-CN"/>
              </w:rPr>
              <w:t>5.25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lang w:eastAsia="zh-CN"/>
              </w:rPr>
              <w:t>井场设置垃圾箱，施工结束后送附近垃圾中转站</w:t>
            </w:r>
            <w:r>
              <w:rPr>
                <w:rFonts w:hint="default" w:ascii="Times New Roman" w:hAnsi="Times New Roman" w:cs="Times New Roman"/>
                <w:color w:val="auto"/>
                <w:sz w:val="24"/>
                <w:lang w:val="en-US" w:eastAsia="zh-CN"/>
              </w:rPr>
              <w:t>，由当地环卫部门统一拉运处置</w:t>
            </w:r>
            <w:r>
              <w:rPr>
                <w:rFonts w:hint="default" w:ascii="Times New Roman" w:hAnsi="Times New Roman" w:cs="Times New Roman"/>
                <w:color w:val="auto"/>
                <w:sz w:val="24"/>
                <w:lang w:eastAsia="zh-CN"/>
              </w:rPr>
              <w:t>。</w:t>
            </w:r>
          </w:p>
          <w:p w14:paraId="55276EE8">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3、危险废物</w:t>
            </w:r>
          </w:p>
          <w:p w14:paraId="7E11904F">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eastAsia="宋体"/>
                <w:color w:val="auto"/>
                <w:sz w:val="24"/>
                <w:lang w:eastAsia="zh-CN"/>
              </w:rPr>
            </w:pPr>
            <w:r>
              <w:rPr>
                <w:color w:val="auto"/>
                <w:sz w:val="24"/>
              </w:rPr>
              <w:t>项目产生的危险废物主要为钻井设备产生的废机油、废防渗布等</w:t>
            </w:r>
            <w:r>
              <w:rPr>
                <w:rFonts w:hint="eastAsia"/>
                <w:color w:val="auto"/>
                <w:sz w:val="24"/>
                <w:lang w:eastAsia="zh-CN"/>
              </w:rPr>
              <w:t>。</w:t>
            </w:r>
          </w:p>
          <w:p w14:paraId="438E8751">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w:t>
            </w:r>
            <w:r>
              <w:rPr>
                <w:rFonts w:hint="eastAsia" w:ascii="Times New Roman" w:hAnsi="Times New Roman" w:eastAsia="宋体" w:cs="Times New Roman"/>
                <w:b/>
                <w:bCs/>
                <w:color w:val="auto"/>
                <w:sz w:val="24"/>
                <w:szCs w:val="24"/>
                <w:vertAlign w:val="baseline"/>
                <w:lang w:val="en-US" w:eastAsia="zh-CN"/>
              </w:rPr>
              <w:t>1</w:t>
            </w:r>
            <w:r>
              <w:rPr>
                <w:rFonts w:hint="default" w:ascii="Times New Roman" w:hAnsi="Times New Roman" w:eastAsia="宋体" w:cs="Times New Roman"/>
                <w:b/>
                <w:bCs/>
                <w:color w:val="auto"/>
                <w:sz w:val="24"/>
                <w:szCs w:val="24"/>
                <w:vertAlign w:val="baseline"/>
                <w:lang w:val="en-US" w:eastAsia="zh-CN"/>
              </w:rPr>
              <w:t>）废机油</w:t>
            </w:r>
          </w:p>
          <w:p w14:paraId="2F5DD6C3">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主要来源于清洗钻具、套管时产生的废机油。根据建设单位同类型项目资料，预计单井废机油产生量为0.04t，本项目共产生0.</w:t>
            </w:r>
            <w:r>
              <w:rPr>
                <w:rFonts w:hint="eastAsia" w:ascii="Times New Roman" w:hAnsi="Times New Roman" w:eastAsia="宋体" w:cs="Times New Roman"/>
                <w:b w:val="0"/>
                <w:bCs w:val="0"/>
                <w:color w:val="auto"/>
                <w:sz w:val="24"/>
                <w:szCs w:val="24"/>
                <w:vertAlign w:val="baseline"/>
                <w:lang w:val="en-US" w:eastAsia="zh-CN"/>
              </w:rPr>
              <w:t>24</w:t>
            </w:r>
            <w:r>
              <w:rPr>
                <w:rFonts w:hint="default" w:ascii="Times New Roman" w:hAnsi="Times New Roman" w:eastAsia="宋体" w:cs="Times New Roman"/>
                <w:b w:val="0"/>
                <w:bCs w:val="0"/>
                <w:color w:val="auto"/>
                <w:sz w:val="24"/>
                <w:szCs w:val="24"/>
                <w:vertAlign w:val="baseline"/>
                <w:lang w:val="en-US" w:eastAsia="zh-CN"/>
              </w:rPr>
              <w:t>t，委托有资质的单位进行处置。</w:t>
            </w:r>
          </w:p>
          <w:p w14:paraId="42B9A1F1">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w:t>
            </w:r>
            <w:r>
              <w:rPr>
                <w:rFonts w:hint="eastAsia" w:ascii="Times New Roman" w:hAnsi="Times New Roman" w:eastAsia="宋体" w:cs="Times New Roman"/>
                <w:b/>
                <w:bCs/>
                <w:color w:val="auto"/>
                <w:sz w:val="24"/>
                <w:szCs w:val="24"/>
                <w:vertAlign w:val="baseline"/>
                <w:lang w:val="en-US" w:eastAsia="zh-CN"/>
              </w:rPr>
              <w:t>2</w:t>
            </w:r>
            <w:r>
              <w:rPr>
                <w:rFonts w:hint="default" w:ascii="Times New Roman" w:hAnsi="Times New Roman" w:eastAsia="宋体" w:cs="Times New Roman"/>
                <w:b/>
                <w:bCs/>
                <w:color w:val="auto"/>
                <w:sz w:val="24"/>
                <w:szCs w:val="24"/>
                <w:vertAlign w:val="baseline"/>
                <w:lang w:val="en-US" w:eastAsia="zh-CN"/>
              </w:rPr>
              <w:t>）废弃防渗膜</w:t>
            </w:r>
          </w:p>
          <w:p w14:paraId="3283BA45">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为防止在钻井过程中钻井泥浆、钻井污水等污染地面从而造成对土壤、地下水的影响，需要在钻井过程中在钻井平台附近铺设防渗布</w:t>
            </w:r>
            <w:r>
              <w:rPr>
                <w:rFonts w:hint="default" w:ascii="Times New Roman" w:hAnsi="Times New Roman" w:cs="Times New Roman"/>
                <w:color w:val="auto"/>
                <w:sz w:val="24"/>
                <w:lang w:val="en-US" w:eastAsia="zh-CN"/>
              </w:rPr>
              <w:t>。沾染油类物质的防渗膜属于危险废物，</w:t>
            </w:r>
            <w:r>
              <w:rPr>
                <w:rFonts w:hint="default" w:ascii="Times New Roman" w:hAnsi="Times New Roman" w:cs="Times New Roman"/>
                <w:color w:val="auto"/>
                <w:sz w:val="24"/>
              </w:rPr>
              <w:t>危废代码为900-041-49。根据建设单位</w:t>
            </w:r>
            <w:r>
              <w:rPr>
                <w:rFonts w:hint="default" w:ascii="Times New Roman" w:hAnsi="Times New Roman" w:cs="Times New Roman"/>
                <w:color w:val="auto"/>
                <w:sz w:val="24"/>
                <w:lang w:val="en-US" w:eastAsia="zh-CN"/>
              </w:rPr>
              <w:t>提供资料</w:t>
            </w:r>
            <w:r>
              <w:rPr>
                <w:rFonts w:hint="default" w:ascii="Times New Roman" w:hAnsi="Times New Roman" w:cs="Times New Roman"/>
                <w:color w:val="auto"/>
                <w:sz w:val="24"/>
              </w:rPr>
              <w:t>，本项目施工单井</w:t>
            </w:r>
            <w:r>
              <w:rPr>
                <w:rFonts w:hint="default" w:ascii="Times New Roman" w:hAnsi="Times New Roman" w:cs="Times New Roman"/>
                <w:color w:val="auto"/>
                <w:sz w:val="24"/>
                <w:lang w:val="en-US" w:eastAsia="zh-CN"/>
              </w:rPr>
              <w:t>含油</w:t>
            </w:r>
            <w:r>
              <w:rPr>
                <w:rFonts w:hint="default" w:ascii="Times New Roman" w:hAnsi="Times New Roman" w:cs="Times New Roman"/>
                <w:color w:val="auto"/>
                <w:sz w:val="24"/>
              </w:rPr>
              <w:t>废防渗布产生量约为0.0</w:t>
            </w:r>
            <w:r>
              <w:rPr>
                <w:rFonts w:hint="default" w:ascii="Times New Roman" w:hAnsi="Times New Roman" w:cs="Times New Roman"/>
                <w:color w:val="auto"/>
                <w:sz w:val="24"/>
                <w:lang w:val="en-US" w:eastAsia="zh-CN"/>
              </w:rPr>
              <w:t>05</w:t>
            </w:r>
            <w:r>
              <w:rPr>
                <w:rFonts w:hint="default" w:ascii="Times New Roman" w:hAnsi="Times New Roman" w:cs="Times New Roman"/>
                <w:color w:val="auto"/>
                <w:sz w:val="24"/>
              </w:rPr>
              <w:t>t</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总产生量为0.0</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rPr>
              <w:t>。施工结束后沾染了</w:t>
            </w:r>
            <w:r>
              <w:rPr>
                <w:rFonts w:hint="default" w:ascii="Times New Roman" w:hAnsi="Times New Roman" w:eastAsia="宋体" w:cs="Times New Roman"/>
                <w:color w:val="auto"/>
                <w:sz w:val="24"/>
                <w:lang w:val="en-US" w:eastAsia="zh-CN"/>
              </w:rPr>
              <w:t>油类物质的</w:t>
            </w:r>
            <w:r>
              <w:rPr>
                <w:rFonts w:hint="default" w:ascii="Times New Roman" w:hAnsi="Times New Roman" w:cs="Times New Roman"/>
                <w:color w:val="auto"/>
                <w:sz w:val="24"/>
              </w:rPr>
              <w:t>的废防渗布作为危险废物委托有资质单位外运处置。</w:t>
            </w:r>
          </w:p>
          <w:p w14:paraId="5EC2A4E3">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项目固体废物产生与处置措施表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500"/>
              <w:gridCol w:w="1202"/>
              <w:gridCol w:w="1137"/>
              <w:gridCol w:w="1382"/>
              <w:gridCol w:w="2751"/>
            </w:tblGrid>
            <w:tr w14:paraId="1FC7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6E87742">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859" w:type="pct"/>
                  <w:vAlign w:val="center"/>
                </w:tcPr>
                <w:p w14:paraId="35879487">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固废种类</w:t>
                  </w:r>
                </w:p>
              </w:tc>
              <w:tc>
                <w:tcPr>
                  <w:tcW w:w="688" w:type="pct"/>
                  <w:vAlign w:val="center"/>
                </w:tcPr>
                <w:p w14:paraId="57C717E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产生量（t）</w:t>
                  </w:r>
                </w:p>
              </w:tc>
              <w:tc>
                <w:tcPr>
                  <w:tcW w:w="651" w:type="pct"/>
                  <w:vAlign w:val="center"/>
                </w:tcPr>
                <w:p w14:paraId="67A7958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性质</w:t>
                  </w:r>
                </w:p>
              </w:tc>
              <w:tc>
                <w:tcPr>
                  <w:tcW w:w="791" w:type="pct"/>
                  <w:vAlign w:val="center"/>
                </w:tcPr>
                <w:p w14:paraId="21C03BA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代码</w:t>
                  </w:r>
                </w:p>
              </w:tc>
              <w:tc>
                <w:tcPr>
                  <w:tcW w:w="1575" w:type="pct"/>
                  <w:vAlign w:val="center"/>
                </w:tcPr>
                <w:p w14:paraId="4F7A061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处置措施</w:t>
                  </w:r>
                </w:p>
              </w:tc>
            </w:tr>
            <w:tr w14:paraId="65E8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693056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859" w:type="pct"/>
                  <w:vAlign w:val="center"/>
                </w:tcPr>
                <w:p w14:paraId="64B7F7E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泥浆</w:t>
                  </w:r>
                </w:p>
              </w:tc>
              <w:tc>
                <w:tcPr>
                  <w:tcW w:w="688" w:type="pct"/>
                  <w:vAlign w:val="center"/>
                </w:tcPr>
                <w:p w14:paraId="7F3F02A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106.17</w:t>
                  </w:r>
                </w:p>
              </w:tc>
              <w:tc>
                <w:tcPr>
                  <w:tcW w:w="651" w:type="pct"/>
                  <w:vAlign w:val="center"/>
                </w:tcPr>
                <w:p w14:paraId="7243441C">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51EEBDEF">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SW12</w:t>
                  </w:r>
                </w:p>
                <w:p w14:paraId="7E9421D4">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072-001-S12</w:t>
                  </w:r>
                </w:p>
              </w:tc>
              <w:tc>
                <w:tcPr>
                  <w:tcW w:w="1575" w:type="pct"/>
                  <w:vMerge w:val="restart"/>
                  <w:vAlign w:val="center"/>
                </w:tcPr>
                <w:p w14:paraId="00A8450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交陕西德禾鑫盛环保科技有限公司</w:t>
                  </w:r>
                  <w:r>
                    <w:rPr>
                      <w:rFonts w:hint="default" w:ascii="Times New Roman" w:hAnsi="Times New Roman" w:cs="Times New Roman"/>
                      <w:color w:val="auto"/>
                      <w:sz w:val="21"/>
                      <w:szCs w:val="21"/>
                      <w:lang w:val="en-US" w:eastAsia="zh-CN"/>
                    </w:rPr>
                    <w:t>处置</w:t>
                  </w:r>
                </w:p>
              </w:tc>
            </w:tr>
            <w:tr w14:paraId="238B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456A3F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859" w:type="pct"/>
                  <w:vAlign w:val="center"/>
                </w:tcPr>
                <w:p w14:paraId="765F8A2F">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钻井岩屑</w:t>
                  </w:r>
                </w:p>
              </w:tc>
              <w:tc>
                <w:tcPr>
                  <w:tcW w:w="688" w:type="pct"/>
                  <w:vAlign w:val="center"/>
                </w:tcPr>
                <w:p w14:paraId="279524C4">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3017.62</w:t>
                  </w:r>
                </w:p>
              </w:tc>
              <w:tc>
                <w:tcPr>
                  <w:tcW w:w="651" w:type="pct"/>
                  <w:vAlign w:val="center"/>
                </w:tcPr>
                <w:p w14:paraId="161F7972">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73315DC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SW12 072-001-S12</w:t>
                  </w:r>
                </w:p>
              </w:tc>
              <w:tc>
                <w:tcPr>
                  <w:tcW w:w="1575" w:type="pct"/>
                  <w:vMerge w:val="continue"/>
                  <w:vAlign w:val="center"/>
                </w:tcPr>
                <w:p w14:paraId="724A7EC0">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4AEF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EDEEAF9">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859" w:type="pct"/>
                  <w:vAlign w:val="center"/>
                </w:tcPr>
                <w:p w14:paraId="13A8967F">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废纯碱、膨润土包装袋</w:t>
                  </w:r>
                  <w:r>
                    <w:rPr>
                      <w:rFonts w:hint="eastAsia" w:ascii="Times New Roman" w:hAnsi="Times New Roman" w:eastAsia="宋体" w:cs="Times New Roman"/>
                      <w:b w:val="0"/>
                      <w:bCs w:val="0"/>
                      <w:color w:val="auto"/>
                      <w:sz w:val="21"/>
                      <w:szCs w:val="21"/>
                      <w:vertAlign w:val="baseline"/>
                      <w:lang w:val="en-US" w:eastAsia="zh-CN"/>
                    </w:rPr>
                    <w:t>、不含油废防渗布</w:t>
                  </w:r>
                </w:p>
              </w:tc>
              <w:tc>
                <w:tcPr>
                  <w:tcW w:w="688" w:type="pct"/>
                  <w:vAlign w:val="center"/>
                </w:tcPr>
                <w:p w14:paraId="5AABEB2A">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0.12</w:t>
                  </w:r>
                </w:p>
              </w:tc>
              <w:tc>
                <w:tcPr>
                  <w:tcW w:w="651" w:type="pct"/>
                  <w:vAlign w:val="center"/>
                </w:tcPr>
                <w:p w14:paraId="6A41A56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068C489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SW17 900-099-S17</w:t>
                  </w:r>
                </w:p>
              </w:tc>
              <w:tc>
                <w:tcPr>
                  <w:tcW w:w="1575" w:type="pct"/>
                  <w:vAlign w:val="center"/>
                </w:tcPr>
                <w:p w14:paraId="5F4ABABD">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回收</w:t>
                  </w:r>
                  <w:r>
                    <w:rPr>
                      <w:rFonts w:hint="eastAsia" w:ascii="Times New Roman" w:hAnsi="Times New Roman" w:cs="Times New Roman"/>
                      <w:color w:val="auto"/>
                      <w:sz w:val="21"/>
                      <w:szCs w:val="21"/>
                      <w:lang w:val="en-US" w:eastAsia="zh-CN"/>
                    </w:rPr>
                    <w:t>后</w:t>
                  </w:r>
                  <w:r>
                    <w:rPr>
                      <w:rFonts w:hint="default" w:ascii="Times New Roman" w:hAnsi="Times New Roman" w:cs="Times New Roman"/>
                      <w:color w:val="auto"/>
                      <w:sz w:val="21"/>
                      <w:szCs w:val="21"/>
                      <w:lang w:val="en-US" w:eastAsia="zh-CN"/>
                    </w:rPr>
                    <w:t>综合利用</w:t>
                  </w:r>
                </w:p>
              </w:tc>
            </w:tr>
            <w:tr w14:paraId="02F6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7752800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859" w:type="pct"/>
                  <w:vAlign w:val="center"/>
                </w:tcPr>
                <w:p w14:paraId="286CFCF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688" w:type="pct"/>
                  <w:vAlign w:val="center"/>
                </w:tcPr>
                <w:p w14:paraId="55EC4EE8">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5.25</w:t>
                  </w:r>
                </w:p>
              </w:tc>
              <w:tc>
                <w:tcPr>
                  <w:tcW w:w="651" w:type="pct"/>
                  <w:vAlign w:val="center"/>
                </w:tcPr>
                <w:p w14:paraId="5A14E7E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5BE94FB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SW64 900-099-S64</w:t>
                  </w:r>
                </w:p>
              </w:tc>
              <w:tc>
                <w:tcPr>
                  <w:tcW w:w="1575" w:type="pct"/>
                  <w:vAlign w:val="center"/>
                </w:tcPr>
                <w:p w14:paraId="7A6D91C3">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施工结束后送附近垃圾中转站，由当地环卫部门统一拉运处置</w:t>
                  </w:r>
                </w:p>
              </w:tc>
            </w:tr>
            <w:tr w14:paraId="57E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D14912C">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859" w:type="pct"/>
                  <w:vAlign w:val="center"/>
                </w:tcPr>
                <w:p w14:paraId="7C031BC2">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废机油</w:t>
                  </w:r>
                </w:p>
              </w:tc>
              <w:tc>
                <w:tcPr>
                  <w:tcW w:w="688" w:type="pct"/>
                  <w:vAlign w:val="center"/>
                </w:tcPr>
                <w:p w14:paraId="78059AF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0.24</w:t>
                  </w:r>
                </w:p>
              </w:tc>
              <w:tc>
                <w:tcPr>
                  <w:tcW w:w="651" w:type="pct"/>
                  <w:vAlign w:val="center"/>
                </w:tcPr>
                <w:p w14:paraId="71AD3B7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53CD07B6">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p w14:paraId="6FE27A9F">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900-214-08</w:t>
                  </w:r>
                </w:p>
              </w:tc>
              <w:tc>
                <w:tcPr>
                  <w:tcW w:w="1575" w:type="pct"/>
                  <w:vAlign w:val="center"/>
                </w:tcPr>
                <w:p w14:paraId="7F1B93C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r w14:paraId="124A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29B9E17">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859" w:type="pct"/>
                  <w:vAlign w:val="center"/>
                </w:tcPr>
                <w:p w14:paraId="5241A06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废弃防渗膜</w:t>
                  </w:r>
                </w:p>
              </w:tc>
              <w:tc>
                <w:tcPr>
                  <w:tcW w:w="688" w:type="pct"/>
                  <w:vAlign w:val="center"/>
                </w:tcPr>
                <w:p w14:paraId="729CA5EF">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w:t>
                  </w:r>
                  <w:r>
                    <w:rPr>
                      <w:rFonts w:hint="eastAsia" w:ascii="Times New Roman" w:hAnsi="Times New Roman" w:eastAsia="宋体" w:cs="Times New Roman"/>
                      <w:b w:val="0"/>
                      <w:bCs w:val="0"/>
                      <w:color w:val="auto"/>
                      <w:sz w:val="21"/>
                      <w:szCs w:val="21"/>
                      <w:vertAlign w:val="baseline"/>
                      <w:lang w:val="en-US" w:eastAsia="zh-CN"/>
                    </w:rPr>
                    <w:t>3</w:t>
                  </w:r>
                </w:p>
              </w:tc>
              <w:tc>
                <w:tcPr>
                  <w:tcW w:w="651" w:type="pct"/>
                  <w:vAlign w:val="center"/>
                </w:tcPr>
                <w:p w14:paraId="2DDD9E6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4A1858FE">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p w14:paraId="380CA7B4">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900-041-49</w:t>
                  </w:r>
                </w:p>
              </w:tc>
              <w:tc>
                <w:tcPr>
                  <w:tcW w:w="1575" w:type="pct"/>
                  <w:vAlign w:val="center"/>
                </w:tcPr>
                <w:p w14:paraId="7937AA89">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bl>
          <w:p w14:paraId="55A382D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10</w:t>
            </w:r>
            <w:r>
              <w:rPr>
                <w:rFonts w:hint="default" w:ascii="Times New Roman" w:hAnsi="Times New Roman" w:eastAsia="宋体" w:cs="Times New Roman"/>
                <w:b/>
                <w:bCs/>
                <w:color w:val="auto"/>
                <w:sz w:val="21"/>
                <w:szCs w:val="21"/>
                <w:vertAlign w:val="baseline"/>
                <w:lang w:val="en-US" w:eastAsia="zh-CN"/>
              </w:rPr>
              <w:t xml:space="preserve">  危险废物产生情况一览表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5"/>
              <w:gridCol w:w="1116"/>
              <w:gridCol w:w="922"/>
              <w:gridCol w:w="1184"/>
              <w:gridCol w:w="795"/>
              <w:gridCol w:w="912"/>
              <w:gridCol w:w="494"/>
              <w:gridCol w:w="505"/>
              <w:gridCol w:w="707"/>
              <w:gridCol w:w="455"/>
              <w:gridCol w:w="1189"/>
            </w:tblGrid>
            <w:tr w14:paraId="7AEE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2DE26B1D">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639" w:type="pct"/>
                  <w:noWrap w:val="0"/>
                  <w:vAlign w:val="center"/>
                </w:tcPr>
                <w:p w14:paraId="0E96D3AA">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危险废物名称</w:t>
                  </w:r>
                </w:p>
              </w:tc>
              <w:tc>
                <w:tcPr>
                  <w:tcW w:w="528" w:type="pct"/>
                  <w:noWrap w:val="0"/>
                  <w:vAlign w:val="center"/>
                </w:tcPr>
                <w:p w14:paraId="7BF38445">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w:t>
                  </w:r>
                </w:p>
                <w:p w14:paraId="47892C61">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类别</w:t>
                  </w:r>
                </w:p>
              </w:tc>
              <w:tc>
                <w:tcPr>
                  <w:tcW w:w="678" w:type="pct"/>
                  <w:noWrap w:val="0"/>
                  <w:vAlign w:val="center"/>
                </w:tcPr>
                <w:p w14:paraId="632720E9">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危险废物代码</w:t>
                  </w:r>
                </w:p>
              </w:tc>
              <w:tc>
                <w:tcPr>
                  <w:tcW w:w="455" w:type="pct"/>
                  <w:noWrap w:val="0"/>
                  <w:vAlign w:val="center"/>
                </w:tcPr>
                <w:p w14:paraId="65F526A3">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522" w:type="pct"/>
                  <w:noWrap w:val="0"/>
                  <w:vAlign w:val="center"/>
                </w:tcPr>
                <w:p w14:paraId="180FD043">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产生工序及装置</w:t>
                  </w:r>
                </w:p>
              </w:tc>
              <w:tc>
                <w:tcPr>
                  <w:tcW w:w="283" w:type="pct"/>
                  <w:noWrap w:val="0"/>
                  <w:vAlign w:val="center"/>
                </w:tcPr>
                <w:p w14:paraId="10F76B59">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289" w:type="pct"/>
                  <w:noWrap w:val="0"/>
                  <w:vAlign w:val="center"/>
                </w:tcPr>
                <w:p w14:paraId="470D8AA4">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主要成分</w:t>
                  </w:r>
                </w:p>
              </w:tc>
              <w:tc>
                <w:tcPr>
                  <w:tcW w:w="405" w:type="pct"/>
                  <w:noWrap w:val="0"/>
                  <w:vAlign w:val="center"/>
                </w:tcPr>
                <w:p w14:paraId="5996138F">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产废</w:t>
                  </w:r>
                </w:p>
                <w:p w14:paraId="237E8C20">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周期</w:t>
                  </w:r>
                </w:p>
              </w:tc>
              <w:tc>
                <w:tcPr>
                  <w:tcW w:w="260" w:type="pct"/>
                  <w:noWrap w:val="0"/>
                  <w:vAlign w:val="center"/>
                </w:tcPr>
                <w:p w14:paraId="0590B9EB">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危险特性</w:t>
                  </w:r>
                </w:p>
              </w:tc>
              <w:tc>
                <w:tcPr>
                  <w:tcW w:w="680" w:type="pct"/>
                  <w:noWrap w:val="0"/>
                  <w:vAlign w:val="top"/>
                </w:tcPr>
                <w:p w14:paraId="4C0F0044">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污染防治措施</w:t>
                  </w:r>
                </w:p>
              </w:tc>
            </w:tr>
            <w:tr w14:paraId="69B4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639BA8AC">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39" w:type="pct"/>
                  <w:noWrap w:val="0"/>
                  <w:vAlign w:val="top"/>
                </w:tcPr>
                <w:p w14:paraId="34131328">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废机油</w:t>
                  </w:r>
                </w:p>
              </w:tc>
              <w:tc>
                <w:tcPr>
                  <w:tcW w:w="528" w:type="pct"/>
                  <w:noWrap w:val="0"/>
                  <w:vAlign w:val="center"/>
                </w:tcPr>
                <w:p w14:paraId="770719BD">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tc>
              <w:tc>
                <w:tcPr>
                  <w:tcW w:w="678" w:type="pct"/>
                  <w:noWrap w:val="0"/>
                  <w:vAlign w:val="center"/>
                </w:tcPr>
                <w:p w14:paraId="6DF36E80">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900-214-08</w:t>
                  </w:r>
                </w:p>
              </w:tc>
              <w:tc>
                <w:tcPr>
                  <w:tcW w:w="455" w:type="pct"/>
                  <w:noWrap w:val="0"/>
                  <w:vAlign w:val="center"/>
                </w:tcPr>
                <w:p w14:paraId="2DFEF07D">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green"/>
                      <w:lang w:val="en-US" w:eastAsia="zh-CN"/>
                    </w:rPr>
                  </w:pPr>
                  <w:r>
                    <w:rPr>
                      <w:rFonts w:hint="eastAsia" w:ascii="Times New Roman" w:hAnsi="Times New Roman" w:cs="Times New Roman"/>
                      <w:color w:val="auto"/>
                      <w:sz w:val="21"/>
                      <w:szCs w:val="21"/>
                      <w:highlight w:val="none"/>
                      <w:lang w:val="en-US" w:eastAsia="zh-CN"/>
                    </w:rPr>
                    <w:t>0.24</w:t>
                  </w:r>
                  <w:r>
                    <w:rPr>
                      <w:rFonts w:hint="default" w:ascii="Times New Roman" w:hAnsi="Times New Roman" w:cs="Times New Roman"/>
                      <w:color w:val="auto"/>
                      <w:sz w:val="21"/>
                      <w:szCs w:val="21"/>
                      <w:highlight w:val="none"/>
                      <w:lang w:val="en-US" w:eastAsia="zh-CN"/>
                    </w:rPr>
                    <w:t>t</w:t>
                  </w:r>
                </w:p>
              </w:tc>
              <w:tc>
                <w:tcPr>
                  <w:tcW w:w="522" w:type="pct"/>
                  <w:noWrap w:val="0"/>
                  <w:vAlign w:val="center"/>
                </w:tcPr>
                <w:p w14:paraId="6E20616B">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283" w:type="pct"/>
                  <w:noWrap w:val="0"/>
                  <w:vAlign w:val="center"/>
                </w:tcPr>
                <w:p w14:paraId="52AD03D6">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289" w:type="pct"/>
                  <w:noWrap w:val="0"/>
                  <w:vAlign w:val="center"/>
                </w:tcPr>
                <w:p w14:paraId="3CD713D1">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405" w:type="pct"/>
                  <w:noWrap w:val="0"/>
                  <w:vAlign w:val="center"/>
                </w:tcPr>
                <w:p w14:paraId="19D9B564">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260" w:type="pct"/>
                  <w:noWrap w:val="0"/>
                  <w:vAlign w:val="center"/>
                </w:tcPr>
                <w:p w14:paraId="06DBA149">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w:t>
                  </w:r>
                </w:p>
              </w:tc>
              <w:tc>
                <w:tcPr>
                  <w:tcW w:w="680" w:type="pct"/>
                  <w:vMerge w:val="restart"/>
                  <w:noWrap w:val="0"/>
                  <w:vAlign w:val="top"/>
                </w:tcPr>
                <w:p w14:paraId="58F1ECFB">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专用容器收集，待钻井结束后全部委托有资质单位拉运处置</w:t>
                  </w:r>
                </w:p>
              </w:tc>
            </w:tr>
            <w:tr w14:paraId="621B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5B97F0C4">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639" w:type="pct"/>
                  <w:noWrap w:val="0"/>
                  <w:vAlign w:val="center"/>
                </w:tcPr>
                <w:p w14:paraId="4509F614">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含油废防渗布</w:t>
                  </w:r>
                </w:p>
              </w:tc>
              <w:tc>
                <w:tcPr>
                  <w:tcW w:w="528" w:type="pct"/>
                  <w:noWrap w:val="0"/>
                  <w:vAlign w:val="center"/>
                </w:tcPr>
                <w:p w14:paraId="03E3B4C3">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tc>
              <w:tc>
                <w:tcPr>
                  <w:tcW w:w="678" w:type="pct"/>
                  <w:noWrap w:val="0"/>
                  <w:vAlign w:val="center"/>
                </w:tcPr>
                <w:p w14:paraId="29B5E91D">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900-041-49</w:t>
                  </w:r>
                </w:p>
              </w:tc>
              <w:tc>
                <w:tcPr>
                  <w:tcW w:w="455" w:type="pct"/>
                  <w:noWrap w:val="0"/>
                  <w:vAlign w:val="center"/>
                </w:tcPr>
                <w:p w14:paraId="207F51EF">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0.03t</w:t>
                  </w:r>
                </w:p>
              </w:tc>
              <w:tc>
                <w:tcPr>
                  <w:tcW w:w="522" w:type="pct"/>
                  <w:noWrap w:val="0"/>
                  <w:vAlign w:val="center"/>
                </w:tcPr>
                <w:p w14:paraId="6E7B65B7">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283" w:type="pct"/>
                  <w:noWrap w:val="0"/>
                  <w:vAlign w:val="center"/>
                </w:tcPr>
                <w:p w14:paraId="3BFA8388">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289" w:type="pct"/>
                  <w:noWrap w:val="0"/>
                  <w:vAlign w:val="center"/>
                </w:tcPr>
                <w:p w14:paraId="258D202D">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405" w:type="pct"/>
                  <w:noWrap w:val="0"/>
                  <w:vAlign w:val="center"/>
                </w:tcPr>
                <w:p w14:paraId="1CA0F6CC">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260" w:type="pct"/>
                  <w:noWrap w:val="0"/>
                  <w:vAlign w:val="center"/>
                </w:tcPr>
                <w:p w14:paraId="4A13B1D4">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680" w:type="pct"/>
                  <w:vMerge w:val="continue"/>
                  <w:noWrap w:val="0"/>
                  <w:vAlign w:val="top"/>
                </w:tcPr>
                <w:p w14:paraId="2C46CC33">
                  <w:pPr>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p>
              </w:tc>
            </w:tr>
          </w:tbl>
          <w:p w14:paraId="4E941FCA">
            <w:pPr>
              <w:keepNext/>
              <w:keepLines/>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评价要求建设单位做好施工期固体废物管理工作，一般固体废物及危险废物均记录台账并妥善保管，台账包括废物名称、产生时间、产生量、储存位置、储存方式、转移时间、转移单位等信息，确保施工期各类固体废物全部得到妥善处置。</w:t>
            </w:r>
          </w:p>
          <w:p w14:paraId="5F8EC655">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七</w:t>
            </w:r>
            <w:r>
              <w:rPr>
                <w:rFonts w:hint="default" w:ascii="Times New Roman" w:hAnsi="Times New Roman" w:eastAsia="宋体" w:cs="Times New Roman"/>
                <w:b/>
                <w:bCs/>
                <w:color w:val="auto"/>
                <w:sz w:val="24"/>
                <w:szCs w:val="24"/>
                <w:vertAlign w:val="baseline"/>
                <w:lang w:val="en-US" w:eastAsia="zh-CN"/>
              </w:rPr>
              <w:t>、土壤环境影响分析</w:t>
            </w:r>
          </w:p>
          <w:p w14:paraId="4483E4C4">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前工程期间的开挖和填埋行为将会破坏土壤结构。对场地平整产生的剥离表层土，在井场的临时土石方堆存点集中临时堆放，完井后用于场地复垦用土。剥离表层土临时堆场地设置截排水沟等严格的水保措施防止水土流失。通井场地面采用碎石和混凝土敷设，有效保护占地原表层土壤。完井后，随着生态保护措施的进行，井场对土壤的影响将得到尽快恢复。项目对土壤环境的影响主要表现为对土壤性质、土壤肥力的影响以及土壤污染三个方面。</w:t>
            </w:r>
          </w:p>
          <w:p w14:paraId="5D206FA1">
            <w:pPr>
              <w:pStyle w:val="28"/>
              <w:keepNext/>
              <w:keepLines/>
              <w:pageBreakBefore w:val="0"/>
              <w:widowControl w:val="0"/>
              <w:kinsoku/>
              <w:wordWrap/>
              <w:overflowPunct/>
              <w:topLinePunct w:val="0"/>
              <w:autoSpaceDE/>
              <w:autoSpaceDN/>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（1）土壤性质影响</w:t>
            </w:r>
          </w:p>
          <w:p w14:paraId="29E38E84">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钻井前会对井场进行场地的清理，土石方开挖、堆放、回填以及材料堆放、人工践踏、机械设备碾压等活动都将对土壤理化性质产生影响。</w:t>
            </w:r>
          </w:p>
          <w:p w14:paraId="5ED4650F">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①扰乱土壤耕作层，破坏土壤耕层结构</w:t>
            </w:r>
          </w:p>
          <w:p w14:paraId="411C282E">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表开挖必定扰乱和破坏土壤耕作层，这种扰乱和破坏，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14:paraId="5E3CC65E">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②混合土壤层次，改变土体构型</w:t>
            </w:r>
          </w:p>
          <w:p w14:paraId="10BC88A6">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在形成过程中，由于物质和能量长期垂直分异，形成质地、结构、性质和厚度差异明显的土壤剖面构型。项目的土石方的开挖与回填，使原土壤层次混合，原土体构型破坏。土体构型的破坏，将改变土体中物质和能量的运动变化规律，使表层通气透水性变差，使亚表层保水、保肥性能降低，造成对植物的生长、发育及其产量影响。</w:t>
            </w:r>
          </w:p>
          <w:p w14:paraId="1EE44854">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③影响土壤紧实度</w:t>
            </w:r>
          </w:p>
          <w:p w14:paraId="3F69DD69">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土壤在自重作用下，形成上松下紧的土壤紧实度垂直差异。施工过程中的机械碾压，尤其在坡度较大的地段，甚至进行掺灰固结，这种碾压或固结，将大大改变土壤的紧实程度，与原有的上松下紧结构相比，极不利于土壤的通气、透水作用，影响植被生长，甚至导致压实地表寸草不生，形成局部人工荒漠现象。</w:t>
            </w:r>
          </w:p>
          <w:p w14:paraId="0075D157">
            <w:pPr>
              <w:pStyle w:val="28"/>
              <w:keepNext/>
              <w:keepLines/>
              <w:pageBreakBefore w:val="0"/>
              <w:widowControl w:val="0"/>
              <w:kinsoku/>
              <w:wordWrap/>
              <w:overflowPunct/>
              <w:topLinePunct w:val="0"/>
              <w:autoSpaceDE/>
              <w:autoSpaceDN/>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（2）土壤肥力影响</w:t>
            </w:r>
          </w:p>
          <w:p w14:paraId="30231EE3">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中的有机质、氮、磷、钾等养分含量，均表现为表土层远高于心土层；在土壤肥力其它方面如紧实度、空隙性、适耕性、团粒结构含量等，也都表现为表土层优于心土层。施工期土石方的开挖与回填，将扰动甚至打乱原土体构型，使土壤养分、水分含量及肥力状况受到较大的影响，影响植被正常生长。因此在土石方开挖、回填过程中，必须严格对表层土实行分层堆放和分层回填。</w:t>
            </w:r>
          </w:p>
          <w:p w14:paraId="77A337D5">
            <w:pPr>
              <w:pStyle w:val="28"/>
              <w:keepNext/>
              <w:keepLines/>
              <w:pageBreakBefore w:val="0"/>
              <w:widowControl w:val="0"/>
              <w:kinsoku/>
              <w:wordWrap/>
              <w:overflowPunct/>
              <w:topLinePunct w:val="0"/>
              <w:autoSpaceDE/>
              <w:autoSpaceDN/>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（3）土壤污染影响</w:t>
            </w:r>
          </w:p>
          <w:p w14:paraId="1BC004A5">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本项目为天然气勘探工程，不会导致场地土壤的盐化、碱化、酸化等，可能对土壤产生的影响主要为施工过程涉及的油类物质、钻井液、压裂液及其他原辅材料发生泄露通过地面漫流和垂直入渗的方式污染土壤。</w:t>
            </w:r>
          </w:p>
          <w:p w14:paraId="71D39E5A">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减少本项目施工对土壤环境的影响，钻井工作区、泥浆不落地系统区、钻井液材料房、储罐区等采取重点防渗措施，地面底部利用机械将衬层压实，废液、固废储罐四周设置围堰，围堰内地面连同四周围堰整体铺设防渗材料（HDPE膜，</w:t>
            </w:r>
            <w:r>
              <w:rPr>
                <w:rFonts w:hint="eastAsia" w:ascii="Times New Roman" w:hAnsi="Times New Roman" w:cs="Times New Roman"/>
                <w:color w:val="auto"/>
                <w:lang w:val="en-US" w:eastAsia="zh-CN"/>
              </w:rPr>
              <w:t>双层</w:t>
            </w:r>
            <w:r>
              <w:rPr>
                <w:rFonts w:hint="default" w:ascii="Times New Roman" w:hAnsi="Times New Roman" w:cs="Times New Roman"/>
                <w:color w:val="auto"/>
                <w:lang w:val="en-US" w:eastAsia="zh-CN"/>
              </w:rPr>
              <w:t>），等效黏土防渗层Mb≥6.0m，K≤1×10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cm/s，HDPE膜敷设面积应适当扩大，覆盖围堰区外延1.0m范围；采用撬装式危废</w:t>
            </w:r>
            <w:r>
              <w:rPr>
                <w:rFonts w:hint="eastAsia" w:ascii="Times New Roman" w:hAnsi="Times New Roman" w:cs="Times New Roman"/>
                <w:color w:val="auto"/>
                <w:lang w:val="en-US" w:eastAsia="zh-CN"/>
              </w:rPr>
              <w:t>贮存库</w:t>
            </w:r>
            <w:r>
              <w:rPr>
                <w:rFonts w:hint="default" w:ascii="Times New Roman" w:hAnsi="Times New Roman" w:cs="Times New Roman"/>
                <w:color w:val="auto"/>
                <w:lang w:val="en-US" w:eastAsia="zh-CN"/>
              </w:rPr>
              <w:t>，渗透系数小于1×10</w:t>
            </w:r>
            <w:r>
              <w:rPr>
                <w:rFonts w:hint="default" w:ascii="Times New Roman" w:hAnsi="Times New Roman" w:cs="Times New Roman"/>
                <w:color w:val="auto"/>
                <w:vertAlign w:val="superscript"/>
                <w:lang w:val="en-US" w:eastAsia="zh-CN"/>
              </w:rPr>
              <w:t>-10</w:t>
            </w:r>
            <w:r>
              <w:rPr>
                <w:rFonts w:hint="default" w:ascii="Times New Roman" w:hAnsi="Times New Roman" w:cs="Times New Roman"/>
                <w:color w:val="auto"/>
                <w:lang w:val="en-US" w:eastAsia="zh-CN"/>
              </w:rPr>
              <w:t>cm/s。设置防渗防雨的应急罐，用于随钻不落地回收系统出现事故时，临时存放钻井泥浆和岩屑，避免钻井泥浆外泄。</w:t>
            </w:r>
          </w:p>
          <w:p w14:paraId="7EBA1C90">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根据《陕西省煤炭石油天然气开发生态环境保护条例》（2019年9月27日修订）中“第三十一条 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的要求，本次评价提出如下要求：</w:t>
            </w:r>
          </w:p>
          <w:p w14:paraId="73104111">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在钻井、压裂、固井、试井过程中造成探井场地及周边土壤污染的，以及出现其他造成土壤污染情形的，应立即按照规定开展土壤污染状况调查、风险评估，实施风险管控和修复。</w:t>
            </w:r>
          </w:p>
          <w:p w14:paraId="1C3399AC">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综上，由于项目占地均为临时占地，占地规模小，施工期短，施工结束后即恢复原有土地利用类型，不改变原有土地性质，且对井场重点区域进行防渗处理，因此对土壤环境影响较小。</w:t>
            </w:r>
          </w:p>
          <w:p w14:paraId="05F62A81">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八</w:t>
            </w:r>
            <w:r>
              <w:rPr>
                <w:rFonts w:hint="default" w:ascii="Times New Roman" w:hAnsi="Times New Roman" w:eastAsia="宋体" w:cs="Times New Roman"/>
                <w:b/>
                <w:bCs/>
                <w:color w:val="auto"/>
                <w:sz w:val="24"/>
                <w:szCs w:val="24"/>
                <w:vertAlign w:val="baseline"/>
                <w:lang w:val="en-US" w:eastAsia="zh-CN"/>
              </w:rPr>
              <w:t>、环境风险影响分析</w:t>
            </w:r>
          </w:p>
          <w:p w14:paraId="5C153E4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天然气勘探作业是多专业工种的野外作业，由于地下情况复杂，钻井作业隐藏着对环境的多种不安全因素，钻井作业可能出现的环境事故主要为洗井废水、压裂返排液泄漏以及井喷。</w:t>
            </w:r>
          </w:p>
          <w:p w14:paraId="25E4E53E">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（1）风险物质调查</w:t>
            </w:r>
          </w:p>
          <w:p w14:paraId="0AFEEBE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本项目涉及到的物料主要有钻井过程地层中可能出现的天然气（CH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油、钻井液（及其主要添加剂纯碱、烧碱、乳化石蜡、重晶石粉等）、压裂返排液（及压裂液主要添加剂胍胶、氯化钾、氢氧化钠等）等，其中钻井液和压裂液的添加剂不属于危险物质，钻井液和压裂返排液主要成分为有机物类、无机盐类，均为无害物质，因此项目涉及的危险物质主要为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）、设备维修保养产生的废机油，在输运及贮存过程中均存在一定危险有害性。</w:t>
            </w:r>
          </w:p>
          <w:p w14:paraId="3C14BB08">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（2）环境风险及环境影响途径识别</w:t>
            </w:r>
          </w:p>
          <w:p w14:paraId="42742B5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勘探井开发过程环境风险事故中，影响范围较广的风险事故主要为井喷及井喷引起天然气（CH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）泄漏，可能影响环境的途径主要是井喷泄漏直接进入大气环境引发中毒，或天然气泄漏发生火灾爆炸事故时伴生污染物进入大气环境，通过大气扩散对项目周围环境造成危害，天然气（CH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）主要分布在钻井区域、天然气管道等处；废油主要分布在危废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，可能影响环境的途径主要是油类物质泄露通过井场地面下渗至地下含水层并向下游迁移，对下游地下水环境造成污染事故，或油类泄漏发生火灾事故时伴生污染物进入大气环境，造成周围大气环境污染事故。</w:t>
            </w:r>
          </w:p>
          <w:p w14:paraId="46782557">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项目危险物质分布及环境影响途径见表4-</w:t>
            </w:r>
            <w:r>
              <w:rPr>
                <w:rFonts w:hint="eastAsia" w:ascii="Times New Roman" w:hAnsi="Times New Roman" w:eastAsia="宋体" w:cs="Times New Roman"/>
                <w:b w:val="0"/>
                <w:bCs w:val="0"/>
                <w:color w:val="auto"/>
                <w:sz w:val="24"/>
                <w:szCs w:val="24"/>
                <w:vertAlign w:val="baseline"/>
                <w:lang w:val="en-US" w:eastAsia="zh-CN"/>
              </w:rPr>
              <w:t>11</w:t>
            </w:r>
            <w:r>
              <w:rPr>
                <w:rFonts w:hint="default" w:ascii="Times New Roman" w:hAnsi="Times New Roman" w:eastAsia="宋体" w:cs="Times New Roman"/>
                <w:b w:val="0"/>
                <w:bCs w:val="0"/>
                <w:color w:val="auto"/>
                <w:sz w:val="24"/>
                <w:szCs w:val="24"/>
                <w:vertAlign w:val="baseline"/>
                <w:lang w:val="en-US" w:eastAsia="zh-CN"/>
              </w:rPr>
              <w:t>。</w:t>
            </w:r>
          </w:p>
          <w:p w14:paraId="5CD1C9B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11</w:t>
            </w:r>
            <w:r>
              <w:rPr>
                <w:rFonts w:hint="default" w:ascii="Times New Roman" w:hAnsi="Times New Roman" w:eastAsia="宋体" w:cs="Times New Roman"/>
                <w:b/>
                <w:bCs/>
                <w:color w:val="auto"/>
                <w:sz w:val="21"/>
                <w:szCs w:val="21"/>
                <w:vertAlign w:val="baseline"/>
                <w:lang w:val="en-US" w:eastAsia="zh-CN"/>
              </w:rPr>
              <w:t xml:space="preserve">   项目环境风险及环境影响途径识别表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49"/>
              <w:gridCol w:w="1319"/>
              <w:gridCol w:w="1234"/>
              <w:gridCol w:w="1580"/>
              <w:gridCol w:w="1104"/>
              <w:gridCol w:w="1569"/>
            </w:tblGrid>
            <w:tr w14:paraId="5743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7022707C">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715" w:type="pct"/>
                  <w:vAlign w:val="center"/>
                </w:tcPr>
                <w:p w14:paraId="66C1716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危险物质</w:t>
                  </w:r>
                </w:p>
              </w:tc>
              <w:tc>
                <w:tcPr>
                  <w:tcW w:w="755" w:type="pct"/>
                  <w:vAlign w:val="center"/>
                </w:tcPr>
                <w:p w14:paraId="4E3A38B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风险单元</w:t>
                  </w:r>
                </w:p>
              </w:tc>
              <w:tc>
                <w:tcPr>
                  <w:tcW w:w="706" w:type="pct"/>
                  <w:vAlign w:val="center"/>
                </w:tcPr>
                <w:p w14:paraId="6710047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作业特点</w:t>
                  </w:r>
                </w:p>
              </w:tc>
              <w:tc>
                <w:tcPr>
                  <w:tcW w:w="904" w:type="pct"/>
                  <w:vAlign w:val="center"/>
                </w:tcPr>
                <w:p w14:paraId="4727EBAC">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环境风险类型</w:t>
                  </w:r>
                </w:p>
              </w:tc>
              <w:tc>
                <w:tcPr>
                  <w:tcW w:w="632" w:type="pct"/>
                  <w:vAlign w:val="center"/>
                </w:tcPr>
                <w:p w14:paraId="513163A5">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环境影响途径</w:t>
                  </w:r>
                </w:p>
              </w:tc>
              <w:tc>
                <w:tcPr>
                  <w:tcW w:w="898" w:type="pct"/>
                  <w:vAlign w:val="center"/>
                </w:tcPr>
                <w:p w14:paraId="73E5EA94">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可能受影响的环境敏感目标</w:t>
                  </w:r>
                </w:p>
              </w:tc>
            </w:tr>
            <w:tr w14:paraId="5917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0CB21A9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715" w:type="pct"/>
                  <w:vAlign w:val="center"/>
                </w:tcPr>
                <w:p w14:paraId="1852252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天然气（甲烷）</w:t>
                  </w:r>
                </w:p>
              </w:tc>
              <w:tc>
                <w:tcPr>
                  <w:tcW w:w="755" w:type="pct"/>
                  <w:vAlign w:val="center"/>
                </w:tcPr>
                <w:p w14:paraId="01E1435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钻井区域、天然气管道等处</w:t>
                  </w:r>
                </w:p>
              </w:tc>
              <w:tc>
                <w:tcPr>
                  <w:tcW w:w="706" w:type="pct"/>
                  <w:vAlign w:val="center"/>
                </w:tcPr>
                <w:p w14:paraId="7237D8A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Align w:val="center"/>
                </w:tcPr>
                <w:p w14:paraId="34B8AE6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394A538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69C2B8F7">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2CC4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vAlign w:val="center"/>
                </w:tcPr>
                <w:p w14:paraId="7B4EC7D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715" w:type="pct"/>
                  <w:vMerge w:val="restart"/>
                  <w:vAlign w:val="center"/>
                </w:tcPr>
                <w:p w14:paraId="5109BFC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w:t>
                  </w:r>
                </w:p>
              </w:tc>
              <w:tc>
                <w:tcPr>
                  <w:tcW w:w="755" w:type="pct"/>
                  <w:vMerge w:val="restart"/>
                  <w:vAlign w:val="center"/>
                </w:tcPr>
                <w:p w14:paraId="5AD8A4E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危废</w:t>
                  </w:r>
                  <w:r>
                    <w:rPr>
                      <w:rFonts w:hint="eastAsia" w:ascii="Times New Roman" w:hAnsi="Times New Roman" w:eastAsia="宋体" w:cs="Times New Roman"/>
                      <w:b w:val="0"/>
                      <w:bCs w:val="0"/>
                      <w:color w:val="auto"/>
                      <w:sz w:val="21"/>
                      <w:szCs w:val="21"/>
                      <w:vertAlign w:val="baseline"/>
                      <w:lang w:val="en-US" w:eastAsia="zh-CN"/>
                    </w:rPr>
                    <w:t>贮存库</w:t>
                  </w:r>
                </w:p>
              </w:tc>
              <w:tc>
                <w:tcPr>
                  <w:tcW w:w="706" w:type="pct"/>
                  <w:vMerge w:val="restart"/>
                  <w:vAlign w:val="center"/>
                </w:tcPr>
                <w:p w14:paraId="229C3E5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Merge w:val="restart"/>
                  <w:vAlign w:val="center"/>
                </w:tcPr>
                <w:p w14:paraId="5FB4439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733AAE31">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6FA77A35">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r>
            <w:tr w14:paraId="73B0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14:paraId="035A15D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15" w:type="pct"/>
                  <w:vMerge w:val="continue"/>
                  <w:vAlign w:val="center"/>
                </w:tcPr>
                <w:p w14:paraId="6C415FEF">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5" w:type="pct"/>
                  <w:vMerge w:val="continue"/>
                  <w:vAlign w:val="center"/>
                </w:tcPr>
                <w:p w14:paraId="0954A96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06" w:type="pct"/>
                  <w:vMerge w:val="continue"/>
                  <w:vAlign w:val="center"/>
                </w:tcPr>
                <w:p w14:paraId="78ED29E7">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04" w:type="pct"/>
                  <w:vMerge w:val="continue"/>
                  <w:vAlign w:val="center"/>
                </w:tcPr>
                <w:p w14:paraId="36B8940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32" w:type="pct"/>
                  <w:vAlign w:val="center"/>
                </w:tcPr>
                <w:p w14:paraId="1788F962">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地下水扩散</w:t>
                  </w:r>
                </w:p>
              </w:tc>
              <w:tc>
                <w:tcPr>
                  <w:tcW w:w="898" w:type="pct"/>
                  <w:vAlign w:val="center"/>
                </w:tcPr>
                <w:p w14:paraId="4A8DCB2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w:t>
                  </w:r>
                </w:p>
              </w:tc>
            </w:tr>
          </w:tbl>
          <w:p w14:paraId="056B508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p w14:paraId="561740E2">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p w14:paraId="1C51E8F5">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p w14:paraId="3126629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w:t>
            </w:r>
            <w:r>
              <w:rPr>
                <w:rFonts w:hint="eastAsia" w:ascii="Times New Roman" w:hAnsi="Times New Roman" w:eastAsia="宋体" w:cs="Times New Roman"/>
                <w:b/>
                <w:bCs/>
                <w:color w:val="auto"/>
                <w:sz w:val="21"/>
                <w:szCs w:val="21"/>
                <w:vertAlign w:val="baseline"/>
                <w:lang w:val="en-US" w:eastAsia="zh-CN"/>
              </w:rPr>
              <w:t>12</w:t>
            </w:r>
            <w:r>
              <w:rPr>
                <w:rFonts w:hint="default" w:ascii="Times New Roman" w:hAnsi="Times New Roman" w:eastAsia="宋体" w:cs="Times New Roman"/>
                <w:b/>
                <w:bCs/>
                <w:color w:val="auto"/>
                <w:sz w:val="21"/>
                <w:szCs w:val="21"/>
                <w:vertAlign w:val="baseline"/>
                <w:lang w:val="en-US" w:eastAsia="zh-CN"/>
              </w:rPr>
              <w:t xml:space="preserve">   项目危险化学品储存状况一览表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882"/>
              <w:gridCol w:w="1297"/>
              <w:gridCol w:w="1374"/>
              <w:gridCol w:w="1082"/>
              <w:gridCol w:w="1365"/>
              <w:gridCol w:w="1220"/>
            </w:tblGrid>
            <w:tr w14:paraId="5243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9" w:type="pct"/>
                  <w:noWrap w:val="0"/>
                  <w:vAlign w:val="center"/>
                </w:tcPr>
                <w:p w14:paraId="6B2DD745">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78" w:type="pct"/>
                  <w:noWrap w:val="0"/>
                  <w:vAlign w:val="center"/>
                </w:tcPr>
                <w:p w14:paraId="4785D800">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危险物质名称</w:t>
                  </w:r>
                </w:p>
              </w:tc>
              <w:tc>
                <w:tcPr>
                  <w:tcW w:w="742" w:type="pct"/>
                  <w:noWrap w:val="0"/>
                  <w:vAlign w:val="center"/>
                </w:tcPr>
                <w:p w14:paraId="7707E133">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CAS号</w:t>
                  </w:r>
                </w:p>
              </w:tc>
              <w:tc>
                <w:tcPr>
                  <w:tcW w:w="787" w:type="pct"/>
                  <w:noWrap w:val="0"/>
                  <w:vAlign w:val="center"/>
                </w:tcPr>
                <w:p w14:paraId="7E70909A">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厂区最大储存量(t)</w:t>
                  </w:r>
                </w:p>
              </w:tc>
              <w:tc>
                <w:tcPr>
                  <w:tcW w:w="620" w:type="pct"/>
                  <w:noWrap w:val="0"/>
                  <w:vAlign w:val="center"/>
                </w:tcPr>
                <w:p w14:paraId="4A86A335">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临界量（t）</w:t>
                  </w:r>
                </w:p>
              </w:tc>
              <w:tc>
                <w:tcPr>
                  <w:tcW w:w="781" w:type="pct"/>
                  <w:noWrap w:val="0"/>
                  <w:vAlign w:val="center"/>
                </w:tcPr>
                <w:p w14:paraId="3498C932">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该物质Q值</w:t>
                  </w:r>
                </w:p>
              </w:tc>
              <w:tc>
                <w:tcPr>
                  <w:tcW w:w="699" w:type="pct"/>
                  <w:noWrap w:val="0"/>
                  <w:vAlign w:val="center"/>
                </w:tcPr>
                <w:p w14:paraId="3961290B">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生产工艺特点</w:t>
                  </w:r>
                </w:p>
              </w:tc>
            </w:tr>
            <w:tr w14:paraId="78F0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5DA55136">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78" w:type="pct"/>
                  <w:noWrap w:val="0"/>
                  <w:vAlign w:val="center"/>
                </w:tcPr>
                <w:p w14:paraId="3D058462">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742" w:type="pct"/>
                  <w:noWrap w:val="0"/>
                  <w:vAlign w:val="center"/>
                </w:tcPr>
                <w:p w14:paraId="120410D4">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87" w:type="pct"/>
                  <w:noWrap w:val="0"/>
                  <w:vAlign w:val="center"/>
                </w:tcPr>
                <w:p w14:paraId="66FE4D69">
                  <w:pPr>
                    <w:pStyle w:val="32"/>
                    <w:keepNext/>
                    <w:keepLines/>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620" w:type="pct"/>
                  <w:noWrap w:val="0"/>
                  <w:vAlign w:val="center"/>
                </w:tcPr>
                <w:p w14:paraId="19C36D30">
                  <w:pPr>
                    <w:pStyle w:val="32"/>
                    <w:keepNext/>
                    <w:keepLines/>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781" w:type="pct"/>
                  <w:noWrap w:val="0"/>
                  <w:vAlign w:val="center"/>
                </w:tcPr>
                <w:p w14:paraId="2F4EE867">
                  <w:pPr>
                    <w:pStyle w:val="32"/>
                    <w:keepNext/>
                    <w:keepLines/>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c>
                <w:tcPr>
                  <w:tcW w:w="699" w:type="pct"/>
                  <w:noWrap w:val="0"/>
                  <w:vAlign w:val="center"/>
                </w:tcPr>
                <w:p w14:paraId="4241FCAC">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14:paraId="1E17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pct"/>
                  <w:gridSpan w:val="3"/>
                  <w:noWrap w:val="0"/>
                  <w:vAlign w:val="center"/>
                </w:tcPr>
                <w:p w14:paraId="64FC05F0">
                  <w:pPr>
                    <w:pStyle w:val="32"/>
                    <w:keepNext/>
                    <w:keepLines/>
                    <w:pageBreakBefore w:val="0"/>
                    <w:widowControl w:val="0"/>
                    <w:kinsoku/>
                    <w:wordWrap/>
                    <w:overflowPunct/>
                    <w:topLinePunct w:val="0"/>
                    <w:autoSpaceDE/>
                    <w:autoSpaceDN/>
                    <w:bidi w:val="0"/>
                    <w:adjustRightInd w:val="0"/>
                    <w:snapToGrid w:val="0"/>
                    <w:spacing w:line="320" w:lineRule="exact"/>
                    <w:ind w:firstLine="0" w:firstLineChars="0"/>
                    <w:jc w:val="center"/>
                    <w:rPr>
                      <w:color w:val="auto"/>
                    </w:rPr>
                  </w:pPr>
                  <w:r>
                    <w:rPr>
                      <w:rFonts w:hint="default" w:ascii="Times New Roman" w:hAnsi="Times New Roman" w:eastAsia="宋体" w:cs="Times New Roman"/>
                      <w:color w:val="auto"/>
                      <w:sz w:val="21"/>
                      <w:szCs w:val="21"/>
                      <w:lang w:val="en-US" w:eastAsia="zh-CN"/>
                    </w:rPr>
                    <w:t>合计</w:t>
                  </w:r>
                </w:p>
              </w:tc>
              <w:tc>
                <w:tcPr>
                  <w:tcW w:w="2189" w:type="pct"/>
                  <w:gridSpan w:val="3"/>
                  <w:noWrap w:val="0"/>
                  <w:vAlign w:val="center"/>
                </w:tcPr>
                <w:p w14:paraId="28C28DC2">
                  <w:pPr>
                    <w:pStyle w:val="32"/>
                    <w:keepNext/>
                    <w:keepLines/>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c>
                <w:tcPr>
                  <w:tcW w:w="699" w:type="pct"/>
                  <w:noWrap w:val="0"/>
                  <w:vAlign w:val="center"/>
                </w:tcPr>
                <w:p w14:paraId="6ADF595E">
                  <w:pPr>
                    <w:pStyle w:val="32"/>
                    <w:keepNext/>
                    <w:keepLines/>
                    <w:pageBreakBefore w:val="0"/>
                    <w:widowControl w:val="0"/>
                    <w:kinsoku/>
                    <w:wordWrap/>
                    <w:overflowPunct/>
                    <w:topLinePunct w:val="0"/>
                    <w:autoSpaceDE/>
                    <w:autoSpaceDN/>
                    <w:bidi w:val="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A0172AD">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由表4-</w:t>
            </w:r>
            <w:r>
              <w:rPr>
                <w:rFonts w:hint="eastAsia" w:ascii="Times New Roman" w:hAnsi="Times New Roman" w:eastAsia="宋体" w:cs="Times New Roman"/>
                <w:b w:val="0"/>
                <w:bCs w:val="0"/>
                <w:color w:val="auto"/>
                <w:sz w:val="24"/>
                <w:szCs w:val="24"/>
                <w:vertAlign w:val="baseline"/>
                <w:lang w:val="en-US" w:eastAsia="zh-CN"/>
              </w:rPr>
              <w:t>12</w:t>
            </w:r>
            <w:r>
              <w:rPr>
                <w:rFonts w:hint="default" w:ascii="Times New Roman" w:hAnsi="Times New Roman" w:eastAsia="宋体" w:cs="Times New Roman"/>
                <w:b w:val="0"/>
                <w:bCs w:val="0"/>
                <w:color w:val="auto"/>
                <w:sz w:val="24"/>
                <w:szCs w:val="24"/>
                <w:vertAlign w:val="baseline"/>
                <w:lang w:val="en-US" w:eastAsia="zh-CN"/>
              </w:rPr>
              <w:t>可知，项目</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Q=</w:t>
            </w:r>
            <w:r>
              <w:rPr>
                <w:rFonts w:hint="eastAsia" w:ascii="Times New Roman" w:hAnsi="Times New Roman" w:eastAsia="宋体" w:cs="Times New Roman"/>
                <w:b w:val="0"/>
                <w:bCs w:val="0"/>
                <w:color w:val="auto"/>
                <w:sz w:val="24"/>
                <w:szCs w:val="24"/>
                <w:vertAlign w:val="baseline"/>
                <w:lang w:val="en-US" w:eastAsia="zh-CN"/>
              </w:rPr>
              <w:t>0.0008</w:t>
            </w:r>
            <w:r>
              <w:rPr>
                <w:rFonts w:hint="default" w:ascii="Times New Roman" w:hAnsi="Times New Roman" w:eastAsia="宋体" w:cs="Times New Roman"/>
                <w:b w:val="0"/>
                <w:bCs w:val="0"/>
                <w:color w:val="auto"/>
                <w:sz w:val="24"/>
                <w:szCs w:val="24"/>
                <w:vertAlign w:val="baseline"/>
                <w:lang w:val="en-US" w:eastAsia="zh-CN"/>
              </w:rPr>
              <w:t>&lt;1，环境风险较小。</w:t>
            </w:r>
          </w:p>
          <w:p w14:paraId="6F61AA3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各危险物质理化性质见下表：</w:t>
            </w:r>
          </w:p>
          <w:p w14:paraId="0EF129AB">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sz w:val="21"/>
                <w:szCs w:val="21"/>
              </w:rPr>
            </w:pPr>
            <w:r>
              <w:rPr>
                <w:rFonts w:hint="default" w:ascii="Times New Roman" w:hAnsi="Times New Roman" w:cs="Times New Roman"/>
                <w:color w:val="auto"/>
                <w:sz w:val="24"/>
                <w:szCs w:val="24"/>
                <w:lang w:val="en-US" w:eastAsia="zh-CN"/>
              </w:rPr>
              <w:t>①天然气</w:t>
            </w:r>
          </w:p>
          <w:p w14:paraId="66D01D8C">
            <w:pPr>
              <w:pStyle w:val="6"/>
              <w:keepNext/>
              <w:keepLines/>
              <w:pageBreakBefore w:val="0"/>
              <w:widowControl w:val="0"/>
              <w:kinsoku/>
              <w:wordWrap/>
              <w:overflowPunct/>
              <w:topLinePunct w:val="0"/>
              <w:autoSpaceDE/>
              <w:autoSpaceDN/>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 xml:space="preserve"> 天然气</w:t>
            </w:r>
            <w:r>
              <w:rPr>
                <w:rFonts w:hint="default" w:ascii="Times New Roman" w:hAnsi="Times New Roman" w:cs="Times New Roman"/>
                <w:color w:val="auto"/>
                <w:sz w:val="21"/>
                <w:szCs w:val="21"/>
                <w:lang w:eastAsia="zh-CN"/>
              </w:rPr>
              <w:t>理化特性及危险性一览表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94"/>
              <w:gridCol w:w="1603"/>
              <w:gridCol w:w="2251"/>
              <w:gridCol w:w="2202"/>
              <w:gridCol w:w="1983"/>
            </w:tblGrid>
            <w:tr w14:paraId="6197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42733011">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485" w:type="dxa"/>
                  <w:vAlign w:val="center"/>
                </w:tcPr>
                <w:p w14:paraId="772455D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2085" w:type="dxa"/>
                  <w:vAlign w:val="center"/>
                </w:tcPr>
                <w:p w14:paraId="297E5DF6">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w:t>
                  </w:r>
                </w:p>
              </w:tc>
              <w:tc>
                <w:tcPr>
                  <w:tcW w:w="2040" w:type="dxa"/>
                  <w:vAlign w:val="center"/>
                </w:tcPr>
                <w:p w14:paraId="183642F5">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1836" w:type="dxa"/>
                  <w:vAlign w:val="center"/>
                </w:tcPr>
                <w:p w14:paraId="02F8FC9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Marsh gas</w:t>
                  </w:r>
                </w:p>
              </w:tc>
            </w:tr>
            <w:tr w14:paraId="75E3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26309F7">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485" w:type="dxa"/>
                  <w:vAlign w:val="center"/>
                </w:tcPr>
                <w:p w14:paraId="71AC8769">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2085" w:type="dxa"/>
                  <w:vAlign w:val="center"/>
                </w:tcPr>
                <w:p w14:paraId="5A87D6B2">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CH</w:t>
                  </w:r>
                  <w:r>
                    <w:rPr>
                      <w:rFonts w:hint="default" w:ascii="Times New Roman" w:hAnsi="Times New Roman" w:cs="Times New Roman"/>
                      <w:color w:val="auto"/>
                      <w:sz w:val="21"/>
                      <w:szCs w:val="21"/>
                      <w:vertAlign w:val="subscript"/>
                      <w:lang w:val="en-US" w:eastAsia="zh-CN"/>
                    </w:rPr>
                    <w:t>4</w:t>
                  </w:r>
                </w:p>
              </w:tc>
              <w:tc>
                <w:tcPr>
                  <w:tcW w:w="2040" w:type="dxa"/>
                  <w:vAlign w:val="center"/>
                </w:tcPr>
                <w:p w14:paraId="7EC5C08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1836" w:type="dxa"/>
                  <w:vAlign w:val="center"/>
                </w:tcPr>
                <w:p w14:paraId="1A921601">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74-82-8</w:t>
                  </w:r>
                </w:p>
              </w:tc>
            </w:tr>
            <w:tr w14:paraId="03DC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70D6F878">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485" w:type="dxa"/>
                  <w:vAlign w:val="center"/>
                </w:tcPr>
                <w:p w14:paraId="1177CDEA">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2085" w:type="dxa"/>
                  <w:vAlign w:val="center"/>
                </w:tcPr>
                <w:p w14:paraId="6C8D1146">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-182.5</w:t>
                  </w:r>
                </w:p>
              </w:tc>
              <w:tc>
                <w:tcPr>
                  <w:tcW w:w="2040" w:type="dxa"/>
                  <w:vAlign w:val="center"/>
                </w:tcPr>
                <w:p w14:paraId="45045D02">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1836" w:type="dxa"/>
                  <w:vAlign w:val="center"/>
                </w:tcPr>
                <w:p w14:paraId="24F4BAE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0.55</w:t>
                  </w:r>
                </w:p>
              </w:tc>
            </w:tr>
            <w:tr w14:paraId="1DCE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BD1DD3E">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485" w:type="dxa"/>
                  <w:vAlign w:val="center"/>
                </w:tcPr>
                <w:p w14:paraId="36F5EF58">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5961" w:type="dxa"/>
                  <w:gridSpan w:val="3"/>
                  <w:vAlign w:val="center"/>
                </w:tcPr>
                <w:p w14:paraId="5C191F72">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无色或无臭气体（天然气中已加入识别臭味）。</w:t>
                  </w:r>
                </w:p>
              </w:tc>
            </w:tr>
            <w:tr w14:paraId="43CE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235A9037">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485" w:type="dxa"/>
                  <w:vAlign w:val="center"/>
                </w:tcPr>
                <w:p w14:paraId="71C93A0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5961" w:type="dxa"/>
                  <w:gridSpan w:val="3"/>
                  <w:vAlign w:val="center"/>
                </w:tcPr>
                <w:p w14:paraId="22AE919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微溶于水，溶于醇、乙醚。</w:t>
                  </w:r>
                </w:p>
              </w:tc>
            </w:tr>
            <w:tr w14:paraId="468E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57D64AE9">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485" w:type="dxa"/>
                  <w:vAlign w:val="center"/>
                </w:tcPr>
                <w:p w14:paraId="25B72C3C">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2085" w:type="dxa"/>
                  <w:vAlign w:val="center"/>
                </w:tcPr>
                <w:p w14:paraId="7B61B198">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-188</w:t>
                  </w:r>
                </w:p>
              </w:tc>
              <w:tc>
                <w:tcPr>
                  <w:tcW w:w="2040" w:type="dxa"/>
                  <w:vAlign w:val="center"/>
                </w:tcPr>
                <w:p w14:paraId="5488A54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1836" w:type="dxa"/>
                  <w:vAlign w:val="center"/>
                </w:tcPr>
                <w:p w14:paraId="64E7B34A">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5.3～15</w:t>
                  </w:r>
                </w:p>
              </w:tc>
            </w:tr>
            <w:tr w14:paraId="4CD0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5725F6A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485" w:type="dxa"/>
                  <w:vAlign w:val="center"/>
                </w:tcPr>
                <w:p w14:paraId="2EBD1DAA">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2085" w:type="dxa"/>
                  <w:vAlign w:val="center"/>
                </w:tcPr>
                <w:p w14:paraId="4DCE73A2">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538</w:t>
                  </w:r>
                </w:p>
              </w:tc>
              <w:tc>
                <w:tcPr>
                  <w:tcW w:w="2040" w:type="dxa"/>
                  <w:vAlign w:val="center"/>
                </w:tcPr>
                <w:p w14:paraId="6B3CE0C6">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稳定性</w:t>
                  </w:r>
                </w:p>
              </w:tc>
              <w:tc>
                <w:tcPr>
                  <w:tcW w:w="1836" w:type="dxa"/>
                  <w:vAlign w:val="center"/>
                </w:tcPr>
                <w:p w14:paraId="7DE5A839">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w:t>
                  </w:r>
                </w:p>
              </w:tc>
            </w:tr>
            <w:tr w14:paraId="1C03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4E24F0B3">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485" w:type="dxa"/>
                  <w:vAlign w:val="center"/>
                </w:tcPr>
                <w:p w14:paraId="20A3A85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火灾危险类别</w:t>
                  </w:r>
                </w:p>
              </w:tc>
              <w:tc>
                <w:tcPr>
                  <w:tcW w:w="2085" w:type="dxa"/>
                  <w:vAlign w:val="center"/>
                </w:tcPr>
                <w:p w14:paraId="772EDF99">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第2.1类，易燃气体</w:t>
                  </w:r>
                </w:p>
              </w:tc>
              <w:tc>
                <w:tcPr>
                  <w:tcW w:w="2040" w:type="dxa"/>
                  <w:vAlign w:val="center"/>
                </w:tcPr>
                <w:p w14:paraId="2F99E2F9">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爆炸危险组别类别</w:t>
                  </w:r>
                </w:p>
              </w:tc>
              <w:tc>
                <w:tcPr>
                  <w:tcW w:w="1836" w:type="dxa"/>
                  <w:vAlign w:val="center"/>
                </w:tcPr>
                <w:p w14:paraId="15E1D7F6">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T3/ⅡΑ</w:t>
                  </w:r>
                </w:p>
              </w:tc>
            </w:tr>
            <w:tr w14:paraId="2A97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68B2F68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485" w:type="dxa"/>
                  <w:vAlign w:val="center"/>
                </w:tcPr>
                <w:p w14:paraId="668C34A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5961" w:type="dxa"/>
                  <w:gridSpan w:val="3"/>
                  <w:vAlign w:val="center"/>
                </w:tcPr>
                <w:p w14:paraId="5CC80F74">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易燃，与与空气混合能形成爆炸性混合物，遇热源和明火易引起燃烧爆炸，与五氧化溴、氯气、次氯酸、三氟化氮、液氧、二氟化氮及其它强氧化剂接触能发生剧烈反应。</w:t>
                  </w:r>
                </w:p>
                <w:p w14:paraId="51EEE0F3">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燃烧（分解）产物：一氧化碳、二氧化碳。</w:t>
                  </w:r>
                </w:p>
                <w:p w14:paraId="565FEBEC">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天然气除了有上述危险特性外，还具有下列特性：天然气中含有少量的硫化氢，长期吸入，对人的神经系统有毒害；在高压、高温、有水的情况下，对金属可产生硫化氢应力开裂。</w:t>
                  </w:r>
                </w:p>
              </w:tc>
            </w:tr>
            <w:tr w14:paraId="29BC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C4E1464">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485" w:type="dxa"/>
                  <w:vAlign w:val="center"/>
                </w:tcPr>
                <w:p w14:paraId="0F6FBC76">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5961" w:type="dxa"/>
                  <w:gridSpan w:val="3"/>
                  <w:vAlign w:val="center"/>
                </w:tcPr>
                <w:p w14:paraId="4CB3C53B">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泡沫、干粉、CO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、雾状水。</w:t>
                  </w:r>
                </w:p>
              </w:tc>
            </w:tr>
            <w:tr w14:paraId="6E18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0F87FE">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446" w:type="dxa"/>
                  <w:gridSpan w:val="4"/>
                  <w:vAlign w:val="center"/>
                </w:tcPr>
                <w:p w14:paraId="106E79A9">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w:t>
                  </w:r>
                </w:p>
                <w:p w14:paraId="61CFF7FE">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14:paraId="18FB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66B7111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446" w:type="dxa"/>
                  <w:gridSpan w:val="4"/>
                  <w:vAlign w:val="center"/>
                </w:tcPr>
                <w:p w14:paraId="43F259D2">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皮肤冻伤：若有冻伤，就医治疗。</w:t>
                  </w:r>
                </w:p>
                <w:p w14:paraId="13D6A721">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tc>
            </w:tr>
            <w:tr w14:paraId="0C30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1D3810DA">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446" w:type="dxa"/>
                  <w:gridSpan w:val="4"/>
                  <w:vAlign w:val="center"/>
                </w:tcPr>
                <w:p w14:paraId="462225CD">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工程防护：生产过程密闭，全面通风。</w:t>
                  </w:r>
                </w:p>
                <w:p w14:paraId="5F960F54">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个人防护：一般不需要特殊防护，但建议特殊情况下，佩戴自吸过滤式防毒面具（半面罩）。眼睛防护一般不需要特殊防护，高浓度接触时可戴安全防护眼镜，穿防静电工作服。戴一般作业防护手套。工作现场严禁吸烟。避免长期反复接触，进入罐、限制性空间或其它高浓度区作业，须有人监护。</w:t>
                  </w:r>
                </w:p>
              </w:tc>
            </w:tr>
            <w:tr w14:paraId="4C68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422ED1">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446" w:type="dxa"/>
                  <w:gridSpan w:val="4"/>
                  <w:vAlign w:val="center"/>
                </w:tcPr>
                <w:p w14:paraId="7CB1C563">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019C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098E65C">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446" w:type="dxa"/>
                  <w:gridSpan w:val="4"/>
                  <w:vAlign w:val="center"/>
                </w:tcPr>
                <w:p w14:paraId="74A6DBB0">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条件：易燃压缩气体。储存于阴凉、通风仓间内。仓温不宜超过30℃。远离火种、热源。防止阳光直射。应与氧气、压缩空气、卤素（氟、氯、溴）等分开存放。切忌混储混运。储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bl>
          <w:p w14:paraId="017A69A0">
            <w:pPr>
              <w:pStyle w:val="28"/>
              <w:keepNext/>
              <w:keepLines/>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②</w:t>
            </w:r>
            <w:r>
              <w:rPr>
                <w:rFonts w:hint="default" w:ascii="Times New Roman" w:hAnsi="Times New Roman" w:cs="Times New Roman"/>
                <w:color w:val="auto"/>
                <w:sz w:val="24"/>
                <w:szCs w:val="24"/>
                <w:lang w:val="en-US" w:eastAsia="zh-CN"/>
              </w:rPr>
              <w:t>机油</w:t>
            </w:r>
          </w:p>
          <w:p w14:paraId="4A700120">
            <w:pPr>
              <w:pStyle w:val="6"/>
              <w:keepNext/>
              <w:keepLines/>
              <w:pageBreakBefore w:val="0"/>
              <w:widowControl w:val="0"/>
              <w:kinsoku/>
              <w:wordWrap/>
              <w:overflowPunct/>
              <w:topLinePunct w:val="0"/>
              <w:autoSpaceDE/>
              <w:autoSpaceDN/>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4-1</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机油理化特性及危险性一览表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1"/>
              <w:gridCol w:w="1726"/>
              <w:gridCol w:w="1610"/>
              <w:gridCol w:w="2235"/>
              <w:gridCol w:w="2591"/>
            </w:tblGrid>
            <w:tr w14:paraId="1922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57BC6054">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599" w:type="dxa"/>
                  <w:vAlign w:val="center"/>
                </w:tcPr>
                <w:p w14:paraId="4241B032">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1491" w:type="dxa"/>
                  <w:vAlign w:val="center"/>
                </w:tcPr>
                <w:p w14:paraId="41FD0E2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机油</w:t>
                  </w:r>
                </w:p>
              </w:tc>
              <w:tc>
                <w:tcPr>
                  <w:tcW w:w="2070" w:type="dxa"/>
                  <w:vAlign w:val="center"/>
                </w:tcPr>
                <w:p w14:paraId="21D497D1">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2400" w:type="dxa"/>
                  <w:vAlign w:val="center"/>
                </w:tcPr>
                <w:p w14:paraId="079F64DF">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lubricating oil；Lube oil</w:t>
                  </w:r>
                </w:p>
              </w:tc>
            </w:tr>
            <w:tr w14:paraId="1AB8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111209C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599" w:type="dxa"/>
                  <w:vAlign w:val="center"/>
                </w:tcPr>
                <w:p w14:paraId="260A281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1491" w:type="dxa"/>
                  <w:vAlign w:val="center"/>
                </w:tcPr>
                <w:p w14:paraId="7AE39385">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2070" w:type="dxa"/>
                  <w:vAlign w:val="center"/>
                </w:tcPr>
                <w:p w14:paraId="413A3CB4">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2400" w:type="dxa"/>
                  <w:vAlign w:val="center"/>
                </w:tcPr>
                <w:p w14:paraId="6126FBE5">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14:paraId="511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2D4A2631">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599" w:type="dxa"/>
                  <w:vAlign w:val="center"/>
                </w:tcPr>
                <w:p w14:paraId="01CDB8D2">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1491" w:type="dxa"/>
                  <w:vAlign w:val="center"/>
                </w:tcPr>
                <w:p w14:paraId="394F5ADA">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2070" w:type="dxa"/>
                  <w:vAlign w:val="center"/>
                </w:tcPr>
                <w:p w14:paraId="43CC484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2400" w:type="dxa"/>
                  <w:vAlign w:val="center"/>
                </w:tcPr>
                <w:p w14:paraId="3309A7A6">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14:paraId="6F0D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291C8D4">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599" w:type="dxa"/>
                  <w:vAlign w:val="center"/>
                </w:tcPr>
                <w:p w14:paraId="498F5F77">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5961" w:type="dxa"/>
                  <w:gridSpan w:val="3"/>
                  <w:vAlign w:val="center"/>
                </w:tcPr>
                <w:p w14:paraId="044220EA">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油状液体，淡黄色至褐色，无气味或略带异味。</w:t>
                  </w:r>
                </w:p>
              </w:tc>
            </w:tr>
            <w:tr w14:paraId="1D32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F132AFA">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599" w:type="dxa"/>
                  <w:vAlign w:val="center"/>
                </w:tcPr>
                <w:p w14:paraId="072A23EF">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5961" w:type="dxa"/>
                  <w:gridSpan w:val="3"/>
                  <w:vAlign w:val="center"/>
                </w:tcPr>
                <w:p w14:paraId="042F8EEC">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不溶于水。</w:t>
                  </w:r>
                </w:p>
              </w:tc>
            </w:tr>
            <w:tr w14:paraId="04C4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0E22141C">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599" w:type="dxa"/>
                  <w:vAlign w:val="center"/>
                </w:tcPr>
                <w:p w14:paraId="21B3FC37">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1491" w:type="dxa"/>
                  <w:vAlign w:val="center"/>
                </w:tcPr>
                <w:p w14:paraId="7FE93D41">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2070" w:type="dxa"/>
                  <w:vAlign w:val="center"/>
                </w:tcPr>
                <w:p w14:paraId="1E1A111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2400" w:type="dxa"/>
                  <w:vAlign w:val="center"/>
                </w:tcPr>
                <w:p w14:paraId="6EC57633">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14:paraId="4445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C44D45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599" w:type="dxa"/>
                  <w:vAlign w:val="center"/>
                </w:tcPr>
                <w:p w14:paraId="38C9F5AC">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1491" w:type="dxa"/>
                  <w:vAlign w:val="center"/>
                </w:tcPr>
                <w:p w14:paraId="79F300C3">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248</w:t>
                  </w:r>
                </w:p>
              </w:tc>
              <w:tc>
                <w:tcPr>
                  <w:tcW w:w="2070" w:type="dxa"/>
                  <w:vAlign w:val="center"/>
                </w:tcPr>
                <w:p w14:paraId="68DF2A08">
                  <w:pPr>
                    <w:pStyle w:val="29"/>
                    <w:keepNext/>
                    <w:keepLines/>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稳定性</w:t>
                  </w:r>
                </w:p>
              </w:tc>
              <w:tc>
                <w:tcPr>
                  <w:tcW w:w="2400" w:type="dxa"/>
                  <w:vAlign w:val="center"/>
                </w:tcPr>
                <w:p w14:paraId="1B826358">
                  <w:pPr>
                    <w:pStyle w:val="29"/>
                    <w:keepNext/>
                    <w:keepLines/>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w:t>
                  </w:r>
                </w:p>
              </w:tc>
            </w:tr>
            <w:tr w14:paraId="2B49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211570F0">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599" w:type="dxa"/>
                  <w:vAlign w:val="center"/>
                </w:tcPr>
                <w:p w14:paraId="48E9F1CD">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5961" w:type="dxa"/>
                  <w:gridSpan w:val="3"/>
                  <w:vAlign w:val="center"/>
                </w:tcPr>
                <w:p w14:paraId="0E3AFE3F">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遇明火、高热可燃。</w:t>
                  </w:r>
                </w:p>
              </w:tc>
            </w:tr>
            <w:tr w14:paraId="2658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943E277">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p>
              </w:tc>
              <w:tc>
                <w:tcPr>
                  <w:tcW w:w="1599" w:type="dxa"/>
                  <w:vAlign w:val="center"/>
                </w:tcPr>
                <w:p w14:paraId="5DAE62B3">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5961" w:type="dxa"/>
                  <w:gridSpan w:val="3"/>
                  <w:vAlign w:val="center"/>
                </w:tcPr>
                <w:p w14:paraId="5C3F065B">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雾状水、泡沫、干粉、二氧化碳、砂土。</w:t>
                  </w:r>
                </w:p>
              </w:tc>
            </w:tr>
            <w:tr w14:paraId="50DE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74C787D2">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560" w:type="dxa"/>
                  <w:gridSpan w:val="4"/>
                  <w:vAlign w:val="center"/>
                </w:tcPr>
                <w:p w14:paraId="54B5CBFE">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侵入途径：吸入、食入；</w:t>
                  </w:r>
                </w:p>
                <w:p w14:paraId="791F08B8">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急性吸入，可出现乏力、头晕、头痛、恶心，严重者可引起油脂性肺炎。慢接触者，暴露部位可发生油性痤疮和接触性皮炎。可引起神经衰弱综合征，呼吸道和眼刺激症状及慢性油脂性肺炎。</w:t>
                  </w:r>
                </w:p>
              </w:tc>
            </w:tr>
            <w:tr w14:paraId="65CC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1585A975">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560" w:type="dxa"/>
                  <w:gridSpan w:val="4"/>
                  <w:vAlign w:val="center"/>
                </w:tcPr>
                <w:p w14:paraId="24960206">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皮肤接触：立即脱去被污染的衣着，用大量清水冲洗；</w:t>
                  </w:r>
                </w:p>
                <w:p w14:paraId="3EA36F9D">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眼睛接触：立即提起眼睑，用大量流动清水或生理盐水冲洗，就医；</w:t>
                  </w:r>
                </w:p>
                <w:p w14:paraId="3719DBCB">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p w14:paraId="0559FF44">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食入：饮足量温水，催吐，就医。</w:t>
                  </w:r>
                </w:p>
              </w:tc>
            </w:tr>
            <w:tr w14:paraId="188C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330569B">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560" w:type="dxa"/>
                  <w:gridSpan w:val="4"/>
                  <w:vAlign w:val="center"/>
                </w:tcPr>
                <w:p w14:paraId="2E57B596">
                  <w:pPr>
                    <w:pStyle w:val="29"/>
                    <w:keepNext/>
                    <w:keepLines/>
                    <w:pageBreakBefore w:val="0"/>
                    <w:widowControl w:val="0"/>
                    <w:kinsoku/>
                    <w:wordWrap/>
                    <w:overflowPunct/>
                    <w:topLinePunct w:val="0"/>
                    <w:autoSpaceDE/>
                    <w:autoSpaceDN/>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工程控制：密闭操作，注意通风；</w:t>
                  </w:r>
                </w:p>
                <w:p w14:paraId="30FE0F94">
                  <w:pPr>
                    <w:pStyle w:val="29"/>
                    <w:keepNext/>
                    <w:keepLines/>
                    <w:pageBreakBefore w:val="0"/>
                    <w:widowControl w:val="0"/>
                    <w:kinsoku/>
                    <w:wordWrap/>
                    <w:overflowPunct/>
                    <w:topLinePunct w:val="0"/>
                    <w:autoSpaceDE/>
                    <w:autoSpaceDN/>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呼吸系统防护：空气中浓度超标时，建议佩戴自吸过滤式防毒面具(半面)。紧急事态抢救或撤离时，应该佩戴空气呼吸器。</w:t>
                  </w:r>
                </w:p>
                <w:p w14:paraId="6C06C250">
                  <w:pPr>
                    <w:pStyle w:val="29"/>
                    <w:keepNext/>
                    <w:keepLines/>
                    <w:pageBreakBefore w:val="0"/>
                    <w:widowControl w:val="0"/>
                    <w:kinsoku/>
                    <w:wordWrap/>
                    <w:overflowPunct/>
                    <w:topLinePunct w:val="0"/>
                    <w:autoSpaceDE/>
                    <w:autoSpaceDN/>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眼睛防护：戴化学安全防护眼镜；</w:t>
                  </w:r>
                </w:p>
                <w:p w14:paraId="38D00E4F">
                  <w:pPr>
                    <w:pStyle w:val="29"/>
                    <w:keepNext/>
                    <w:keepLines/>
                    <w:pageBreakBefore w:val="0"/>
                    <w:widowControl w:val="0"/>
                    <w:kinsoku/>
                    <w:wordWrap/>
                    <w:overflowPunct/>
                    <w:topLinePunct w:val="0"/>
                    <w:autoSpaceDE/>
                    <w:autoSpaceDN/>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身体防护:穿防毒物渗透工作服；</w:t>
                  </w:r>
                </w:p>
                <w:p w14:paraId="22C708FE">
                  <w:pPr>
                    <w:pStyle w:val="29"/>
                    <w:keepNext/>
                    <w:keepLines/>
                    <w:pageBreakBefore w:val="0"/>
                    <w:widowControl w:val="0"/>
                    <w:kinsoku/>
                    <w:wordWrap/>
                    <w:overflowPunct/>
                    <w:topLinePunct w:val="0"/>
                    <w:autoSpaceDE/>
                    <w:autoSpaceDN/>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手防护：戴橡胶耐油手套；</w:t>
                  </w:r>
                </w:p>
                <w:p w14:paraId="48FC267B">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其他：工作现场严禁吸烟，避免长期反复接触。</w:t>
                  </w:r>
                </w:p>
              </w:tc>
            </w:tr>
            <w:tr w14:paraId="39DF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2BC8606C">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560" w:type="dxa"/>
                  <w:gridSpan w:val="4"/>
                  <w:vAlign w:val="center"/>
                </w:tcPr>
                <w:p w14:paraId="53E2C494">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迅速撤离泄漏污染区人员至安全区，并进行隔离，严格限制出入。切断火源。建议应急处理人员戴自给正压式呼吸器，穿防毒服。尽可能切断泄漏源。防止流入下水道、排洪沟等限制性空间。</w:t>
                  </w:r>
                </w:p>
                <w:p w14:paraId="57061EE2">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小量泄漏：用砂土或其它不燃材料吸附或吸收。</w:t>
                  </w:r>
                </w:p>
                <w:p w14:paraId="13E74041">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大量泄漏：构筑围堤或挖坑收容。用泵转移至槽车或专用收集器内，回收或运至废物处理场所处置。</w:t>
                  </w:r>
                </w:p>
              </w:tc>
            </w:tr>
            <w:tr w14:paraId="2778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75E75B5">
                  <w:pPr>
                    <w:pStyle w:val="29"/>
                    <w:keepNext/>
                    <w:keepLines/>
                    <w:pageBreakBefore w:val="0"/>
                    <w:widowControl w:val="0"/>
                    <w:kinsoku/>
                    <w:wordWrap/>
                    <w:overflowPunct/>
                    <w:topLinePunct w:val="0"/>
                    <w:autoSpaceDE/>
                    <w:autoSpaceDN/>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560" w:type="dxa"/>
                  <w:gridSpan w:val="4"/>
                  <w:vAlign w:val="center"/>
                </w:tcPr>
                <w:p w14:paraId="208810DA">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储存于阴凉、通风的库房。远离火种、热源。应与氧化剂分开存放，切忌混储。配备相应品种和数量的消防器材。储区应备有泄漏应急处理设备和合适的收容材料。</w:t>
                  </w:r>
                </w:p>
                <w:p w14:paraId="69F06786">
                  <w:pPr>
                    <w:pStyle w:val="29"/>
                    <w:keepNext/>
                    <w:keepLines/>
                    <w:pageBreakBefore w:val="0"/>
                    <w:widowControl w:val="0"/>
                    <w:kinsoku/>
                    <w:wordWrap/>
                    <w:overflowPunct/>
                    <w:topLinePunct w:val="0"/>
                    <w:autoSpaceDE/>
                    <w:autoSpaceDN/>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前应先检查包装容器是否完整、密封，运输过程中要确保容器不泄漏、不倒塌、不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73FF284">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（3）环境风险分析</w:t>
            </w:r>
          </w:p>
          <w:p w14:paraId="7F47F8C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1）大气环境风险分析</w:t>
            </w:r>
          </w:p>
          <w:p w14:paraId="63C313F0">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①井喷事故</w:t>
            </w:r>
          </w:p>
          <w:p w14:paraId="040C49B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钻井进入气层后，遇到高压气流，因各种原因使井底压力不能平衡底层压力时而造成井喷和井喷失控事故。井喷失控发生的机率虽然很小，但危害较大，主要表现在井喷后会有大量的天然气逸散到空气中，对周围的环境空气造成一定的影响；井喷失控喷射出的天然气遇火燃烧爆炸造成冲击波和热辐射伤人。尽管井喷造成的后果是严重的，但井喷发生的概率非常小，只有在钻井遇</w:t>
            </w:r>
            <w:r>
              <w:rPr>
                <w:rFonts w:hint="eastAsia" w:ascii="Times New Roman" w:hAnsi="Times New Roman" w:eastAsia="宋体" w:cs="Times New Roman"/>
                <w:b w:val="0"/>
                <w:bCs w:val="0"/>
                <w:color w:val="auto"/>
                <w:sz w:val="24"/>
                <w:szCs w:val="24"/>
                <w:vertAlign w:val="baseline"/>
                <w:lang w:val="en-US" w:eastAsia="zh-CN"/>
              </w:rPr>
              <w:t>高压采</w:t>
            </w:r>
            <w:r>
              <w:rPr>
                <w:rFonts w:hint="default" w:ascii="Times New Roman" w:hAnsi="Times New Roman" w:eastAsia="宋体" w:cs="Times New Roman"/>
                <w:b w:val="0"/>
                <w:bCs w:val="0"/>
                <w:color w:val="auto"/>
                <w:sz w:val="24"/>
                <w:szCs w:val="24"/>
                <w:vertAlign w:val="baseline"/>
                <w:lang w:val="en-US" w:eastAsia="zh-CN"/>
              </w:rPr>
              <w:t>气层且操作不当时才有可能发生。而由于操作者直接责任而引起井控措施不当、违反操作规程、井控措施故障等是造成井喷失控事故的主要因素。本项目在钻井时采用了安装防喷器和控制装置等防喷措施，项目发生井喷的概率很小。</w:t>
            </w:r>
          </w:p>
          <w:p w14:paraId="440E5EE7">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②放喷事故</w:t>
            </w:r>
          </w:p>
          <w:p w14:paraId="233DC53C">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为了解气井的产气量，在完井及压裂后，需进行测试放喷，项目通过</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进行测试。</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周围50m范围内进行清理，远离易燃物品，同时应远离居民区，放喷口置于</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水面上，</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用于储存随放喷气体带出的地下水及洗井废水。项目设置10</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，能够满足放喷气体带出的废水存储。</w:t>
            </w:r>
          </w:p>
          <w:p w14:paraId="7D77899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废油泄漏</w:t>
            </w:r>
          </w:p>
          <w:p w14:paraId="24DA8E98">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废油泄漏，若遇明火引发的火灾事故，不会超过井喷时因伴生气排放对大气的影响强度，更不会导致大气环境的明显恶化。火灾或爆炸时产生的次生污染物CO或有害气体的浓度较低，因此，对空气环境影响较小。</w:t>
            </w:r>
          </w:p>
          <w:p w14:paraId="6287BA5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内废油储存量较少，发生泄漏后全部收集在危废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内，工作人员可及时发现并清理，引发环境风险事故的可能性极低。</w:t>
            </w:r>
          </w:p>
          <w:p w14:paraId="4C220EB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2）地表水环境风险分析</w:t>
            </w:r>
          </w:p>
          <w:p w14:paraId="651661B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正常情况下，本项目井场设置泥浆不落地系统，生产废水全部妥善处置，不会外排出场地，井喷等事故情况下，喷出的泥浆废液可由井场内应急储罐收集处理，不会外排引发地表水体污染。</w:t>
            </w:r>
          </w:p>
          <w:p w14:paraId="2289469C">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3）地下水环境风险分析</w:t>
            </w:r>
          </w:p>
          <w:p w14:paraId="4323AD1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废油泄漏</w:t>
            </w:r>
          </w:p>
          <w:p w14:paraId="14696CB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的废油泄漏，石油烃类污染物可能通过井场地面下渗至地下含水层并向下游迁移，对下游地下水环境造成风险事故，由于项目危废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按照相关要求采取分区防渗，可有效防止污染物下渗进入地下水。</w:t>
            </w:r>
          </w:p>
          <w:p w14:paraId="52376F20">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②井漏事故</w:t>
            </w:r>
          </w:p>
          <w:p w14:paraId="71D3B81C">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井漏事故对地下水的污染是指在钻井过程中，钻井废水、泥浆漏失于地下水含水层中，造成地下含水层水质污染。就钻井漏失而言，发生在局部且持续时间较短。</w:t>
            </w:r>
          </w:p>
          <w:p w14:paraId="6D6623D7">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一开钻井泥浆主要成分为膨润土和碳酸钠等，不含有毒有害物质，一开井深基本涵盖了可能具有使用功能的地下水，因此本项目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25A1AD07">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漏主要发生于具有特殊地质结构的气藏区，如具有溶洞、裂隙等不稳定的地层构造区域。本企业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w:t>
            </w:r>
          </w:p>
          <w:p w14:paraId="7103862D">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综上，在采取一系列风险防范措施之后，项目环境风险在可控范围内，对周边环境影响较小。</w:t>
            </w:r>
          </w:p>
          <w:p w14:paraId="05E2DABA">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十</w:t>
            </w:r>
            <w:r>
              <w:rPr>
                <w:rFonts w:hint="default" w:ascii="Times New Roman" w:hAnsi="Times New Roman" w:eastAsia="宋体" w:cs="Times New Roman"/>
                <w:b/>
                <w:bCs/>
                <w:color w:val="auto"/>
                <w:sz w:val="24"/>
                <w:szCs w:val="24"/>
                <w:vertAlign w:val="baseline"/>
                <w:lang w:val="en-US" w:eastAsia="zh-CN"/>
              </w:rPr>
              <w:t>、封井环境影响分析</w:t>
            </w:r>
          </w:p>
          <w:p w14:paraId="22EA61B7">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本项目为天然气评价井项目，封井分为临时封井和永久封井，当评价井具有开发价值时对其进行管网建设用于生产输送，或采取临时封井等待管网建设以及开发生产。当评价井不具有开发价值时，采取永久封井。</w:t>
            </w:r>
          </w:p>
          <w:p w14:paraId="29CF16E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（1）临时封井</w:t>
            </w:r>
          </w:p>
          <w:p w14:paraId="0630BB98">
            <w:pPr>
              <w:pStyle w:val="28"/>
              <w:keepNext/>
              <w:keepLines/>
              <w:pageBreakBefore w:val="0"/>
              <w:widowControl w:val="0"/>
              <w:kinsoku/>
              <w:wordWrap/>
              <w:overflowPunct/>
              <w:topLinePunct w:val="0"/>
              <w:autoSpaceDE/>
              <w:autoSpaceDN/>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临时封井时按行业规范进行封井作业，对钻井设备、基础进行拆除、搬迁，井口安装采气设施。在井口位置设标记，注明该井的启用与封闭时间及使用单位等，在封井结束后清理井场，</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由于钻井与标准化井场建设属于不同的单位，经核实，钻井工程结束后，钻井单位即按照要求对临时占地进行生态恢复</w:t>
            </w:r>
            <w:r>
              <w:rPr>
                <w:rFonts w:hint="default" w:ascii="Times New Roman" w:hAnsi="Times New Roman" w:cs="Times New Roman"/>
                <w:color w:val="auto"/>
                <w:sz w:val="24"/>
              </w:rPr>
              <w:t>。</w:t>
            </w:r>
          </w:p>
          <w:p w14:paraId="59ABA86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（2）永久封井</w:t>
            </w:r>
          </w:p>
          <w:p w14:paraId="41B44690">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的目的主要包括：保护淡水层免受地层流体或地表水窜入的污染；隔离开采井段与未开采利用井段；保护地表土壤和地面水不受地层流体污染；隔离开污水的层段；封井措施按照中石油企业标准《废弃井封井处置规范》（QSH0653-2015）要求执行，关键性层段之间应隔离开，主要包括以下工作：</w:t>
            </w:r>
          </w:p>
          <w:p w14:paraId="1FEFB9D5">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①隔离各个</w:t>
            </w:r>
            <w:r>
              <w:rPr>
                <w:rFonts w:hint="eastAsia" w:ascii="Times New Roman" w:hAnsi="Times New Roman" w:eastAsia="宋体" w:cs="Times New Roman"/>
                <w:b w:val="0"/>
                <w:bCs w:val="0"/>
                <w:color w:val="auto"/>
                <w:sz w:val="24"/>
                <w:szCs w:val="24"/>
                <w:vertAlign w:val="baseline"/>
                <w:lang w:val="en-US" w:eastAsia="zh-CN"/>
              </w:rPr>
              <w:t>采</w:t>
            </w:r>
            <w:r>
              <w:rPr>
                <w:rFonts w:hint="default" w:ascii="Times New Roman" w:hAnsi="Times New Roman" w:eastAsia="宋体" w:cs="Times New Roman"/>
                <w:b w:val="0"/>
                <w:bCs w:val="0"/>
                <w:color w:val="auto"/>
                <w:sz w:val="24"/>
                <w:szCs w:val="24"/>
                <w:vertAlign w:val="baseline"/>
                <w:lang w:val="en-US" w:eastAsia="zh-CN"/>
              </w:rPr>
              <w:t>气层和处理废水的层段，并在最下部淡水层的底部打一个水泥塞；</w:t>
            </w:r>
          </w:p>
          <w:p w14:paraId="5187082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②打地表水泥塞，阻止地面水渗入井内，并流入淡水层，同时限制境内流体流出地表，从而保护土壤和地面水；</w:t>
            </w:r>
          </w:p>
          <w:p w14:paraId="7DE7889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为防止层间窜流干扰邻井开发，在废弃井井内选择水泥塞或桥塞的位置，要确保隔离开已确认有生产能力的气层或注水层，使井内所有注采井段都被隔离开，将油气及注入液限值在各自的层段内，阻止各层之间的井内窜流；</w:t>
            </w:r>
          </w:p>
          <w:p w14:paraId="66F41278">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④恢复地貌，去掉井口装置和割掉一定深度以上的表层套管，使井与土地使用的矛盾最小化。</w:t>
            </w:r>
          </w:p>
          <w:p w14:paraId="7EA3E39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⑤封井后使用GPS重新定位，建立档案。</w:t>
            </w:r>
          </w:p>
          <w:p w14:paraId="690AAD0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（3）其他影响</w:t>
            </w:r>
          </w:p>
          <w:p w14:paraId="06317387">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封井期还需对井场的地面设施进行拆除，在拆除过程中会产生少量扬尘，扬尘受影响人群主要为拆除人员，拆除时间较短，且与当地自然条件导致的风沙相比较，清理过程中扬尘造成的环境影响可忽略不计。</w:t>
            </w:r>
          </w:p>
          <w:p w14:paraId="42A60C98">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封井之后需进行场地生态恢复，并进行植树种草，播撒种植当地适宜生长的草籽，以促进当地生态环境的恢复，项目占地面积较小，故对生态环境影响较小。</w:t>
            </w:r>
          </w:p>
          <w:p w14:paraId="17FD99E8">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综上，项目封井对周边环境影响较小。</w:t>
            </w:r>
          </w:p>
        </w:tc>
      </w:tr>
      <w:tr w14:paraId="58C4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center"/>
          </w:tcPr>
          <w:p w14:paraId="4D2C5AFA">
            <w:pPr>
              <w:keepLines/>
              <w:pageBreakBefore w:val="0"/>
              <w:numPr>
                <w:ilvl w:val="0"/>
                <w:numId w:val="0"/>
              </w:numPr>
              <w:kinsoku/>
              <w:wordWrap/>
              <w:overflowPunct/>
              <w:topLinePunct w:val="0"/>
              <w:bidi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运营期生态环境影响分析</w:t>
            </w:r>
          </w:p>
        </w:tc>
        <w:tc>
          <w:tcPr>
            <w:tcW w:w="8520" w:type="dxa"/>
            <w:vAlign w:val="center"/>
          </w:tcPr>
          <w:p w14:paraId="684E3AB4">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4BA3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top"/>
          </w:tcPr>
          <w:p w14:paraId="12F9E06C">
            <w:pPr>
              <w:keepLines/>
              <w:pageBreakBefore w:val="0"/>
              <w:numPr>
                <w:ilvl w:val="0"/>
                <w:numId w:val="0"/>
              </w:numPr>
              <w:kinsoku/>
              <w:wordWrap/>
              <w:overflowPunct/>
              <w:topLinePunct w:val="0"/>
              <w:bidi w:val="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选址选线环境合理性分析</w:t>
            </w:r>
          </w:p>
        </w:tc>
        <w:tc>
          <w:tcPr>
            <w:tcW w:w="8520" w:type="dxa"/>
            <w:vAlign w:val="top"/>
          </w:tcPr>
          <w:p w14:paraId="2B8B7BE4">
            <w:pPr>
              <w:keepLines/>
              <w:pageBreakBefore w:val="0"/>
              <w:kinsoku/>
              <w:wordWrap/>
              <w:overflowPunct/>
              <w:topLinePunct w:val="0"/>
              <w:autoSpaceDE w:val="0"/>
              <w:autoSpaceDN w:val="0"/>
              <w:bidi w:val="0"/>
              <w:adjustRightInd w:val="0"/>
              <w:snapToGrid w:val="0"/>
              <w:spacing w:line="360" w:lineRule="auto"/>
              <w:jc w:val="both"/>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rPr>
              <w:t>占地合理性</w:t>
            </w:r>
          </w:p>
          <w:p w14:paraId="160FD01E">
            <w:pPr>
              <w:keepNext w:val="0"/>
              <w:keepLines/>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rPr>
                <w:rFonts w:hint="default" w:ascii="Times New Roman" w:hAnsi="Times New Roman" w:cs="Times New Roman"/>
                <w:color w:val="auto"/>
                <w:sz w:val="24"/>
              </w:rPr>
            </w:pPr>
            <w:r>
              <w:rPr>
                <w:color w:val="auto"/>
                <w:sz w:val="24"/>
              </w:rPr>
              <w:t>本项目</w:t>
            </w:r>
            <w:r>
              <w:rPr>
                <w:rFonts w:hint="eastAsia"/>
                <w:color w:val="auto"/>
                <w:sz w:val="24"/>
                <w:lang w:val="en-US" w:eastAsia="zh-CN"/>
              </w:rPr>
              <w:t>探井</w:t>
            </w:r>
            <w:r>
              <w:rPr>
                <w:color w:val="auto"/>
                <w:sz w:val="24"/>
              </w:rPr>
              <w:t>勘探</w:t>
            </w:r>
            <w:r>
              <w:rPr>
                <w:rFonts w:hint="eastAsia"/>
                <w:color w:val="auto"/>
                <w:sz w:val="24"/>
                <w:lang w:val="en-US" w:eastAsia="zh-CN"/>
              </w:rPr>
              <w:t>测试</w:t>
            </w:r>
            <w:r>
              <w:rPr>
                <w:color w:val="auto"/>
                <w:sz w:val="24"/>
              </w:rPr>
              <w:t>后如有开采价值，将依法办理国土征地手续等，无开采价值将恢复原貌</w:t>
            </w:r>
            <w:r>
              <w:rPr>
                <w:rFonts w:hint="default" w:ascii="Times New Roman" w:hAnsi="Times New Roman" w:cs="Times New Roman"/>
                <w:color w:val="auto"/>
                <w:sz w:val="24"/>
              </w:rPr>
              <w:t>。</w:t>
            </w:r>
            <w:r>
              <w:rPr>
                <w:rFonts w:hint="eastAsia" w:ascii="Times New Roman" w:hAnsi="Times New Roman" w:cs="Times New Roman"/>
                <w:color w:val="auto"/>
                <w:sz w:val="24"/>
                <w:highlight w:val="none"/>
                <w:lang w:val="en-US" w:eastAsia="zh-CN"/>
              </w:rPr>
              <w:t>本项目临时</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占地面积</w:t>
            </w:r>
            <w:r>
              <w:rPr>
                <w:rFonts w:hint="eastAsia" w:ascii="Times New Roman" w:hAnsi="Times New Roman" w:eastAsia="宋体" w:cs="Times New Roman"/>
                <w:color w:val="auto"/>
                <w:sz w:val="24"/>
                <w:szCs w:val="24"/>
                <w:highlight w:val="none"/>
                <w:lang w:val="en-US" w:eastAsia="zh-CN"/>
              </w:rPr>
              <w:t>67428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bCs/>
                <w:color w:val="auto"/>
                <w:sz w:val="24"/>
                <w:szCs w:val="24"/>
                <w:highlight w:val="none"/>
                <w:lang w:val="en-US" w:eastAsia="zh-CN" w:bidi="ar"/>
              </w:rPr>
              <w:t>目前正在办理临时用地手续，</w:t>
            </w:r>
            <w:r>
              <w:rPr>
                <w:rFonts w:hint="default" w:ascii="Times New Roman" w:hAnsi="Times New Roman" w:eastAsia="宋体" w:cs="Times New Roman"/>
                <w:color w:val="auto"/>
                <w:sz w:val="24"/>
                <w:szCs w:val="24"/>
                <w:highlight w:val="none"/>
                <w:lang w:val="en-US" w:eastAsia="zh-CN"/>
              </w:rPr>
              <w:t>占地类型主要为</w:t>
            </w:r>
            <w:r>
              <w:rPr>
                <w:rFonts w:hint="eastAsia"/>
                <w:bCs/>
                <w:color w:val="auto"/>
                <w:sz w:val="24"/>
                <w:szCs w:val="24"/>
                <w:highlight w:val="none"/>
                <w:lang w:val="en-US" w:eastAsia="zh-CN" w:bidi="ar"/>
              </w:rPr>
              <w:t>林地、园地和耕地、草地，</w:t>
            </w:r>
            <w:r>
              <w:rPr>
                <w:rFonts w:hint="default" w:ascii="Times New Roman" w:hAnsi="Times New Roman" w:cs="Times New Roman"/>
                <w:color w:val="auto"/>
                <w:sz w:val="24"/>
                <w:lang w:eastAsia="zh-CN"/>
              </w:rPr>
              <w:t>不涉及基本农田、生态红线和禁止建设区，</w:t>
            </w:r>
            <w:r>
              <w:rPr>
                <w:rFonts w:hint="eastAsia" w:ascii="Times New Roman" w:hAnsi="Times New Roman" w:eastAsia="宋体" w:cs="Times New Roman"/>
                <w:bCs/>
                <w:snapToGrid w:val="0"/>
                <w:color w:val="auto"/>
                <w:kern w:val="0"/>
                <w:sz w:val="24"/>
                <w:highlight w:val="none"/>
              </w:rPr>
              <w:t>项目建设符合榆林市投资项目选址“一张图”控制线要求</w:t>
            </w:r>
            <w:r>
              <w:rPr>
                <w:rFonts w:hint="eastAsia" w:ascii="Times New Roman" w:hAnsi="Times New Roman" w:eastAsia="宋体" w:cs="Times New Roman"/>
                <w:bCs/>
                <w:snapToGrid w:val="0"/>
                <w:color w:val="auto"/>
                <w:kern w:val="0"/>
                <w:sz w:val="24"/>
                <w:highlight w:val="none"/>
                <w:lang w:eastAsia="zh-CN"/>
              </w:rPr>
              <w:t>，</w:t>
            </w:r>
            <w:r>
              <w:rPr>
                <w:rFonts w:hint="eastAsia" w:ascii="Times New Roman" w:hAnsi="Times New Roman" w:eastAsia="宋体" w:cs="Times New Roman"/>
                <w:bCs/>
                <w:snapToGrid w:val="0"/>
                <w:color w:val="auto"/>
                <w:kern w:val="0"/>
                <w:sz w:val="24"/>
                <w:highlight w:val="none"/>
                <w:lang w:val="en-US" w:eastAsia="zh-CN"/>
              </w:rPr>
              <w:t>故项目</w:t>
            </w:r>
            <w:r>
              <w:rPr>
                <w:rFonts w:hint="default" w:ascii="Times New Roman" w:hAnsi="Times New Roman" w:cs="Times New Roman"/>
                <w:color w:val="auto"/>
                <w:sz w:val="24"/>
              </w:rPr>
              <w:t>占地合理。</w:t>
            </w:r>
          </w:p>
          <w:p w14:paraId="1CAF6A93">
            <w:pPr>
              <w:keepNext w:val="0"/>
              <w:keepLines/>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rPr>
              <w:t>选址合理性</w:t>
            </w:r>
          </w:p>
          <w:p w14:paraId="625D5F42">
            <w:pPr>
              <w:keepNext w:val="0"/>
              <w:keepLines/>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项</w:t>
            </w:r>
            <w:r>
              <w:rPr>
                <w:rFonts w:hint="default" w:ascii="Times New Roman" w:hAnsi="Times New Roman" w:cs="Times New Roman"/>
                <w:color w:val="auto"/>
                <w:sz w:val="24"/>
                <w:szCs w:val="24"/>
                <w:highlight w:val="none"/>
              </w:rPr>
              <w:t>目位于</w:t>
            </w:r>
            <w:r>
              <w:rPr>
                <w:rFonts w:hint="eastAsia" w:ascii="Times New Roman" w:hAnsi="Times New Roman" w:eastAsia="宋体" w:cs="Times New Roman"/>
                <w:color w:val="auto"/>
                <w:sz w:val="24"/>
                <w:szCs w:val="24"/>
                <w:highlight w:val="none"/>
                <w:lang w:val="en-US" w:eastAsia="zh-CN"/>
              </w:rPr>
              <w:t>榆林市佳县朱官寨镇</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lang w:val="en-US" w:eastAsia="zh-CN"/>
              </w:rPr>
              <w:t>临时</w:t>
            </w:r>
            <w:r>
              <w:rPr>
                <w:rFonts w:hint="default" w:ascii="Times New Roman" w:hAnsi="Times New Roman" w:eastAsia="宋体" w:cs="Times New Roman"/>
                <w:color w:val="auto"/>
                <w:sz w:val="24"/>
                <w:szCs w:val="24"/>
                <w:highlight w:val="none"/>
                <w:lang w:val="en-US" w:eastAsia="zh-CN"/>
              </w:rPr>
              <w:t>占地类型主要为</w:t>
            </w:r>
            <w:r>
              <w:rPr>
                <w:rFonts w:hint="eastAsia"/>
                <w:bCs/>
                <w:color w:val="auto"/>
                <w:sz w:val="24"/>
                <w:szCs w:val="24"/>
                <w:highlight w:val="none"/>
                <w:lang w:val="en-US" w:eastAsia="zh-CN" w:bidi="ar"/>
              </w:rPr>
              <w:t>林地、园地和耕地、草地</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rPr>
              <w:t>不</w:t>
            </w:r>
            <w:r>
              <w:rPr>
                <w:rFonts w:hint="default" w:ascii="Times New Roman" w:hAnsi="Times New Roman" w:cs="Times New Roman"/>
                <w:color w:val="auto"/>
                <w:sz w:val="24"/>
                <w:szCs w:val="24"/>
                <w:highlight w:val="none"/>
                <w:lang w:eastAsia="zh-CN"/>
              </w:rPr>
              <w:t>占</w:t>
            </w:r>
            <w:r>
              <w:rPr>
                <w:rFonts w:hint="default" w:ascii="Times New Roman" w:hAnsi="Times New Roman" w:cs="Times New Roman"/>
                <w:color w:val="auto"/>
                <w:sz w:val="24"/>
                <w:szCs w:val="24"/>
                <w:lang w:eastAsia="zh-CN"/>
              </w:rPr>
              <w:t>用</w:t>
            </w:r>
            <w:r>
              <w:rPr>
                <w:rFonts w:hint="default" w:ascii="Times New Roman" w:hAnsi="Times New Roman" w:cs="Times New Roman"/>
                <w:color w:val="auto"/>
                <w:sz w:val="24"/>
                <w:szCs w:val="24"/>
              </w:rPr>
              <w:t>基本农田</w:t>
            </w:r>
            <w:r>
              <w:rPr>
                <w:rFonts w:hint="default" w:ascii="Times New Roman" w:hAnsi="Times New Roman" w:cs="Times New Roman"/>
                <w:color w:val="auto"/>
                <w:sz w:val="24"/>
                <w:szCs w:val="24"/>
                <w:lang w:eastAsia="zh-CN"/>
              </w:rPr>
              <w:t>和生态红线</w:t>
            </w:r>
            <w:r>
              <w:rPr>
                <w:rFonts w:hint="default" w:ascii="Times New Roman" w:hAnsi="Times New Roman" w:cs="Times New Roman"/>
                <w:color w:val="auto"/>
                <w:sz w:val="24"/>
                <w:szCs w:val="24"/>
              </w:rPr>
              <w:t>。根据《建设项目环境影响评价分类管理名录（2021年版）》中关于环境敏感因素的界定原则，本项目影响区不涉及饮用水水源保护区、自然保护区、风景名胜区等环境敏感区域。</w:t>
            </w:r>
          </w:p>
          <w:p w14:paraId="5674DD9E">
            <w:pPr>
              <w:keepNext w:val="0"/>
              <w:keepLines/>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项目探井建设</w:t>
            </w:r>
            <w:r>
              <w:rPr>
                <w:rFonts w:hint="default" w:ascii="Times New Roman" w:hAnsi="Times New Roman" w:eastAsia="宋体" w:cs="Times New Roman"/>
                <w:color w:val="auto"/>
                <w:sz w:val="24"/>
                <w:szCs w:val="24"/>
                <w:lang w:val="en-US" w:eastAsia="zh-CN"/>
              </w:rPr>
              <w:t>临时用地较小，工程仅涉及施工期，施工期采取各类措施后污染物可实现达标排放或不外排</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施工结束后，对不具有利用价值的勘探井进行永久封井，</w:t>
            </w:r>
            <w:r>
              <w:rPr>
                <w:rFonts w:hint="eastAsia" w:ascii="Times New Roman" w:hAnsi="Times New Roman" w:eastAsia="宋体" w:cs="Times New Roman"/>
                <w:color w:val="auto"/>
                <w:sz w:val="24"/>
                <w:szCs w:val="24"/>
                <w:lang w:val="en-US" w:eastAsia="zh-CN"/>
              </w:rPr>
              <w:t>现有井场内占地恢复原状，临时占地</w:t>
            </w:r>
            <w:r>
              <w:rPr>
                <w:rFonts w:hint="default" w:ascii="Times New Roman" w:hAnsi="Times New Roman" w:eastAsia="宋体" w:cs="Times New Roman"/>
                <w:color w:val="auto"/>
                <w:sz w:val="24"/>
                <w:szCs w:val="24"/>
              </w:rPr>
              <w:t>恢复原土地类型</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若测试具有工业产能，</w:t>
            </w:r>
            <w:r>
              <w:rPr>
                <w:rFonts w:hint="eastAsia" w:ascii="Times New Roman" w:hAnsi="Times New Roman" w:eastAsia="宋体" w:cs="Times New Roman"/>
                <w:color w:val="auto"/>
                <w:sz w:val="24"/>
                <w:szCs w:val="24"/>
                <w:lang w:val="en-US" w:eastAsia="zh-CN"/>
              </w:rPr>
              <w:t>交</w:t>
            </w:r>
            <w:r>
              <w:rPr>
                <w:rFonts w:hint="default" w:ascii="Times New Roman" w:hAnsi="Times New Roman" w:cs="Times New Roman"/>
                <w:color w:val="auto"/>
                <w:sz w:val="24"/>
                <w:szCs w:val="24"/>
                <w:highlight w:val="none"/>
                <w:lang w:val="en-US" w:eastAsia="zh-CN"/>
              </w:rPr>
              <w:t>长庆油田分公司第二采气厂</w:t>
            </w:r>
            <w:r>
              <w:rPr>
                <w:rFonts w:hint="eastAsia" w:ascii="Times New Roman" w:hAnsi="Times New Roman" w:eastAsia="宋体" w:cs="Times New Roman"/>
                <w:color w:val="auto"/>
                <w:sz w:val="24"/>
                <w:szCs w:val="24"/>
                <w:lang w:val="en-US" w:eastAsia="zh-CN"/>
              </w:rPr>
              <w:t>按标准化建设进行建设。经分析，项目建设</w:t>
            </w:r>
            <w:r>
              <w:rPr>
                <w:rFonts w:hint="default" w:ascii="Times New Roman" w:hAnsi="Times New Roman" w:eastAsia="宋体" w:cs="Times New Roman"/>
                <w:color w:val="auto"/>
                <w:sz w:val="24"/>
                <w:szCs w:val="24"/>
                <w:lang w:val="en-US" w:eastAsia="zh-CN"/>
              </w:rPr>
              <w:t>符合榆林市</w:t>
            </w:r>
            <w:r>
              <w:rPr>
                <w:rFonts w:hint="default" w:ascii="Times New Roman" w:hAnsi="Times New Roman" w:eastAsia="宋体" w:cs="Times New Roman"/>
                <w:color w:val="auto"/>
                <w:sz w:val="24"/>
                <w:szCs w:val="24"/>
              </w:rPr>
              <w:t>生态环境分区管控</w:t>
            </w:r>
            <w:r>
              <w:rPr>
                <w:rFonts w:hint="default" w:ascii="Times New Roman" w:hAnsi="Times New Roman" w:eastAsia="宋体" w:cs="Times New Roman"/>
                <w:color w:val="auto"/>
                <w:sz w:val="24"/>
                <w:szCs w:val="24"/>
                <w:lang w:val="en-US" w:eastAsia="zh-CN"/>
              </w:rPr>
              <w:t>要求。</w:t>
            </w:r>
          </w:p>
          <w:p w14:paraId="3221545B">
            <w:pPr>
              <w:keepNext w:val="0"/>
              <w:keepLines/>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sz w:val="24"/>
                <w:lang w:val="en-US" w:eastAsia="zh-CN"/>
              </w:rPr>
              <w:t>本次新建6口气勘探层位与探井周边已有气井层位不同，属于新气层层位勘探</w:t>
            </w:r>
            <w:r>
              <w:rPr>
                <w:rFonts w:hint="eastAsia" w:ascii="Times New Roman" w:hAnsi="Times New Roman" w:eastAsia="宋体" w:cs="Times New Roman"/>
                <w:b w:val="0"/>
                <w:color w:val="auto"/>
                <w:sz w:val="24"/>
                <w:szCs w:val="24"/>
                <w:lang w:val="en-US" w:eastAsia="zh-CN"/>
              </w:rPr>
              <w:t>，符合天然气探井勘探布局要求，旨在现有气田区域内</w:t>
            </w:r>
            <w:r>
              <w:rPr>
                <w:rFonts w:hint="default" w:ascii="Times New Roman" w:hAnsi="Times New Roman" w:eastAsia="宋体" w:cs="Times New Roman"/>
                <w:color w:val="auto"/>
                <w:sz w:val="24"/>
              </w:rPr>
              <w:t>寻找新的适合开发的</w:t>
            </w:r>
            <w:r>
              <w:rPr>
                <w:rFonts w:hint="eastAsia" w:ascii="Times New Roman" w:hAnsi="Times New Roman" w:eastAsia="宋体" w:cs="Times New Roman"/>
                <w:color w:val="auto"/>
                <w:sz w:val="24"/>
                <w:lang w:val="en-US" w:eastAsia="zh-CN"/>
              </w:rPr>
              <w:t>气藏</w:t>
            </w:r>
            <w:r>
              <w:rPr>
                <w:rFonts w:hint="default" w:ascii="Times New Roman" w:hAnsi="Times New Roman" w:eastAsia="宋体" w:cs="Times New Roman"/>
                <w:color w:val="auto"/>
                <w:sz w:val="24"/>
              </w:rPr>
              <w:t>层位</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为气田后续产能建设提供决策依据</w:t>
            </w:r>
            <w:r>
              <w:rPr>
                <w:rFonts w:hint="default" w:ascii="Times New Roman" w:hAnsi="Times New Roman" w:eastAsia="宋体" w:cs="Times New Roman"/>
                <w:b w:val="0"/>
                <w:color w:val="auto"/>
                <w:kern w:val="2"/>
                <w:sz w:val="24"/>
                <w:szCs w:val="24"/>
                <w:highlight w:val="none"/>
                <w:lang w:val="en-US" w:eastAsia="zh-CN" w:bidi="ar-SA"/>
              </w:rPr>
              <w:t>。</w:t>
            </w:r>
          </w:p>
          <w:p w14:paraId="7D58791F">
            <w:pPr>
              <w:keepNext w:val="0"/>
              <w:keepLines/>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eastAsia="宋体" w:cs="Times New Roman"/>
                <w:b w:val="0"/>
                <w:color w:val="auto"/>
                <w:kern w:val="2"/>
                <w:sz w:val="24"/>
                <w:szCs w:val="24"/>
                <w:highlight w:val="none"/>
                <w:lang w:val="en-US" w:eastAsia="zh-CN" w:bidi="ar-SA"/>
              </w:rPr>
              <w:t>据现场调查，本项目探井</w:t>
            </w:r>
            <w:r>
              <w:rPr>
                <w:rFonts w:hint="eastAsia" w:ascii="Times New Roman" w:hAnsi="Times New Roman" w:eastAsia="宋体" w:cs="Times New Roman"/>
                <w:b w:val="0"/>
                <w:color w:val="auto"/>
                <w:kern w:val="2"/>
                <w:sz w:val="24"/>
                <w:szCs w:val="24"/>
                <w:highlight w:val="none"/>
                <w:lang w:val="en-US" w:eastAsia="zh-CN" w:bidi="ar-SA"/>
              </w:rPr>
              <w:t>5</w:t>
            </w:r>
            <w:r>
              <w:rPr>
                <w:rFonts w:hint="default" w:ascii="Times New Roman" w:hAnsi="Times New Roman" w:eastAsia="宋体" w:cs="Times New Roman"/>
                <w:b w:val="0"/>
                <w:color w:val="auto"/>
                <w:kern w:val="2"/>
                <w:sz w:val="24"/>
                <w:szCs w:val="24"/>
                <w:highlight w:val="none"/>
                <w:lang w:val="en-US" w:eastAsia="zh-CN" w:bidi="ar-SA"/>
              </w:rPr>
              <w:t>00m范围内无学校、医院和大型油库等密集型、高危性场所，</w:t>
            </w:r>
            <w:r>
              <w:rPr>
                <w:rFonts w:hint="eastAsia" w:ascii="Times New Roman" w:hAnsi="Times New Roman" w:eastAsia="宋体" w:cs="Times New Roman"/>
                <w:b w:val="0"/>
                <w:color w:val="auto"/>
                <w:kern w:val="2"/>
                <w:sz w:val="24"/>
                <w:szCs w:val="24"/>
                <w:highlight w:val="none"/>
                <w:lang w:val="en-US" w:eastAsia="zh-CN" w:bidi="ar-SA"/>
              </w:rPr>
              <w:t>100</w:t>
            </w:r>
            <w:r>
              <w:rPr>
                <w:rFonts w:hint="default" w:ascii="Times New Roman" w:hAnsi="Times New Roman" w:eastAsia="宋体" w:cs="Times New Roman"/>
                <w:b w:val="0"/>
                <w:color w:val="auto"/>
                <w:kern w:val="2"/>
                <w:sz w:val="24"/>
                <w:szCs w:val="24"/>
                <w:highlight w:val="none"/>
                <w:lang w:val="en-US" w:eastAsia="zh-CN" w:bidi="ar-SA"/>
              </w:rPr>
              <w:t>m范围内无高压线及其它永久性设施，</w:t>
            </w:r>
            <w:r>
              <w:rPr>
                <w:rFonts w:hint="eastAsia" w:ascii="Times New Roman" w:hAnsi="Times New Roman" w:eastAsia="宋体" w:cs="Times New Roman"/>
                <w:b w:val="0"/>
                <w:color w:val="auto"/>
                <w:kern w:val="2"/>
                <w:sz w:val="24"/>
                <w:szCs w:val="24"/>
                <w:highlight w:val="none"/>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00m范围内无铁路、高速公路等，</w:t>
            </w:r>
            <w:r>
              <w:rPr>
                <w:rFonts w:hint="eastAsia" w:ascii="Times New Roman" w:hAnsi="Times New Roman" w:eastAsia="宋体" w:cs="Times New Roman"/>
                <w:b w:val="0"/>
                <w:color w:val="auto"/>
                <w:kern w:val="2"/>
                <w:sz w:val="24"/>
                <w:szCs w:val="24"/>
                <w:highlight w:val="none"/>
                <w:lang w:val="en-US" w:eastAsia="zh-CN" w:bidi="ar-SA"/>
              </w:rPr>
              <w:t>100m范围内无居民点，探井选址</w:t>
            </w:r>
            <w:r>
              <w:rPr>
                <w:rFonts w:hint="default" w:ascii="Times New Roman" w:hAnsi="Times New Roman" w:cs="Times New Roman"/>
                <w:color w:val="auto"/>
                <w:sz w:val="24"/>
              </w:rPr>
              <w:t>符合《钻前工程及井场布置技术要求》（SY/T5466-2013）中3.2.2节规定。</w:t>
            </w:r>
            <w:r>
              <w:rPr>
                <w:rFonts w:hint="eastAsia" w:ascii="Times New Roman" w:hAnsi="Times New Roman" w:cs="Times New Roman"/>
                <w:color w:val="auto"/>
                <w:sz w:val="24"/>
                <w:lang w:val="en-US" w:eastAsia="zh-CN"/>
              </w:rPr>
              <w:t>根据项目施工期平面布置图，放喷池位于井场外，与井口距离大于30m，放散管位于井场外下风向，与井口距离大于50m，</w:t>
            </w:r>
            <w:r>
              <w:rPr>
                <w:rFonts w:hint="default" w:ascii="Times New Roman" w:hAnsi="Times New Roman" w:cs="Times New Roman"/>
                <w:color w:val="auto"/>
                <w:sz w:val="24"/>
              </w:rPr>
              <w:t>符合《钻前工程及井场布置技术要求》（SY/T5466-2013）</w:t>
            </w:r>
            <w:r>
              <w:rPr>
                <w:rFonts w:hint="eastAsia" w:ascii="Times New Roman" w:hAnsi="Times New Roman" w:cs="Times New Roman"/>
                <w:color w:val="auto"/>
                <w:sz w:val="24"/>
                <w:lang w:val="en-US" w:eastAsia="zh-CN"/>
              </w:rPr>
              <w:t>相关</w:t>
            </w:r>
            <w:r>
              <w:rPr>
                <w:rFonts w:hint="default" w:ascii="Times New Roman" w:hAnsi="Times New Roman" w:cs="Times New Roman"/>
                <w:color w:val="auto"/>
                <w:sz w:val="24"/>
              </w:rPr>
              <w:t>规定</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放喷池和放散管选址合理</w:t>
            </w:r>
            <w:r>
              <w:rPr>
                <w:rFonts w:hint="eastAsia" w:ascii="Times New Roman" w:hAnsi="Times New Roman" w:cs="Times New Roman"/>
                <w:color w:val="auto"/>
                <w:sz w:val="24"/>
                <w:lang w:eastAsia="zh-CN"/>
              </w:rPr>
              <w:t>。</w:t>
            </w:r>
          </w:p>
          <w:p w14:paraId="21A4E897">
            <w:pPr>
              <w:keepNext w:val="0"/>
              <w:keepLines/>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green"/>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项目选址与重要设施或民宅的距离下表4-</w:t>
            </w:r>
            <w:r>
              <w:rPr>
                <w:rFonts w:hint="eastAsia" w:ascii="Times New Roman" w:hAnsi="Times New Roman" w:eastAsia="宋体" w:cs="Times New Roman"/>
                <w:b w:val="0"/>
                <w:color w:val="auto"/>
                <w:kern w:val="2"/>
                <w:sz w:val="24"/>
                <w:szCs w:val="24"/>
                <w:highlight w:val="none"/>
                <w:lang w:val="en-US" w:eastAsia="zh-CN" w:bidi="ar-SA"/>
              </w:rPr>
              <w:t>15</w:t>
            </w:r>
            <w:r>
              <w:rPr>
                <w:rFonts w:hint="default" w:ascii="Times New Roman" w:hAnsi="Times New Roman" w:eastAsia="宋体" w:cs="Times New Roman"/>
                <w:b w:val="0"/>
                <w:color w:val="auto"/>
                <w:kern w:val="2"/>
                <w:sz w:val="24"/>
                <w:szCs w:val="24"/>
                <w:highlight w:val="none"/>
                <w:lang w:val="en-US" w:eastAsia="zh-CN" w:bidi="ar-SA"/>
              </w:rPr>
              <w:t>和附图。</w:t>
            </w:r>
          </w:p>
          <w:p w14:paraId="04E0AA5B">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Chars="0"/>
              <w:jc w:val="center"/>
              <w:textAlignment w:val="auto"/>
              <w:rPr>
                <w:rFonts w:hint="default" w:ascii="Times New Roman" w:hAnsi="Times New Roman" w:eastAsia="等线"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cs="Times New Roman"/>
                <w:color w:val="auto"/>
                <w:sz w:val="21"/>
                <w:szCs w:val="21"/>
              </w:rPr>
              <w:t>4-</w:t>
            </w:r>
            <w:r>
              <w:rPr>
                <w:rFonts w:hint="eastAsia" w:cs="Times New Roman"/>
                <w:color w:val="auto"/>
                <w:sz w:val="21"/>
                <w:szCs w:val="21"/>
                <w:lang w:val="en-US" w:eastAsia="zh-CN"/>
              </w:rPr>
              <w:t>15</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 </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钻井井口周边</w:t>
            </w:r>
            <w:r>
              <w:rPr>
                <w:rFonts w:hint="default" w:ascii="Times New Roman" w:hAnsi="Times New Roman" w:eastAsia="宋体" w:cs="Times New Roman"/>
                <w:color w:val="auto"/>
                <w:sz w:val="21"/>
                <w:szCs w:val="21"/>
              </w:rPr>
              <w:t>敏感目标调查表</w:t>
            </w:r>
          </w:p>
          <w:tbl>
            <w:tblPr>
              <w:tblStyle w:val="21"/>
              <w:tblW w:w="5051" w:type="pct"/>
              <w:jc w:val="center"/>
              <w:tblLayout w:type="autofit"/>
              <w:tblCellMar>
                <w:top w:w="0" w:type="dxa"/>
                <w:left w:w="108" w:type="dxa"/>
                <w:bottom w:w="0" w:type="dxa"/>
                <w:right w:w="108" w:type="dxa"/>
              </w:tblCellMar>
            </w:tblPr>
            <w:tblGrid>
              <w:gridCol w:w="756"/>
              <w:gridCol w:w="1015"/>
              <w:gridCol w:w="1124"/>
              <w:gridCol w:w="1549"/>
              <w:gridCol w:w="1276"/>
              <w:gridCol w:w="482"/>
              <w:gridCol w:w="325"/>
              <w:gridCol w:w="508"/>
              <w:gridCol w:w="445"/>
              <w:gridCol w:w="525"/>
              <w:gridCol w:w="519"/>
              <w:gridCol w:w="219"/>
            </w:tblGrid>
            <w:tr w14:paraId="53FC158C">
              <w:tblPrEx>
                <w:tblCellMar>
                  <w:top w:w="0" w:type="dxa"/>
                  <w:left w:w="108" w:type="dxa"/>
                  <w:bottom w:w="0" w:type="dxa"/>
                  <w:right w:w="108" w:type="dxa"/>
                </w:tblCellMar>
              </w:tblPrEx>
              <w:trPr>
                <w:trHeight w:val="283" w:hRule="atLeast"/>
                <w:jc w:val="center"/>
              </w:trPr>
              <w:tc>
                <w:tcPr>
                  <w:tcW w:w="547" w:type="pct"/>
                  <w:vMerge w:val="restart"/>
                  <w:tcBorders>
                    <w:top w:val="single" w:color="auto" w:sz="4" w:space="0"/>
                    <w:left w:val="single" w:color="auto" w:sz="4" w:space="0"/>
                    <w:bottom w:val="single" w:color="auto" w:sz="4" w:space="0"/>
                    <w:right w:val="single" w:color="auto" w:sz="4" w:space="0"/>
                  </w:tcBorders>
                  <w:noWrap/>
                  <w:vAlign w:val="center"/>
                </w:tcPr>
                <w:p w14:paraId="44CE8378">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lang w:val="en-US" w:eastAsia="zh-CN"/>
                    </w:rPr>
                    <w:t>实施</w:t>
                  </w:r>
                  <w:r>
                    <w:rPr>
                      <w:rFonts w:hint="default" w:ascii="Times New Roman" w:hAnsi="Times New Roman" w:cs="Times New Roman"/>
                      <w:b/>
                      <w:bCs/>
                      <w:color w:val="auto"/>
                      <w:kern w:val="0"/>
                      <w:sz w:val="21"/>
                      <w:szCs w:val="21"/>
                    </w:rPr>
                    <w:t>井号</w:t>
                  </w:r>
                </w:p>
              </w:tc>
              <w:tc>
                <w:tcPr>
                  <w:tcW w:w="1097" w:type="pct"/>
                  <w:gridSpan w:val="2"/>
                  <w:tcBorders>
                    <w:top w:val="single" w:color="auto" w:sz="4" w:space="0"/>
                    <w:left w:val="nil"/>
                    <w:bottom w:val="single" w:color="auto" w:sz="4" w:space="0"/>
                    <w:right w:val="single" w:color="auto" w:sz="4" w:space="0"/>
                  </w:tcBorders>
                  <w:noWrap/>
                  <w:vAlign w:val="center"/>
                </w:tcPr>
                <w:p w14:paraId="77067843">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2"/>
                      <w:sz w:val="21"/>
                      <w:szCs w:val="21"/>
                      <w:highlight w:val="none"/>
                      <w:lang w:val="en-US" w:eastAsia="zh-CN" w:bidi="ar-SA"/>
                    </w:rPr>
                    <w:t>学校、医院和大型油库等密集型、高危性场所</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0FE43A4A">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民宅</w:t>
                  </w:r>
                </w:p>
              </w:tc>
              <w:tc>
                <w:tcPr>
                  <w:tcW w:w="809" w:type="pct"/>
                  <w:gridSpan w:val="2"/>
                  <w:tcBorders>
                    <w:top w:val="single" w:color="auto" w:sz="4" w:space="0"/>
                    <w:left w:val="single" w:color="auto" w:sz="4" w:space="0"/>
                    <w:bottom w:val="single" w:color="auto" w:sz="4" w:space="0"/>
                    <w:right w:val="single" w:color="auto" w:sz="4" w:space="0"/>
                  </w:tcBorders>
                  <w:noWrap/>
                  <w:vAlign w:val="center"/>
                </w:tcPr>
                <w:p w14:paraId="09779E3B">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高压线及其它</w:t>
                  </w:r>
                </w:p>
                <w:p w14:paraId="7BF01911">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永久性设施</w:t>
                  </w:r>
                </w:p>
              </w:tc>
              <w:tc>
                <w:tcPr>
                  <w:tcW w:w="706" w:type="pct"/>
                  <w:gridSpan w:val="2"/>
                  <w:tcBorders>
                    <w:top w:val="single" w:color="auto" w:sz="4" w:space="0"/>
                    <w:left w:val="nil"/>
                    <w:bottom w:val="single" w:color="auto" w:sz="4" w:space="0"/>
                    <w:right w:val="single" w:color="auto" w:sz="4" w:space="0"/>
                  </w:tcBorders>
                  <w:noWrap/>
                  <w:vAlign w:val="center"/>
                </w:tcPr>
                <w:p w14:paraId="00AB64F7">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铁路</w:t>
                  </w:r>
                </w:p>
              </w:tc>
              <w:tc>
                <w:tcPr>
                  <w:tcW w:w="683" w:type="pct"/>
                  <w:gridSpan w:val="2"/>
                  <w:tcBorders>
                    <w:top w:val="single" w:color="auto" w:sz="4" w:space="0"/>
                    <w:left w:val="nil"/>
                    <w:bottom w:val="single" w:color="auto" w:sz="4" w:space="0"/>
                    <w:right w:val="single" w:color="auto" w:sz="4" w:space="0"/>
                  </w:tcBorders>
                  <w:noWrap/>
                  <w:vAlign w:val="center"/>
                </w:tcPr>
                <w:p w14:paraId="29C23B7C">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高速公路</w:t>
                  </w:r>
                </w:p>
              </w:tc>
              <w:tc>
                <w:tcPr>
                  <w:tcW w:w="283" w:type="pct"/>
                  <w:vMerge w:val="restart"/>
                  <w:tcBorders>
                    <w:top w:val="single" w:color="auto" w:sz="4" w:space="0"/>
                    <w:left w:val="single" w:color="auto" w:sz="4" w:space="0"/>
                    <w:bottom w:val="single" w:color="auto" w:sz="4" w:space="0"/>
                    <w:right w:val="single" w:color="auto" w:sz="4" w:space="0"/>
                  </w:tcBorders>
                  <w:noWrap w:val="0"/>
                  <w:vAlign w:val="center"/>
                </w:tcPr>
                <w:p w14:paraId="15B3E789">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是否符合要求</w:t>
                  </w:r>
                </w:p>
              </w:tc>
            </w:tr>
            <w:tr w14:paraId="05E5B58D">
              <w:tblPrEx>
                <w:tblCellMar>
                  <w:top w:w="0" w:type="dxa"/>
                  <w:left w:w="108" w:type="dxa"/>
                  <w:bottom w:w="0" w:type="dxa"/>
                  <w:right w:w="108" w:type="dxa"/>
                </w:tblCellMar>
              </w:tblPrEx>
              <w:trPr>
                <w:trHeight w:val="283"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14:paraId="7CA50BE4">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c>
                <w:tcPr>
                  <w:tcW w:w="517" w:type="pct"/>
                  <w:tcBorders>
                    <w:top w:val="nil"/>
                    <w:left w:val="nil"/>
                    <w:bottom w:val="single" w:color="auto" w:sz="4" w:space="0"/>
                    <w:right w:val="single" w:color="auto" w:sz="4" w:space="0"/>
                  </w:tcBorders>
                  <w:noWrap/>
                  <w:vAlign w:val="center"/>
                </w:tcPr>
                <w:p w14:paraId="624DFB89">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580" w:type="pct"/>
                  <w:tcBorders>
                    <w:top w:val="nil"/>
                    <w:left w:val="single" w:color="auto" w:sz="4" w:space="0"/>
                    <w:bottom w:val="single" w:color="auto" w:sz="4" w:space="0"/>
                    <w:right w:val="single" w:color="auto" w:sz="4" w:space="0"/>
                  </w:tcBorders>
                  <w:noWrap/>
                  <w:vAlign w:val="center"/>
                </w:tcPr>
                <w:p w14:paraId="248D3020">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482" w:type="pct"/>
                  <w:tcBorders>
                    <w:top w:val="nil"/>
                    <w:left w:val="single" w:color="auto" w:sz="4" w:space="0"/>
                    <w:bottom w:val="single" w:color="auto" w:sz="4" w:space="0"/>
                    <w:right w:val="single" w:color="auto" w:sz="4" w:space="0"/>
                  </w:tcBorders>
                  <w:noWrap/>
                  <w:vAlign w:val="center"/>
                </w:tcPr>
                <w:p w14:paraId="2984B85B">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90" w:type="pct"/>
                  <w:tcBorders>
                    <w:top w:val="nil"/>
                    <w:left w:val="single" w:color="auto" w:sz="4" w:space="0"/>
                    <w:bottom w:val="single" w:color="auto" w:sz="4" w:space="0"/>
                    <w:right w:val="single" w:color="auto" w:sz="4" w:space="0"/>
                  </w:tcBorders>
                  <w:noWrap/>
                  <w:vAlign w:val="center"/>
                </w:tcPr>
                <w:p w14:paraId="08672DBF">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516" w:type="pct"/>
                  <w:tcBorders>
                    <w:top w:val="nil"/>
                    <w:left w:val="single" w:color="auto" w:sz="4" w:space="0"/>
                    <w:bottom w:val="single" w:color="auto" w:sz="4" w:space="0"/>
                    <w:right w:val="single" w:color="auto" w:sz="4" w:space="0"/>
                  </w:tcBorders>
                  <w:noWrap/>
                  <w:vAlign w:val="center"/>
                </w:tcPr>
                <w:p w14:paraId="49294E9B">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293" w:type="pct"/>
                  <w:tcBorders>
                    <w:top w:val="nil"/>
                    <w:left w:val="single" w:color="auto" w:sz="4" w:space="0"/>
                    <w:bottom w:val="single" w:color="auto" w:sz="4" w:space="0"/>
                    <w:right w:val="single" w:color="auto" w:sz="4" w:space="0"/>
                  </w:tcBorders>
                  <w:noWrap/>
                  <w:vAlign w:val="center"/>
                </w:tcPr>
                <w:p w14:paraId="3DF707CD">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84" w:type="pct"/>
                  <w:tcBorders>
                    <w:top w:val="nil"/>
                    <w:left w:val="nil"/>
                    <w:bottom w:val="single" w:color="auto" w:sz="4" w:space="0"/>
                    <w:right w:val="single" w:color="auto" w:sz="4" w:space="0"/>
                  </w:tcBorders>
                  <w:noWrap/>
                  <w:vAlign w:val="center"/>
                </w:tcPr>
                <w:p w14:paraId="4AFBEAE0">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22" w:type="pct"/>
                  <w:tcBorders>
                    <w:top w:val="nil"/>
                    <w:left w:val="single" w:color="auto" w:sz="4" w:space="0"/>
                    <w:bottom w:val="single" w:color="auto" w:sz="4" w:space="0"/>
                    <w:right w:val="single" w:color="auto" w:sz="4" w:space="0"/>
                  </w:tcBorders>
                  <w:noWrap/>
                  <w:vAlign w:val="center"/>
                </w:tcPr>
                <w:p w14:paraId="52B960F9">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44" w:type="pct"/>
                  <w:tcBorders>
                    <w:top w:val="nil"/>
                    <w:left w:val="nil"/>
                    <w:bottom w:val="single" w:color="auto" w:sz="4" w:space="0"/>
                    <w:right w:val="single" w:color="auto" w:sz="4" w:space="0"/>
                  </w:tcBorders>
                  <w:noWrap/>
                  <w:vAlign w:val="center"/>
                </w:tcPr>
                <w:p w14:paraId="435B122E">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39" w:type="pct"/>
                  <w:tcBorders>
                    <w:top w:val="nil"/>
                    <w:left w:val="single" w:color="auto" w:sz="4" w:space="0"/>
                    <w:bottom w:val="single" w:color="auto" w:sz="4" w:space="0"/>
                    <w:right w:val="single" w:color="auto" w:sz="4" w:space="0"/>
                  </w:tcBorders>
                  <w:noWrap/>
                  <w:vAlign w:val="center"/>
                </w:tcPr>
                <w:p w14:paraId="01EDCBB3">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283" w:type="pct"/>
                  <w:vMerge w:val="continue"/>
                  <w:tcBorders>
                    <w:top w:val="single" w:color="auto" w:sz="4" w:space="0"/>
                    <w:left w:val="single" w:color="auto" w:sz="4" w:space="0"/>
                    <w:bottom w:val="single" w:color="auto" w:sz="4" w:space="0"/>
                    <w:right w:val="single" w:color="auto" w:sz="4" w:space="0"/>
                  </w:tcBorders>
                  <w:noWrap w:val="0"/>
                  <w:vAlign w:val="center"/>
                </w:tcPr>
                <w:p w14:paraId="225033C4">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r>
            <w:tr w14:paraId="732327FA">
              <w:tblPrEx>
                <w:tblCellMar>
                  <w:top w:w="0" w:type="dxa"/>
                  <w:left w:w="108" w:type="dxa"/>
                  <w:bottom w:w="0" w:type="dxa"/>
                  <w:right w:w="108" w:type="dxa"/>
                </w:tblCellMar>
              </w:tblPrEx>
              <w:trPr>
                <w:trHeight w:val="283" w:hRule="atLeast"/>
                <w:jc w:val="center"/>
              </w:trPr>
              <w:tc>
                <w:tcPr>
                  <w:tcW w:w="5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43D62D">
                  <w:pPr>
                    <w:keepLines/>
                    <w:pageBreakBefore w:val="0"/>
                    <w:kinsoku/>
                    <w:wordWrap/>
                    <w:overflowPunct/>
                    <w:topLinePunct w:val="0"/>
                    <w:bidi w:val="0"/>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米107-6MX</w:t>
                  </w:r>
                </w:p>
              </w:tc>
              <w:tc>
                <w:tcPr>
                  <w:tcW w:w="1097" w:type="pct"/>
                  <w:gridSpan w:val="2"/>
                  <w:tcBorders>
                    <w:top w:val="single" w:color="auto" w:sz="4" w:space="0"/>
                    <w:left w:val="nil"/>
                    <w:right w:val="single" w:color="auto" w:sz="4" w:space="0"/>
                  </w:tcBorders>
                  <w:noWrap/>
                  <w:vAlign w:val="center"/>
                </w:tcPr>
                <w:p w14:paraId="1DF52322">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72" w:type="pct"/>
                  <w:gridSpan w:val="2"/>
                  <w:tcBorders>
                    <w:top w:val="single" w:color="auto" w:sz="4" w:space="0"/>
                    <w:left w:val="single" w:color="auto" w:sz="4" w:space="0"/>
                    <w:right w:val="single" w:color="auto" w:sz="4" w:space="0"/>
                  </w:tcBorders>
                  <w:noWrap/>
                  <w:vAlign w:val="center"/>
                </w:tcPr>
                <w:p w14:paraId="2B7CD658">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100m范围内无居民点（距离井口最近敏感目标在385m以外）</w:t>
                  </w:r>
                </w:p>
              </w:tc>
              <w:tc>
                <w:tcPr>
                  <w:tcW w:w="809" w:type="pct"/>
                  <w:gridSpan w:val="2"/>
                  <w:tcBorders>
                    <w:top w:val="single" w:color="auto" w:sz="4" w:space="0"/>
                    <w:left w:val="single" w:color="auto" w:sz="4" w:space="0"/>
                    <w:right w:val="single" w:color="000000" w:sz="4" w:space="0"/>
                  </w:tcBorders>
                  <w:noWrap/>
                  <w:vAlign w:val="center"/>
                </w:tcPr>
                <w:p w14:paraId="62D5E945">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78DA8C63">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7D6B7380">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706" w:type="pct"/>
                  <w:gridSpan w:val="2"/>
                  <w:tcBorders>
                    <w:top w:val="single" w:color="auto" w:sz="4" w:space="0"/>
                    <w:left w:val="nil"/>
                    <w:bottom w:val="single" w:color="auto" w:sz="4" w:space="0"/>
                    <w:right w:val="single" w:color="auto" w:sz="4" w:space="0"/>
                  </w:tcBorders>
                  <w:noWrap/>
                  <w:vAlign w:val="center"/>
                </w:tcPr>
                <w:p w14:paraId="37A347E9">
                  <w:pPr>
                    <w:keepNext w:val="0"/>
                    <w:keepLines/>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683" w:type="pct"/>
                  <w:gridSpan w:val="2"/>
                  <w:tcBorders>
                    <w:top w:val="single" w:color="auto" w:sz="4" w:space="0"/>
                    <w:left w:val="nil"/>
                    <w:right w:val="single" w:color="000000" w:sz="4" w:space="0"/>
                  </w:tcBorders>
                  <w:noWrap/>
                  <w:vAlign w:val="center"/>
                </w:tcPr>
                <w:p w14:paraId="0B1CCA9B">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283" w:type="pct"/>
                  <w:tcBorders>
                    <w:top w:val="single" w:color="auto" w:sz="4" w:space="0"/>
                    <w:left w:val="nil"/>
                    <w:bottom w:val="single" w:color="auto" w:sz="4" w:space="0"/>
                    <w:right w:val="single" w:color="auto" w:sz="4" w:space="0"/>
                  </w:tcBorders>
                  <w:noWrap/>
                  <w:vAlign w:val="center"/>
                </w:tcPr>
                <w:p w14:paraId="01B7B8BE">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r>
            <w:tr w14:paraId="6E3B57F9">
              <w:tblPrEx>
                <w:tblCellMar>
                  <w:top w:w="0" w:type="dxa"/>
                  <w:left w:w="108" w:type="dxa"/>
                  <w:bottom w:w="0" w:type="dxa"/>
                  <w:right w:w="108" w:type="dxa"/>
                </w:tblCellMar>
              </w:tblPrEx>
              <w:trPr>
                <w:trHeight w:val="283" w:hRule="atLeast"/>
                <w:jc w:val="center"/>
              </w:trPr>
              <w:tc>
                <w:tcPr>
                  <w:tcW w:w="547" w:type="pct"/>
                  <w:tcBorders>
                    <w:top w:val="nil"/>
                    <w:left w:val="single" w:color="auto" w:sz="4" w:space="0"/>
                    <w:bottom w:val="single" w:color="auto" w:sz="4" w:space="0"/>
                    <w:right w:val="single" w:color="auto" w:sz="4" w:space="0"/>
                  </w:tcBorders>
                  <w:shd w:val="clear" w:color="auto" w:fill="auto"/>
                  <w:noWrap/>
                  <w:vAlign w:val="center"/>
                </w:tcPr>
                <w:p w14:paraId="7FAFE061">
                  <w:pPr>
                    <w:keepLines/>
                    <w:pageBreakBefore w:val="0"/>
                    <w:kinsoku/>
                    <w:wordWrap/>
                    <w:overflowPunct/>
                    <w:topLinePunct w:val="0"/>
                    <w:bidi w:val="0"/>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米107-10MX</w:t>
                  </w:r>
                </w:p>
              </w:tc>
              <w:tc>
                <w:tcPr>
                  <w:tcW w:w="1097" w:type="pct"/>
                  <w:gridSpan w:val="2"/>
                  <w:tcBorders>
                    <w:top w:val="single" w:color="auto" w:sz="4" w:space="0"/>
                    <w:left w:val="nil"/>
                    <w:right w:val="single" w:color="auto" w:sz="4" w:space="0"/>
                  </w:tcBorders>
                  <w:noWrap/>
                  <w:vAlign w:val="center"/>
                </w:tcPr>
                <w:p w14:paraId="75C7F8B8">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72" w:type="pct"/>
                  <w:gridSpan w:val="2"/>
                  <w:tcBorders>
                    <w:top w:val="single" w:color="auto" w:sz="4" w:space="0"/>
                    <w:left w:val="single" w:color="auto" w:sz="4" w:space="0"/>
                    <w:right w:val="single" w:color="auto" w:sz="4" w:space="0"/>
                  </w:tcBorders>
                  <w:noWrap/>
                  <w:vAlign w:val="center"/>
                </w:tcPr>
                <w:p w14:paraId="78F2D410">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100m范围内无居民点（距离井口最近敏感目标在405m以外）</w:t>
                  </w:r>
                </w:p>
              </w:tc>
              <w:tc>
                <w:tcPr>
                  <w:tcW w:w="809" w:type="pct"/>
                  <w:gridSpan w:val="2"/>
                  <w:tcBorders>
                    <w:top w:val="single" w:color="auto" w:sz="4" w:space="0"/>
                    <w:left w:val="single" w:color="auto" w:sz="4" w:space="0"/>
                    <w:right w:val="single" w:color="000000" w:sz="4" w:space="0"/>
                  </w:tcBorders>
                  <w:shd w:val="clear" w:color="auto" w:fill="auto"/>
                  <w:noWrap/>
                  <w:vAlign w:val="center"/>
                </w:tcPr>
                <w:p w14:paraId="6B6401F2">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01AEA1AB">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167CC965">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706" w:type="pct"/>
                  <w:gridSpan w:val="2"/>
                  <w:tcBorders>
                    <w:top w:val="single" w:color="auto" w:sz="4" w:space="0"/>
                    <w:left w:val="nil"/>
                    <w:right w:val="single" w:color="auto" w:sz="4" w:space="0"/>
                  </w:tcBorders>
                  <w:shd w:val="clear" w:color="auto" w:fill="auto"/>
                  <w:noWrap/>
                  <w:vAlign w:val="center"/>
                </w:tcPr>
                <w:p w14:paraId="1E08C170">
                  <w:pPr>
                    <w:keepNext w:val="0"/>
                    <w:keepLines/>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683" w:type="pct"/>
                  <w:gridSpan w:val="2"/>
                  <w:tcBorders>
                    <w:top w:val="single" w:color="auto" w:sz="4" w:space="0"/>
                    <w:left w:val="nil"/>
                    <w:right w:val="single" w:color="000000" w:sz="4" w:space="0"/>
                  </w:tcBorders>
                  <w:shd w:val="clear" w:color="auto" w:fill="auto"/>
                  <w:noWrap/>
                  <w:vAlign w:val="center"/>
                </w:tcPr>
                <w:p w14:paraId="1A034830">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283" w:type="pct"/>
                  <w:tcBorders>
                    <w:top w:val="nil"/>
                    <w:left w:val="nil"/>
                    <w:bottom w:val="single" w:color="auto" w:sz="4" w:space="0"/>
                    <w:right w:val="single" w:color="auto" w:sz="4" w:space="0"/>
                  </w:tcBorders>
                  <w:shd w:val="clear" w:color="auto" w:fill="auto"/>
                  <w:noWrap/>
                  <w:vAlign w:val="center"/>
                </w:tcPr>
                <w:p w14:paraId="3BFF0173">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eastAsiaTheme="minorHAnsi"/>
                      <w:color w:val="auto"/>
                      <w:kern w:val="0"/>
                      <w:sz w:val="21"/>
                      <w:szCs w:val="21"/>
                      <w:lang w:val="en-US" w:eastAsia="en-US" w:bidi="ar-SA"/>
                    </w:rPr>
                  </w:pPr>
                  <w:r>
                    <w:rPr>
                      <w:rFonts w:hint="default" w:ascii="Times New Roman" w:hAnsi="Times New Roman" w:cs="Times New Roman"/>
                      <w:color w:val="auto"/>
                      <w:kern w:val="0"/>
                      <w:sz w:val="21"/>
                      <w:szCs w:val="21"/>
                    </w:rPr>
                    <w:t>是</w:t>
                  </w:r>
                </w:p>
              </w:tc>
            </w:tr>
            <w:tr w14:paraId="27623792">
              <w:tblPrEx>
                <w:tblCellMar>
                  <w:top w:w="0" w:type="dxa"/>
                  <w:left w:w="108" w:type="dxa"/>
                  <w:bottom w:w="0" w:type="dxa"/>
                  <w:right w:w="108" w:type="dxa"/>
                </w:tblCellMar>
              </w:tblPrEx>
              <w:trPr>
                <w:trHeight w:val="283" w:hRule="atLeast"/>
                <w:jc w:val="center"/>
              </w:trPr>
              <w:tc>
                <w:tcPr>
                  <w:tcW w:w="547" w:type="pct"/>
                  <w:tcBorders>
                    <w:top w:val="nil"/>
                    <w:left w:val="single" w:color="auto" w:sz="4" w:space="0"/>
                    <w:bottom w:val="single" w:color="auto" w:sz="4" w:space="0"/>
                    <w:right w:val="single" w:color="auto" w:sz="4" w:space="0"/>
                  </w:tcBorders>
                  <w:shd w:val="clear" w:color="auto" w:fill="auto"/>
                  <w:noWrap/>
                  <w:vAlign w:val="center"/>
                </w:tcPr>
                <w:p w14:paraId="48AE2717">
                  <w:pPr>
                    <w:keepLines/>
                    <w:pageBreakBefore w:val="0"/>
                    <w:kinsoku/>
                    <w:wordWrap/>
                    <w:overflowPunct/>
                    <w:topLinePunct w:val="0"/>
                    <w:bidi w:val="0"/>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米107-11M</w:t>
                  </w:r>
                </w:p>
              </w:tc>
              <w:tc>
                <w:tcPr>
                  <w:tcW w:w="1097" w:type="pct"/>
                  <w:gridSpan w:val="2"/>
                  <w:tcBorders>
                    <w:top w:val="single" w:color="auto" w:sz="4" w:space="0"/>
                    <w:left w:val="nil"/>
                    <w:right w:val="single" w:color="auto" w:sz="4" w:space="0"/>
                  </w:tcBorders>
                  <w:noWrap/>
                  <w:vAlign w:val="center"/>
                </w:tcPr>
                <w:p w14:paraId="372FEFED">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72" w:type="pct"/>
                  <w:gridSpan w:val="2"/>
                  <w:tcBorders>
                    <w:top w:val="single" w:color="auto" w:sz="4" w:space="0"/>
                    <w:left w:val="single" w:color="auto" w:sz="4" w:space="0"/>
                    <w:right w:val="single" w:color="auto" w:sz="4" w:space="0"/>
                  </w:tcBorders>
                  <w:noWrap/>
                  <w:vAlign w:val="center"/>
                </w:tcPr>
                <w:p w14:paraId="4DE4579F">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100m范围内无居民点（距离井口最近敏感目标在332m以外）</w:t>
                  </w:r>
                </w:p>
              </w:tc>
              <w:tc>
                <w:tcPr>
                  <w:tcW w:w="809" w:type="pct"/>
                  <w:gridSpan w:val="2"/>
                  <w:tcBorders>
                    <w:top w:val="single" w:color="auto" w:sz="4" w:space="0"/>
                    <w:left w:val="single" w:color="auto" w:sz="4" w:space="0"/>
                    <w:right w:val="single" w:color="000000" w:sz="4" w:space="0"/>
                  </w:tcBorders>
                  <w:shd w:val="clear" w:color="auto" w:fill="auto"/>
                  <w:noWrap/>
                  <w:vAlign w:val="center"/>
                </w:tcPr>
                <w:p w14:paraId="4997FA6D">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6C18CF87">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337F39DE">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706" w:type="pct"/>
                  <w:gridSpan w:val="2"/>
                  <w:tcBorders>
                    <w:top w:val="single" w:color="auto" w:sz="4" w:space="0"/>
                    <w:left w:val="nil"/>
                    <w:right w:val="single" w:color="auto" w:sz="4" w:space="0"/>
                  </w:tcBorders>
                  <w:shd w:val="clear" w:color="auto" w:fill="auto"/>
                  <w:noWrap/>
                  <w:vAlign w:val="center"/>
                </w:tcPr>
                <w:p w14:paraId="487BF325">
                  <w:pPr>
                    <w:keepNext w:val="0"/>
                    <w:keepLines/>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683" w:type="pct"/>
                  <w:gridSpan w:val="2"/>
                  <w:tcBorders>
                    <w:top w:val="single" w:color="auto" w:sz="4" w:space="0"/>
                    <w:left w:val="nil"/>
                    <w:right w:val="single" w:color="000000" w:sz="4" w:space="0"/>
                  </w:tcBorders>
                  <w:shd w:val="clear" w:color="auto" w:fill="auto"/>
                  <w:noWrap/>
                  <w:vAlign w:val="center"/>
                </w:tcPr>
                <w:p w14:paraId="04202234">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283" w:type="pct"/>
                  <w:tcBorders>
                    <w:top w:val="nil"/>
                    <w:left w:val="nil"/>
                    <w:bottom w:val="single" w:color="auto" w:sz="4" w:space="0"/>
                    <w:right w:val="single" w:color="auto" w:sz="4" w:space="0"/>
                  </w:tcBorders>
                  <w:shd w:val="clear" w:color="auto" w:fill="auto"/>
                  <w:noWrap/>
                  <w:vAlign w:val="center"/>
                </w:tcPr>
                <w:p w14:paraId="20B0D084">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eastAsiaTheme="minorHAnsi"/>
                      <w:color w:val="auto"/>
                      <w:kern w:val="0"/>
                      <w:sz w:val="21"/>
                      <w:szCs w:val="21"/>
                      <w:lang w:val="en-US" w:eastAsia="en-US" w:bidi="ar-SA"/>
                    </w:rPr>
                  </w:pPr>
                  <w:r>
                    <w:rPr>
                      <w:rFonts w:hint="default" w:ascii="Times New Roman" w:hAnsi="Times New Roman" w:cs="Times New Roman"/>
                      <w:color w:val="auto"/>
                      <w:kern w:val="0"/>
                      <w:sz w:val="21"/>
                      <w:szCs w:val="21"/>
                    </w:rPr>
                    <w:t>是</w:t>
                  </w:r>
                </w:p>
              </w:tc>
            </w:tr>
            <w:tr w14:paraId="29640BF7">
              <w:tblPrEx>
                <w:tblCellMar>
                  <w:top w:w="0" w:type="dxa"/>
                  <w:left w:w="108" w:type="dxa"/>
                  <w:bottom w:w="0" w:type="dxa"/>
                  <w:right w:w="108" w:type="dxa"/>
                </w:tblCellMar>
              </w:tblPrEx>
              <w:trPr>
                <w:trHeight w:val="283" w:hRule="atLeast"/>
                <w:jc w:val="center"/>
              </w:trPr>
              <w:tc>
                <w:tcPr>
                  <w:tcW w:w="547" w:type="pct"/>
                  <w:tcBorders>
                    <w:top w:val="nil"/>
                    <w:left w:val="single" w:color="auto" w:sz="4" w:space="0"/>
                    <w:bottom w:val="single" w:color="auto" w:sz="4" w:space="0"/>
                    <w:right w:val="single" w:color="auto" w:sz="4" w:space="0"/>
                  </w:tcBorders>
                  <w:shd w:val="clear" w:color="auto" w:fill="auto"/>
                  <w:noWrap/>
                  <w:vAlign w:val="center"/>
                </w:tcPr>
                <w:p w14:paraId="5CED6CD2">
                  <w:pPr>
                    <w:keepLines/>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米107-12M</w:t>
                  </w:r>
                </w:p>
              </w:tc>
              <w:tc>
                <w:tcPr>
                  <w:tcW w:w="1097" w:type="pct"/>
                  <w:gridSpan w:val="2"/>
                  <w:tcBorders>
                    <w:top w:val="single" w:color="auto" w:sz="4" w:space="0"/>
                    <w:left w:val="nil"/>
                    <w:right w:val="single" w:color="auto" w:sz="4" w:space="0"/>
                  </w:tcBorders>
                  <w:shd w:val="clear" w:color="auto" w:fill="auto"/>
                  <w:noWrap/>
                  <w:vAlign w:val="center"/>
                </w:tcPr>
                <w:p w14:paraId="016F22F6">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72" w:type="pct"/>
                  <w:gridSpan w:val="2"/>
                  <w:tcBorders>
                    <w:top w:val="single" w:color="auto" w:sz="4" w:space="0"/>
                    <w:left w:val="single" w:color="auto" w:sz="4" w:space="0"/>
                    <w:right w:val="single" w:color="auto" w:sz="4" w:space="0"/>
                  </w:tcBorders>
                  <w:shd w:val="clear" w:color="auto" w:fill="auto"/>
                  <w:noWrap/>
                  <w:vAlign w:val="center"/>
                </w:tcPr>
                <w:p w14:paraId="01099FDC">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100m范围内无居民点（距离井口最近敏感目标在298m以外）</w:t>
                  </w:r>
                </w:p>
              </w:tc>
              <w:tc>
                <w:tcPr>
                  <w:tcW w:w="809" w:type="pct"/>
                  <w:gridSpan w:val="2"/>
                  <w:tcBorders>
                    <w:top w:val="single" w:color="auto" w:sz="4" w:space="0"/>
                    <w:left w:val="single" w:color="auto" w:sz="4" w:space="0"/>
                    <w:right w:val="single" w:color="000000" w:sz="4" w:space="0"/>
                  </w:tcBorders>
                  <w:shd w:val="clear" w:color="auto" w:fill="auto"/>
                  <w:noWrap/>
                  <w:vAlign w:val="center"/>
                </w:tcPr>
                <w:p w14:paraId="7EA30D65">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2F8DB38A">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3B237DC9">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706" w:type="pct"/>
                  <w:gridSpan w:val="2"/>
                  <w:tcBorders>
                    <w:top w:val="single" w:color="auto" w:sz="4" w:space="0"/>
                    <w:left w:val="nil"/>
                    <w:right w:val="single" w:color="auto" w:sz="4" w:space="0"/>
                  </w:tcBorders>
                  <w:shd w:val="clear" w:color="auto" w:fill="auto"/>
                  <w:noWrap/>
                  <w:vAlign w:val="center"/>
                </w:tcPr>
                <w:p w14:paraId="4BE77C94">
                  <w:pPr>
                    <w:keepNext w:val="0"/>
                    <w:keepLines/>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683" w:type="pct"/>
                  <w:gridSpan w:val="2"/>
                  <w:tcBorders>
                    <w:top w:val="single" w:color="auto" w:sz="4" w:space="0"/>
                    <w:left w:val="nil"/>
                    <w:right w:val="single" w:color="000000" w:sz="4" w:space="0"/>
                  </w:tcBorders>
                  <w:shd w:val="clear" w:color="auto" w:fill="auto"/>
                  <w:noWrap/>
                  <w:vAlign w:val="center"/>
                </w:tcPr>
                <w:p w14:paraId="5F857A62">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283" w:type="pct"/>
                  <w:tcBorders>
                    <w:top w:val="nil"/>
                    <w:left w:val="nil"/>
                    <w:bottom w:val="single" w:color="auto" w:sz="4" w:space="0"/>
                    <w:right w:val="single" w:color="auto" w:sz="4" w:space="0"/>
                  </w:tcBorders>
                  <w:shd w:val="clear" w:color="auto" w:fill="auto"/>
                  <w:noWrap/>
                  <w:vAlign w:val="center"/>
                </w:tcPr>
                <w:p w14:paraId="119F8364">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eastAsiaTheme="minorHAnsi"/>
                      <w:color w:val="auto"/>
                      <w:kern w:val="0"/>
                      <w:sz w:val="21"/>
                      <w:szCs w:val="21"/>
                      <w:lang w:val="en-US" w:eastAsia="en-US" w:bidi="ar-SA"/>
                    </w:rPr>
                  </w:pPr>
                  <w:r>
                    <w:rPr>
                      <w:rFonts w:hint="default" w:ascii="Times New Roman" w:hAnsi="Times New Roman" w:cs="Times New Roman"/>
                      <w:color w:val="auto"/>
                      <w:kern w:val="0"/>
                      <w:sz w:val="21"/>
                      <w:szCs w:val="21"/>
                    </w:rPr>
                    <w:t>是</w:t>
                  </w:r>
                </w:p>
              </w:tc>
            </w:tr>
            <w:tr w14:paraId="583E7267">
              <w:tblPrEx>
                <w:tblCellMar>
                  <w:top w:w="0" w:type="dxa"/>
                  <w:left w:w="108" w:type="dxa"/>
                  <w:bottom w:w="0" w:type="dxa"/>
                  <w:right w:w="108" w:type="dxa"/>
                </w:tblCellMar>
              </w:tblPrEx>
              <w:trPr>
                <w:trHeight w:val="283" w:hRule="atLeast"/>
                <w:jc w:val="center"/>
              </w:trPr>
              <w:tc>
                <w:tcPr>
                  <w:tcW w:w="547" w:type="pct"/>
                  <w:tcBorders>
                    <w:top w:val="nil"/>
                    <w:left w:val="single" w:color="auto" w:sz="4" w:space="0"/>
                    <w:bottom w:val="single" w:color="auto" w:sz="4" w:space="0"/>
                    <w:right w:val="single" w:color="auto" w:sz="4" w:space="0"/>
                  </w:tcBorders>
                  <w:shd w:val="clear" w:color="auto" w:fill="auto"/>
                  <w:noWrap/>
                  <w:vAlign w:val="center"/>
                </w:tcPr>
                <w:p w14:paraId="570DCFF6">
                  <w:pPr>
                    <w:keepLines/>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米107-15M</w:t>
                  </w:r>
                </w:p>
              </w:tc>
              <w:tc>
                <w:tcPr>
                  <w:tcW w:w="1097" w:type="pct"/>
                  <w:gridSpan w:val="2"/>
                  <w:tcBorders>
                    <w:top w:val="single" w:color="auto" w:sz="4" w:space="0"/>
                    <w:left w:val="nil"/>
                    <w:right w:val="single" w:color="auto" w:sz="4" w:space="0"/>
                  </w:tcBorders>
                  <w:shd w:val="clear" w:color="auto" w:fill="auto"/>
                  <w:noWrap/>
                  <w:vAlign w:val="center"/>
                </w:tcPr>
                <w:p w14:paraId="7FD98077">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72" w:type="pct"/>
                  <w:gridSpan w:val="2"/>
                  <w:tcBorders>
                    <w:top w:val="single" w:color="auto" w:sz="4" w:space="0"/>
                    <w:left w:val="single" w:color="auto" w:sz="4" w:space="0"/>
                    <w:right w:val="single" w:color="auto" w:sz="4" w:space="0"/>
                  </w:tcBorders>
                  <w:shd w:val="clear" w:color="auto" w:fill="auto"/>
                  <w:noWrap/>
                  <w:vAlign w:val="center"/>
                </w:tcPr>
                <w:p w14:paraId="3DE4EB21">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100m范围内无居民点（距离井口最近敏感目标在349m以外）</w:t>
                  </w:r>
                </w:p>
              </w:tc>
              <w:tc>
                <w:tcPr>
                  <w:tcW w:w="809" w:type="pct"/>
                  <w:gridSpan w:val="2"/>
                  <w:tcBorders>
                    <w:top w:val="single" w:color="auto" w:sz="4" w:space="0"/>
                    <w:left w:val="single" w:color="auto" w:sz="4" w:space="0"/>
                    <w:right w:val="single" w:color="000000" w:sz="4" w:space="0"/>
                  </w:tcBorders>
                  <w:shd w:val="clear" w:color="auto" w:fill="auto"/>
                  <w:noWrap/>
                  <w:vAlign w:val="center"/>
                </w:tcPr>
                <w:p w14:paraId="3F5F1CE4">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467BE0F3">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2892231A">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706" w:type="pct"/>
                  <w:gridSpan w:val="2"/>
                  <w:tcBorders>
                    <w:top w:val="single" w:color="auto" w:sz="4" w:space="0"/>
                    <w:left w:val="nil"/>
                    <w:right w:val="single" w:color="auto" w:sz="4" w:space="0"/>
                  </w:tcBorders>
                  <w:shd w:val="clear" w:color="auto" w:fill="auto"/>
                  <w:noWrap/>
                  <w:vAlign w:val="center"/>
                </w:tcPr>
                <w:p w14:paraId="0EC8F0D8">
                  <w:pPr>
                    <w:keepNext w:val="0"/>
                    <w:keepLines/>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683" w:type="pct"/>
                  <w:gridSpan w:val="2"/>
                  <w:tcBorders>
                    <w:top w:val="single" w:color="auto" w:sz="4" w:space="0"/>
                    <w:left w:val="nil"/>
                    <w:right w:val="single" w:color="000000" w:sz="4" w:space="0"/>
                  </w:tcBorders>
                  <w:shd w:val="clear" w:color="auto" w:fill="auto"/>
                  <w:noWrap/>
                  <w:vAlign w:val="center"/>
                </w:tcPr>
                <w:p w14:paraId="51C1BC75">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283" w:type="pct"/>
                  <w:tcBorders>
                    <w:top w:val="nil"/>
                    <w:left w:val="nil"/>
                    <w:bottom w:val="single" w:color="auto" w:sz="4" w:space="0"/>
                    <w:right w:val="single" w:color="auto" w:sz="4" w:space="0"/>
                  </w:tcBorders>
                  <w:shd w:val="clear" w:color="auto" w:fill="auto"/>
                  <w:noWrap/>
                  <w:vAlign w:val="center"/>
                </w:tcPr>
                <w:p w14:paraId="30AF11B7">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eastAsiaTheme="minorHAnsi"/>
                      <w:color w:val="auto"/>
                      <w:kern w:val="0"/>
                      <w:sz w:val="21"/>
                      <w:szCs w:val="21"/>
                      <w:lang w:val="en-US" w:eastAsia="en-US" w:bidi="ar-SA"/>
                    </w:rPr>
                  </w:pPr>
                  <w:r>
                    <w:rPr>
                      <w:rFonts w:hint="default" w:ascii="Times New Roman" w:hAnsi="Times New Roman" w:cs="Times New Roman"/>
                      <w:color w:val="auto"/>
                      <w:kern w:val="0"/>
                      <w:sz w:val="21"/>
                      <w:szCs w:val="21"/>
                    </w:rPr>
                    <w:t>是</w:t>
                  </w:r>
                </w:p>
              </w:tc>
            </w:tr>
            <w:tr w14:paraId="1E7C0EC9">
              <w:tblPrEx>
                <w:tblCellMar>
                  <w:top w:w="0" w:type="dxa"/>
                  <w:left w:w="108" w:type="dxa"/>
                  <w:bottom w:w="0" w:type="dxa"/>
                  <w:right w:w="108" w:type="dxa"/>
                </w:tblCellMar>
              </w:tblPrEx>
              <w:trPr>
                <w:trHeight w:val="283" w:hRule="atLeast"/>
                <w:jc w:val="center"/>
              </w:trPr>
              <w:tc>
                <w:tcPr>
                  <w:tcW w:w="547" w:type="pct"/>
                  <w:tcBorders>
                    <w:top w:val="nil"/>
                    <w:left w:val="single" w:color="auto" w:sz="4" w:space="0"/>
                    <w:bottom w:val="single" w:color="auto" w:sz="4" w:space="0"/>
                    <w:right w:val="single" w:color="auto" w:sz="4" w:space="0"/>
                  </w:tcBorders>
                  <w:shd w:val="clear" w:color="auto" w:fill="auto"/>
                  <w:noWrap/>
                  <w:vAlign w:val="center"/>
                </w:tcPr>
                <w:p w14:paraId="13DEFDF8">
                  <w:pPr>
                    <w:keepLines/>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米107-34M</w:t>
                  </w:r>
                </w:p>
              </w:tc>
              <w:tc>
                <w:tcPr>
                  <w:tcW w:w="1097" w:type="pct"/>
                  <w:gridSpan w:val="2"/>
                  <w:tcBorders>
                    <w:top w:val="single" w:color="auto" w:sz="4" w:space="0"/>
                    <w:left w:val="nil"/>
                    <w:right w:val="single" w:color="auto" w:sz="4" w:space="0"/>
                  </w:tcBorders>
                  <w:shd w:val="clear" w:color="auto" w:fill="auto"/>
                  <w:noWrap/>
                  <w:vAlign w:val="center"/>
                </w:tcPr>
                <w:p w14:paraId="50D4C731">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72" w:type="pct"/>
                  <w:gridSpan w:val="2"/>
                  <w:tcBorders>
                    <w:top w:val="single" w:color="auto" w:sz="4" w:space="0"/>
                    <w:left w:val="single" w:color="auto" w:sz="4" w:space="0"/>
                    <w:right w:val="single" w:color="auto" w:sz="4" w:space="0"/>
                  </w:tcBorders>
                  <w:shd w:val="clear" w:color="auto" w:fill="auto"/>
                  <w:noWrap/>
                  <w:vAlign w:val="center"/>
                </w:tcPr>
                <w:p w14:paraId="73157EB3">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100m范围内无居民点（距离井口最近敏感目标在578m以外）</w:t>
                  </w:r>
                </w:p>
              </w:tc>
              <w:tc>
                <w:tcPr>
                  <w:tcW w:w="809" w:type="pct"/>
                  <w:gridSpan w:val="2"/>
                  <w:tcBorders>
                    <w:top w:val="single" w:color="auto" w:sz="4" w:space="0"/>
                    <w:left w:val="single" w:color="auto" w:sz="4" w:space="0"/>
                    <w:right w:val="single" w:color="000000" w:sz="4" w:space="0"/>
                  </w:tcBorders>
                  <w:shd w:val="clear" w:color="auto" w:fill="auto"/>
                  <w:noWrap/>
                  <w:vAlign w:val="center"/>
                </w:tcPr>
                <w:p w14:paraId="717E5221">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0D9DC0D9">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3D0F9222">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706" w:type="pct"/>
                  <w:gridSpan w:val="2"/>
                  <w:tcBorders>
                    <w:top w:val="single" w:color="auto" w:sz="4" w:space="0"/>
                    <w:left w:val="nil"/>
                    <w:right w:val="single" w:color="auto" w:sz="4" w:space="0"/>
                  </w:tcBorders>
                  <w:shd w:val="clear" w:color="auto" w:fill="auto"/>
                  <w:noWrap/>
                  <w:vAlign w:val="center"/>
                </w:tcPr>
                <w:p w14:paraId="3A18D01D">
                  <w:pPr>
                    <w:keepNext w:val="0"/>
                    <w:keepLines/>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683" w:type="pct"/>
                  <w:gridSpan w:val="2"/>
                  <w:tcBorders>
                    <w:top w:val="single" w:color="auto" w:sz="4" w:space="0"/>
                    <w:left w:val="nil"/>
                    <w:right w:val="single" w:color="000000" w:sz="4" w:space="0"/>
                  </w:tcBorders>
                  <w:shd w:val="clear" w:color="auto" w:fill="auto"/>
                  <w:noWrap/>
                  <w:vAlign w:val="center"/>
                </w:tcPr>
                <w:p w14:paraId="592C4090">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eastAsiaTheme="minorHAnsi"/>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283" w:type="pct"/>
                  <w:tcBorders>
                    <w:top w:val="nil"/>
                    <w:left w:val="nil"/>
                    <w:bottom w:val="single" w:color="auto" w:sz="4" w:space="0"/>
                    <w:right w:val="single" w:color="auto" w:sz="4" w:space="0"/>
                  </w:tcBorders>
                  <w:shd w:val="clear" w:color="auto" w:fill="auto"/>
                  <w:noWrap/>
                  <w:vAlign w:val="center"/>
                </w:tcPr>
                <w:p w14:paraId="4C253CAB">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eastAsiaTheme="minorHAnsi"/>
                      <w:color w:val="auto"/>
                      <w:kern w:val="0"/>
                      <w:sz w:val="21"/>
                      <w:szCs w:val="21"/>
                      <w:lang w:val="en-US" w:eastAsia="en-US" w:bidi="ar-SA"/>
                    </w:rPr>
                  </w:pPr>
                  <w:r>
                    <w:rPr>
                      <w:rFonts w:hint="default" w:ascii="Times New Roman" w:hAnsi="Times New Roman" w:cs="Times New Roman"/>
                      <w:color w:val="auto"/>
                      <w:kern w:val="0"/>
                      <w:sz w:val="21"/>
                      <w:szCs w:val="21"/>
                    </w:rPr>
                    <w:t>是</w:t>
                  </w:r>
                </w:p>
              </w:tc>
            </w:tr>
            <w:tr w14:paraId="6B6C85CF">
              <w:tblPrEx>
                <w:tblCellMar>
                  <w:top w:w="0" w:type="dxa"/>
                  <w:left w:w="108" w:type="dxa"/>
                  <w:bottom w:w="0" w:type="dxa"/>
                  <w:right w:w="108" w:type="dxa"/>
                </w:tblCellMar>
              </w:tblPrEx>
              <w:trPr>
                <w:trHeight w:val="283" w:hRule="atLeast"/>
                <w:jc w:val="center"/>
              </w:trPr>
              <w:tc>
                <w:tcPr>
                  <w:tcW w:w="547" w:type="pct"/>
                  <w:tcBorders>
                    <w:top w:val="single" w:color="auto" w:sz="4" w:space="0"/>
                    <w:left w:val="single" w:color="auto" w:sz="4" w:space="0"/>
                    <w:bottom w:val="single" w:color="auto" w:sz="4" w:space="0"/>
                    <w:right w:val="single" w:color="auto" w:sz="4" w:space="0"/>
                  </w:tcBorders>
                  <w:noWrap/>
                  <w:vAlign w:val="center"/>
                </w:tcPr>
                <w:p w14:paraId="188C4178">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规范要求</w:t>
                  </w:r>
                </w:p>
              </w:tc>
              <w:tc>
                <w:tcPr>
                  <w:tcW w:w="1097" w:type="pct"/>
                  <w:gridSpan w:val="2"/>
                  <w:tcBorders>
                    <w:top w:val="single" w:color="auto" w:sz="4" w:space="0"/>
                    <w:left w:val="nil"/>
                    <w:bottom w:val="single" w:color="auto" w:sz="4" w:space="0"/>
                    <w:right w:val="single" w:color="auto" w:sz="4" w:space="0"/>
                  </w:tcBorders>
                  <w:noWrap/>
                  <w:vAlign w:val="center"/>
                </w:tcPr>
                <w:p w14:paraId="7F001BD7">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6D3A9B12">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00</w:t>
                  </w:r>
                </w:p>
              </w:tc>
              <w:tc>
                <w:tcPr>
                  <w:tcW w:w="809" w:type="pct"/>
                  <w:gridSpan w:val="2"/>
                  <w:tcBorders>
                    <w:top w:val="single" w:color="auto" w:sz="4" w:space="0"/>
                    <w:left w:val="single" w:color="auto" w:sz="4" w:space="0"/>
                    <w:bottom w:val="single" w:color="auto" w:sz="4" w:space="0"/>
                    <w:right w:val="single" w:color="auto" w:sz="4" w:space="0"/>
                  </w:tcBorders>
                  <w:noWrap/>
                  <w:vAlign w:val="center"/>
                </w:tcPr>
                <w:p w14:paraId="09C13AC1">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75</w:t>
                  </w:r>
                </w:p>
              </w:tc>
              <w:tc>
                <w:tcPr>
                  <w:tcW w:w="706" w:type="pct"/>
                  <w:gridSpan w:val="2"/>
                  <w:tcBorders>
                    <w:top w:val="single" w:color="auto" w:sz="4" w:space="0"/>
                    <w:left w:val="nil"/>
                    <w:bottom w:val="single" w:color="auto" w:sz="4" w:space="0"/>
                    <w:right w:val="single" w:color="auto" w:sz="4" w:space="0"/>
                  </w:tcBorders>
                  <w:noWrap/>
                  <w:vAlign w:val="center"/>
                </w:tcPr>
                <w:p w14:paraId="32E97CD2">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683" w:type="pct"/>
                  <w:gridSpan w:val="2"/>
                  <w:tcBorders>
                    <w:top w:val="single" w:color="auto" w:sz="4" w:space="0"/>
                    <w:left w:val="nil"/>
                    <w:bottom w:val="single" w:color="auto" w:sz="4" w:space="0"/>
                    <w:right w:val="single" w:color="auto" w:sz="4" w:space="0"/>
                  </w:tcBorders>
                  <w:noWrap/>
                  <w:vAlign w:val="center"/>
                </w:tcPr>
                <w:p w14:paraId="7226B4FA">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283" w:type="pct"/>
                  <w:tcBorders>
                    <w:top w:val="single" w:color="auto" w:sz="4" w:space="0"/>
                    <w:left w:val="nil"/>
                    <w:bottom w:val="single" w:color="auto" w:sz="4" w:space="0"/>
                    <w:right w:val="single" w:color="auto" w:sz="4" w:space="0"/>
                  </w:tcBorders>
                  <w:noWrap/>
                  <w:vAlign w:val="center"/>
                </w:tcPr>
                <w:p w14:paraId="6D739DA3">
                  <w:pPr>
                    <w:keepNext w:val="0"/>
                    <w:keepLines/>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r>
          </w:tbl>
          <w:p w14:paraId="7FF6FF4C">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综上</w:t>
            </w:r>
            <w:r>
              <w:rPr>
                <w:rFonts w:hint="eastAsia" w:ascii="Times New Roman" w:hAnsi="Times New Roman" w:cs="Times New Roman"/>
                <w:color w:val="auto"/>
                <w:sz w:val="24"/>
                <w:szCs w:val="32"/>
                <w:lang w:val="en-US" w:eastAsia="zh-CN"/>
              </w:rPr>
              <w:t>所述</w:t>
            </w:r>
            <w:r>
              <w:rPr>
                <w:rFonts w:hint="default" w:ascii="Times New Roman" w:hAnsi="Times New Roman" w:cs="Times New Roman"/>
                <w:color w:val="auto"/>
                <w:sz w:val="24"/>
                <w:szCs w:val="32"/>
              </w:rPr>
              <w:t>，本工程的建设选址具有环境合理性</w:t>
            </w:r>
            <w:r>
              <w:rPr>
                <w:rFonts w:hint="default" w:ascii="Times New Roman" w:hAnsi="Times New Roman" w:cs="Times New Roman"/>
                <w:color w:val="auto"/>
                <w:sz w:val="24"/>
                <w:szCs w:val="32"/>
                <w:lang w:eastAsia="zh-CN"/>
              </w:rPr>
              <w:t>。</w:t>
            </w:r>
          </w:p>
          <w:p w14:paraId="3C76452E">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sz w:val="24"/>
                <w:szCs w:val="32"/>
              </w:rPr>
            </w:pPr>
          </w:p>
          <w:p w14:paraId="63D8433A">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sz w:val="24"/>
                <w:szCs w:val="32"/>
              </w:rPr>
            </w:pPr>
          </w:p>
          <w:p w14:paraId="2E220990">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sz w:val="24"/>
                <w:szCs w:val="32"/>
              </w:rPr>
            </w:pPr>
          </w:p>
          <w:p w14:paraId="791988CC">
            <w:pPr>
              <w:pStyle w:val="2"/>
              <w:rPr>
                <w:rFonts w:hint="default" w:ascii="Times New Roman" w:hAnsi="Times New Roman" w:cs="Times New Roman"/>
                <w:color w:val="auto"/>
                <w:sz w:val="24"/>
                <w:szCs w:val="32"/>
              </w:rPr>
            </w:pPr>
          </w:p>
          <w:p w14:paraId="6855475A">
            <w:pPr>
              <w:rPr>
                <w:rFonts w:hint="default" w:ascii="Times New Roman" w:hAnsi="Times New Roman" w:cs="Times New Roman"/>
                <w:color w:val="auto"/>
                <w:sz w:val="24"/>
                <w:szCs w:val="32"/>
              </w:rPr>
            </w:pPr>
          </w:p>
          <w:p w14:paraId="5B6A8F4B">
            <w:pPr>
              <w:pStyle w:val="2"/>
              <w:rPr>
                <w:rFonts w:hint="default" w:ascii="Times New Roman" w:hAnsi="Times New Roman" w:cs="Times New Roman"/>
                <w:color w:val="auto"/>
                <w:sz w:val="24"/>
                <w:szCs w:val="32"/>
              </w:rPr>
            </w:pPr>
          </w:p>
          <w:p w14:paraId="101034D8">
            <w:pPr>
              <w:rPr>
                <w:rFonts w:hint="default" w:ascii="Times New Roman" w:hAnsi="Times New Roman" w:cs="Times New Roman"/>
                <w:color w:val="auto"/>
                <w:sz w:val="24"/>
                <w:szCs w:val="32"/>
              </w:rPr>
            </w:pPr>
          </w:p>
          <w:p w14:paraId="7CE9906A">
            <w:pPr>
              <w:pStyle w:val="2"/>
              <w:rPr>
                <w:rFonts w:hint="default" w:ascii="Times New Roman" w:hAnsi="Times New Roman" w:cs="Times New Roman"/>
                <w:color w:val="auto"/>
                <w:sz w:val="24"/>
                <w:szCs w:val="32"/>
              </w:rPr>
            </w:pPr>
          </w:p>
          <w:p w14:paraId="771C6EB1">
            <w:pPr>
              <w:rPr>
                <w:rFonts w:hint="default"/>
                <w:color w:val="auto"/>
              </w:rPr>
            </w:pPr>
          </w:p>
          <w:p w14:paraId="5F0A3EFA">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7309F640">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409A4B8">
      <w:pPr>
        <w:numPr>
          <w:ilvl w:val="0"/>
          <w:numId w:val="4"/>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主要生态环境保护措施</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5"/>
      </w:tblGrid>
      <w:tr w14:paraId="2D8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59CC66E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施工期生态环境保护措施</w:t>
            </w:r>
          </w:p>
        </w:tc>
        <w:tc>
          <w:tcPr>
            <w:tcW w:w="8254" w:type="dxa"/>
            <w:vAlign w:val="top"/>
          </w:tcPr>
          <w:p w14:paraId="1EFDA38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一、生态环境保护措施</w:t>
            </w:r>
          </w:p>
          <w:p w14:paraId="08D8F80C">
            <w:pPr>
              <w:pStyle w:val="28"/>
              <w:bidi w:val="0"/>
              <w:rPr>
                <w:rFonts w:hint="default" w:ascii="Times New Roman" w:hAnsi="Times New Roman" w:cs="Times New Roman"/>
                <w:color w:val="auto"/>
              </w:rPr>
            </w:pPr>
            <w:r>
              <w:rPr>
                <w:rFonts w:hint="eastAsia" w:ascii="Times New Roman" w:hAnsi="Times New Roman" w:eastAsia="宋体" w:cs="Times New Roman"/>
                <w:color w:val="auto"/>
                <w:lang w:val="en-US" w:eastAsia="zh-CN"/>
              </w:rPr>
              <w:t>根据土地利用现状分析本项目井场</w:t>
            </w:r>
            <w:r>
              <w:rPr>
                <w:rFonts w:hint="default" w:ascii="Times New Roman" w:hAnsi="Times New Roman" w:eastAsia="宋体" w:cs="Times New Roman"/>
                <w:b w:val="0"/>
                <w:bCs w:val="0"/>
                <w:color w:val="auto"/>
                <w:sz w:val="24"/>
                <w:szCs w:val="24"/>
                <w:vertAlign w:val="baseline"/>
                <w:lang w:val="en-US" w:eastAsia="zh-CN"/>
              </w:rPr>
              <w:t>土地利用</w:t>
            </w:r>
            <w:r>
              <w:rPr>
                <w:rFonts w:hint="eastAsia" w:ascii="Times New Roman" w:hAnsi="Times New Roman" w:eastAsia="宋体" w:cs="Times New Roman"/>
                <w:b w:val="0"/>
                <w:bCs w:val="0"/>
                <w:color w:val="auto"/>
                <w:sz w:val="24"/>
                <w:szCs w:val="24"/>
                <w:vertAlign w:val="baseline"/>
                <w:lang w:val="en-US" w:eastAsia="zh-CN"/>
              </w:rPr>
              <w:t>现状</w:t>
            </w:r>
            <w:r>
              <w:rPr>
                <w:rFonts w:hint="default" w:ascii="Times New Roman" w:hAnsi="Times New Roman" w:eastAsia="宋体" w:cs="Times New Roman"/>
                <w:b w:val="0"/>
                <w:bCs w:val="0"/>
                <w:color w:val="auto"/>
                <w:sz w:val="24"/>
                <w:szCs w:val="24"/>
                <w:vertAlign w:val="baseline"/>
                <w:lang w:val="en-US" w:eastAsia="zh-CN"/>
              </w:rPr>
              <w:t>类型</w:t>
            </w:r>
            <w:r>
              <w:rPr>
                <w:rFonts w:hint="eastAsia" w:ascii="Times New Roman" w:hAnsi="Times New Roman" w:eastAsia="宋体" w:cs="Times New Roman"/>
                <w:b w:val="0"/>
                <w:bCs w:val="0"/>
                <w:color w:val="auto"/>
                <w:sz w:val="24"/>
                <w:szCs w:val="24"/>
                <w:vertAlign w:val="baseline"/>
                <w:lang w:val="en-US" w:eastAsia="zh-CN"/>
              </w:rPr>
              <w:t>主要</w:t>
            </w:r>
            <w:r>
              <w:rPr>
                <w:rFonts w:hint="default" w:ascii="Times New Roman" w:hAnsi="Times New Roman" w:eastAsia="宋体" w:cs="Times New Roman"/>
                <w:b w:val="0"/>
                <w:bCs w:val="0"/>
                <w:color w:val="auto"/>
                <w:sz w:val="24"/>
                <w:szCs w:val="24"/>
                <w:vertAlign w:val="baseline"/>
                <w:lang w:val="en-US" w:eastAsia="zh-CN"/>
              </w:rPr>
              <w:t>为</w:t>
            </w:r>
            <w:r>
              <w:rPr>
                <w:rFonts w:hint="default" w:ascii="Times New Roman" w:hAnsi="Times New Roman" w:eastAsia="宋体" w:cs="Times New Roman"/>
                <w:b w:val="0"/>
                <w:bCs w:val="0"/>
                <w:color w:val="auto"/>
                <w:sz w:val="24"/>
                <w:szCs w:val="24"/>
                <w:highlight w:val="none"/>
                <w:vertAlign w:val="baseline"/>
                <w:lang w:val="en-US" w:eastAsia="zh-CN"/>
              </w:rPr>
              <w:t>林地、草地、园地</w:t>
            </w:r>
            <w:r>
              <w:rPr>
                <w:rFonts w:hint="eastAsia" w:ascii="Times New Roman" w:hAnsi="Times New Roman" w:eastAsia="宋体" w:cs="Times New Roman"/>
                <w:b w:val="0"/>
                <w:bCs w:val="0"/>
                <w:color w:val="auto"/>
                <w:sz w:val="24"/>
                <w:szCs w:val="24"/>
                <w:highlight w:val="none"/>
                <w:vertAlign w:val="baseline"/>
                <w:lang w:val="en-US" w:eastAsia="zh-CN"/>
              </w:rPr>
              <w:t>及草地。</w:t>
            </w:r>
            <w:r>
              <w:rPr>
                <w:rFonts w:hint="eastAsia" w:ascii="Times New Roman" w:hAnsi="Times New Roman" w:eastAsia="宋体" w:cs="Times New Roman"/>
                <w:b w:val="0"/>
                <w:bCs w:val="0"/>
                <w:color w:val="auto"/>
                <w:sz w:val="24"/>
                <w:szCs w:val="24"/>
                <w:vertAlign w:val="baseline"/>
                <w:lang w:val="en-US" w:eastAsia="zh-CN"/>
              </w:rPr>
              <w:t>若永久封井，本项目占地类型中园地、耕地、林地和草地采取人工干预的手段进行生态恢复，规划为林地的区域恢复为林地，未规划为林地的区域恢复为原有生态类型（耕地、草地、园地）。</w:t>
            </w:r>
          </w:p>
          <w:p w14:paraId="0742D22E">
            <w:pPr>
              <w:pStyle w:val="28"/>
              <w:bidi w:val="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施工期</w:t>
            </w:r>
            <w:r>
              <w:rPr>
                <w:rFonts w:hint="default" w:ascii="Times New Roman" w:hAnsi="Times New Roman" w:cs="Times New Roman"/>
                <w:color w:val="auto"/>
              </w:rPr>
              <w:t>生态环境保护措施</w:t>
            </w:r>
          </w:p>
          <w:p w14:paraId="0839C0D1">
            <w:pPr>
              <w:pStyle w:val="28"/>
              <w:bidi w:val="0"/>
              <w:rPr>
                <w:rFonts w:hint="default" w:ascii="Times New Roman" w:hAnsi="Times New Roman" w:cs="Times New Roman"/>
                <w:color w:val="auto"/>
              </w:rPr>
            </w:pPr>
            <w:r>
              <w:rPr>
                <w:rFonts w:hint="default" w:ascii="Times New Roman" w:hAnsi="Times New Roman" w:cs="Times New Roman"/>
                <w:color w:val="auto"/>
              </w:rPr>
              <w:t>①</w:t>
            </w:r>
            <w:r>
              <w:rPr>
                <w:rFonts w:hint="eastAsia" w:ascii="Times New Roman" w:hAnsi="Times New Roman" w:eastAsia="宋体" w:cs="Times New Roman"/>
                <w:color w:val="auto"/>
                <w:lang w:val="en-US" w:eastAsia="zh-CN"/>
              </w:rPr>
              <w:t>本项目</w:t>
            </w:r>
            <w:r>
              <w:rPr>
                <w:rFonts w:hint="default" w:ascii="Times New Roman" w:hAnsi="Times New Roman" w:cs="Times New Roman"/>
                <w:color w:val="auto"/>
              </w:rPr>
              <w:t>在施工组织设计中严格控制占地范围；施工活动需严格控制在施工区域内，并将临时占地面积控制在最低限度，尽量使用既有道路，以免对土壤与植被造成不必要破坏。项目施工时首先应剥离表土。在剥离表土前，对开挖区域内的植被等有碍物进行彻底清除，然后采用人工开挖，先把表层土按预定厚度剥离后，在井场内临时占地区内选定一处作为表土临时堆土区，用于开采结束后的复垦覆土。表土临时堆场周边应设置挡土墙，控制边坡坡降比1:2左右，适时对表土堆场表面进行防尘网遮盖、洒水浸润，同时于表土堆场表面覆盖篷布（防尘、防雨水冲刷），覆盖率需达100%。在堆场周围开挖排水沟，排水沟易采用梯形断面，底宽30cm，高30cm，内坡比1:1，内壁夯实，排水沟与附近已有沟渠相通。在施工结束、场地清理完成后随即采取地表平整、表土回覆、绿化等恢复措施，减少施工期对生态环境影响。</w:t>
            </w:r>
          </w:p>
          <w:p w14:paraId="434CF493">
            <w:pPr>
              <w:ind w:right="-11" w:firstLine="480"/>
              <w:jc w:val="both"/>
              <w:rPr>
                <w:rFonts w:hint="eastAsia"/>
                <w:color w:val="auto"/>
              </w:rPr>
            </w:pPr>
            <w:r>
              <w:rPr>
                <w:color w:val="auto"/>
              </w:rPr>
              <w:drawing>
                <wp:inline distT="0" distB="0" distL="114300" distR="114300">
                  <wp:extent cx="4817745" cy="2139950"/>
                  <wp:effectExtent l="0" t="0" r="190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a:stretch>
                            <a:fillRect/>
                          </a:stretch>
                        </pic:blipFill>
                        <pic:spPr>
                          <a:xfrm>
                            <a:off x="0" y="0"/>
                            <a:ext cx="4817745" cy="2139950"/>
                          </a:xfrm>
                          <a:prstGeom prst="rect">
                            <a:avLst/>
                          </a:prstGeom>
                          <a:noFill/>
                          <a:ln>
                            <a:noFill/>
                          </a:ln>
                        </pic:spPr>
                      </pic:pic>
                    </a:graphicData>
                  </a:graphic>
                </wp:inline>
              </w:drawing>
            </w:r>
          </w:p>
          <w:p w14:paraId="2DE50CA7">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
                <w:color w:val="auto"/>
                <w:szCs w:val="21"/>
              </w:rPr>
              <w:t xml:space="preserve">图5-1 </w:t>
            </w:r>
            <w:r>
              <w:rPr>
                <w:b/>
                <w:color w:val="auto"/>
                <w:szCs w:val="21"/>
              </w:rPr>
              <w:t>施工期表土剥离临时堆土区防护措施断面</w:t>
            </w:r>
          </w:p>
          <w:p w14:paraId="556AE4C5">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施工中尽量缩小影响范围，合理布置井场，选择合适的设备搬迁路线，合理布置钻井设备，减少井场占地面积。缩短施工时间，提高工程施工效率，减少工程在空间上、时间上对生态环境的影响；</w:t>
            </w:r>
          </w:p>
          <w:p w14:paraId="1B993EC0">
            <w:pPr>
              <w:pStyle w:val="28"/>
              <w:bidi w:val="0"/>
              <w:rPr>
                <w:rFonts w:hint="default" w:ascii="Times New Roman" w:hAnsi="Times New Roman" w:cs="Times New Roman"/>
                <w:color w:val="auto"/>
              </w:rPr>
            </w:pPr>
            <w:r>
              <w:rPr>
                <w:rFonts w:hint="default" w:ascii="Times New Roman" w:hAnsi="Times New Roman" w:cs="Times New Roman"/>
                <w:color w:val="auto"/>
              </w:rPr>
              <w:t>③施工完毕应尽快整理施工现场，恢复原有用地性质；施工期间对建筑材料的堆放采取篷布苫盖措施，防止雨水冲刷；</w:t>
            </w:r>
          </w:p>
          <w:p w14:paraId="43C6BA45">
            <w:pPr>
              <w:pStyle w:val="28"/>
              <w:bidi w:val="0"/>
              <w:rPr>
                <w:rFonts w:hint="default" w:ascii="Times New Roman" w:hAnsi="Times New Roman" w:cs="Times New Roman"/>
                <w:color w:val="auto"/>
              </w:rPr>
            </w:pPr>
            <w:r>
              <w:rPr>
                <w:rFonts w:hint="default" w:ascii="Times New Roman" w:hAnsi="Times New Roman" w:cs="Times New Roman"/>
                <w:color w:val="auto"/>
              </w:rPr>
              <w:t>④制定严格的施工操作规范，建立施工期环境管理制度；相对固定运输路线，严禁施工车辆随意开辟施工便道，严禁随意砍伐植被；</w:t>
            </w:r>
          </w:p>
          <w:p w14:paraId="30F155E1">
            <w:pPr>
              <w:pStyle w:val="28"/>
              <w:bidi w:val="0"/>
              <w:rPr>
                <w:rFonts w:hint="default" w:ascii="Times New Roman" w:hAnsi="Times New Roman" w:cs="Times New Roman"/>
                <w:color w:val="auto"/>
              </w:rPr>
            </w:pPr>
            <w:r>
              <w:rPr>
                <w:rFonts w:hint="default" w:ascii="Times New Roman" w:hAnsi="Times New Roman" w:cs="Times New Roman"/>
                <w:color w:val="auto"/>
              </w:rPr>
              <w:t>⑤迅速恢复植被破坏前的地表形态，填埋废土坑、平整作业现场、改善植被更新生长条件，防止局部土地退化；</w:t>
            </w:r>
          </w:p>
          <w:p w14:paraId="4E9FF43D">
            <w:pPr>
              <w:pStyle w:val="28"/>
              <w:bidi w:val="0"/>
              <w:rPr>
                <w:rFonts w:hint="default" w:ascii="Times New Roman" w:hAnsi="Times New Roman" w:cs="Times New Roman"/>
                <w:color w:val="auto"/>
              </w:rPr>
            </w:pPr>
            <w:r>
              <w:rPr>
                <w:rFonts w:hint="default" w:ascii="Times New Roman" w:hAnsi="Times New Roman" w:cs="Times New Roman"/>
                <w:color w:val="auto"/>
              </w:rPr>
              <w:t>⑥为防止井场作业加剧水土流失，进场前集中收集表土，并进行遮盖围堵以防风吹雨淋流失，作业结束后再覆盖表土等措施后，可有效减少水土流失；</w:t>
            </w:r>
          </w:p>
          <w:p w14:paraId="550307CA">
            <w:pPr>
              <w:pStyle w:val="28"/>
              <w:bidi w:val="0"/>
              <w:rPr>
                <w:rFonts w:hint="default" w:ascii="Times New Roman" w:hAnsi="Times New Roman" w:cs="Times New Roman"/>
                <w:color w:val="auto"/>
              </w:rPr>
            </w:pPr>
            <w:r>
              <w:rPr>
                <w:rFonts w:hint="default" w:ascii="Times New Roman" w:hAnsi="Times New Roman" w:cs="Times New Roman"/>
                <w:color w:val="auto"/>
              </w:rPr>
              <w:t>⑦井场内禁止废水、废弃泥浆、废弃岩屑、以及其他废物流失和乱排放，严禁机油等各种油料落地，擦洗设备和更换的废油品料要集中到废油回收罐，如果发现外溢和散落必须及时清理；</w:t>
            </w:r>
          </w:p>
          <w:p w14:paraId="4FBF80BE">
            <w:pPr>
              <w:pStyle w:val="28"/>
              <w:bidi w:val="0"/>
              <w:rPr>
                <w:rFonts w:hint="default" w:ascii="Times New Roman" w:hAnsi="Times New Roman" w:cs="Times New Roman"/>
                <w:color w:val="auto"/>
              </w:rPr>
            </w:pPr>
            <w:r>
              <w:rPr>
                <w:rFonts w:hint="default" w:ascii="Times New Roman" w:hAnsi="Times New Roman" w:cs="Times New Roman"/>
                <w:color w:val="auto"/>
              </w:rPr>
              <w:t>⑧完井后回收各种原料，清理井场上散落的泥浆、污水、油料和各种废弃物。泥浆药品等泥浆材料及废油必须全部回收，不得随意遗弃于井场，完井后做到作业现场整洁、平整、卫生、无油污、无固废。</w:t>
            </w:r>
          </w:p>
          <w:p w14:paraId="4EEC941A">
            <w:pPr>
              <w:pStyle w:val="28"/>
              <w:bidi w:val="0"/>
              <w:rPr>
                <w:rFonts w:hint="default" w:ascii="Times New Roman" w:hAnsi="Times New Roman" w:cs="Times New Roman"/>
                <w:color w:val="auto"/>
              </w:rPr>
            </w:pPr>
            <w:r>
              <w:rPr>
                <w:rFonts w:hint="default" w:ascii="Times New Roman" w:hAnsi="Times New Roman" w:cs="Times New Roman"/>
                <w:color w:val="auto"/>
              </w:rPr>
              <w:t>⑨项目开发建设前，做好施工规划前期工作，尽量缩小施工范围，减少临时占地面积；施工机械应严格按照规定的施工道路行驶，严禁占用施工区域外的土地；加强施工人员的各类管理；做好工程完井后生态环境的恢复工作；加强环境管理和监理制度；加强生态保护宣传教育，以尽量减少植被破坏及水土流失等不利影响。</w:t>
            </w:r>
          </w:p>
          <w:p w14:paraId="01827C5A">
            <w:pPr>
              <w:pStyle w:val="28"/>
              <w:bidi w:val="0"/>
              <w:rPr>
                <w:rFonts w:hint="default" w:ascii="Times New Roman" w:hAnsi="Times New Roman" w:cs="Times New Roman"/>
                <w:color w:val="auto"/>
              </w:rPr>
            </w:pPr>
            <w:r>
              <w:rPr>
                <w:rFonts w:hint="default" w:ascii="Times New Roman" w:hAnsi="Times New Roman" w:cs="Times New Roman"/>
                <w:color w:val="auto"/>
              </w:rPr>
              <w:t>通过采取相应的生态保护措施，项目建设对区域生态系统的完整性、稳定性影响较小，不会对生态环境造成显著的影响。</w:t>
            </w:r>
          </w:p>
          <w:p w14:paraId="0BC30A0C">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封井期生态环境保护措施</w:t>
            </w:r>
          </w:p>
          <w:p w14:paraId="37B2C245">
            <w:pPr>
              <w:pStyle w:val="28"/>
              <w:bidi w:val="0"/>
              <w:rPr>
                <w:rFonts w:hint="default" w:ascii="Times New Roman" w:hAnsi="Times New Roman" w:cs="Times New Roman"/>
                <w:color w:val="auto"/>
                <w:sz w:val="24"/>
              </w:rPr>
            </w:pPr>
            <w:r>
              <w:rPr>
                <w:rFonts w:hint="default" w:ascii="Times New Roman" w:hAnsi="Times New Roman" w:cs="Times New Roman"/>
                <w:color w:val="auto"/>
                <w:lang w:eastAsia="zh-CN"/>
              </w:rPr>
              <w:t>本工程为</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勘探井，钻井结束后，通过完井测试评价</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藏情况，</w:t>
            </w:r>
            <w:r>
              <w:rPr>
                <w:rFonts w:hint="default" w:ascii="Times New Roman" w:hAnsi="Times New Roman" w:cs="Times New Roman"/>
                <w:color w:val="auto"/>
                <w:lang w:val="en-US" w:eastAsia="zh-CN"/>
              </w:rPr>
              <w:t>若</w:t>
            </w:r>
            <w:r>
              <w:rPr>
                <w:rFonts w:hint="default" w:ascii="Times New Roman" w:hAnsi="Times New Roman" w:cs="Times New Roman"/>
                <w:color w:val="auto"/>
                <w:lang w:eastAsia="zh-CN"/>
              </w:rPr>
              <w:t>不具备开采价值，进行永久封井，场地恢复原状；若测试具有工业产能，临时封井</w:t>
            </w:r>
            <w:r>
              <w:rPr>
                <w:rFonts w:hint="eastAsia" w:ascii="Times New Roman" w:hAnsi="Times New Roman" w:cs="Times New Roman"/>
                <w:color w:val="auto"/>
                <w:lang w:val="en-US" w:eastAsia="zh-CN"/>
              </w:rPr>
              <w:t>并另行办理勘探井转生产井相关环保手续</w:t>
            </w:r>
            <w:r>
              <w:rPr>
                <w:rFonts w:hint="default" w:ascii="Times New Roman" w:hAnsi="Times New Roman" w:cs="Times New Roman"/>
                <w:color w:val="auto"/>
                <w:lang w:eastAsia="zh-CN"/>
              </w:rPr>
              <w:t>，移交给长庆油田分公司第二采气厂按标准化井场进行建设和管理。</w:t>
            </w:r>
            <w:r>
              <w:rPr>
                <w:rFonts w:hint="eastAsia" w:ascii="Times New Roman" w:hAnsi="Times New Roman" w:eastAsia="宋体" w:cs="Times New Roman"/>
                <w:color w:val="auto"/>
                <w:sz w:val="24"/>
                <w:szCs w:val="24"/>
                <w:highlight w:val="none"/>
                <w:lang w:val="en-US" w:eastAsia="zh-CN"/>
              </w:rPr>
              <w:t>由于钻井与标准化井场建设属于不同的单位，经核实，钻井工程结束后，钻井单位即按照要求对临时占地进行生态恢复</w:t>
            </w:r>
            <w:r>
              <w:rPr>
                <w:rFonts w:hint="default" w:ascii="Times New Roman" w:hAnsi="Times New Roman" w:cs="Times New Roman"/>
                <w:color w:val="auto"/>
                <w:sz w:val="24"/>
              </w:rPr>
              <w:t>。</w:t>
            </w:r>
          </w:p>
          <w:p w14:paraId="507834AD">
            <w:pPr>
              <w:pStyle w:val="28"/>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封井作业将对设备、基础进行拆除、搬迁、封井口作业。封井口环境影响因素不再存在，无三废排放，无噪声影响。</w:t>
            </w:r>
          </w:p>
          <w:p w14:paraId="2A942682">
            <w:pPr>
              <w:pStyle w:val="28"/>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封井原因主要包括地质报废与工程报废。一般地质报废是指在钻井过程中，未遇到含</w:t>
            </w:r>
            <w:r>
              <w:rPr>
                <w:rFonts w:hint="eastAsia" w:ascii="Times New Roman" w:hAnsi="Times New Roman" w:cs="Times New Roman"/>
                <w:color w:val="auto"/>
                <w:lang w:val="en-US" w:eastAsia="zh-CN"/>
              </w:rPr>
              <w:t>采</w:t>
            </w:r>
            <w:r>
              <w:rPr>
                <w:rFonts w:hint="default" w:ascii="Times New Roman" w:hAnsi="Times New Roman" w:cs="Times New Roman"/>
                <w:color w:val="auto"/>
                <w:lang w:eastAsia="zh-CN"/>
              </w:rPr>
              <w:t>气层，无任何油气显示的情况。地质勘探过程属于钻井的前端工序，因此一旦无含</w:t>
            </w:r>
            <w:r>
              <w:rPr>
                <w:rFonts w:hint="eastAsia" w:ascii="Times New Roman" w:hAnsi="Times New Roman" w:cs="Times New Roman"/>
                <w:color w:val="auto"/>
                <w:lang w:val="en-US" w:eastAsia="zh-CN"/>
              </w:rPr>
              <w:t>采</w:t>
            </w:r>
            <w:r>
              <w:rPr>
                <w:rFonts w:hint="default" w:ascii="Times New Roman" w:hAnsi="Times New Roman" w:cs="Times New Roman"/>
                <w:color w:val="auto"/>
                <w:lang w:eastAsia="zh-CN"/>
              </w:rPr>
              <w:t>气层，直接将其井口进行封堵，封堵后对井场进行恢复，修复后场内无钻探痕迹。恢复过程主要为：对钻井设施进行拆除；土地平整；对井场土壤进行重构，在井场宜绿区域进行绿化种植。工程报废是指已经下设套管后，通过试</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，未达到可开发利用的</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，则进行封场处理。封井后地面将留有井口封堵痕迹，对井场恢复原有地貌类型。封井期生态具体恢复措施步骤见图5-</w:t>
            </w:r>
            <w:r>
              <w:rPr>
                <w:rFonts w:hint="eastAsia" w:ascii="Times New Roman" w:hAnsi="Times New Roman" w:cs="Times New Roman"/>
                <w:color w:val="auto"/>
                <w:lang w:val="en-US" w:eastAsia="zh-CN"/>
              </w:rPr>
              <w:t>2</w:t>
            </w:r>
            <w:r>
              <w:rPr>
                <w:rFonts w:hint="default" w:ascii="Times New Roman" w:hAnsi="Times New Roman" w:cs="Times New Roman"/>
                <w:color w:val="auto"/>
                <w:lang w:eastAsia="zh-CN"/>
              </w:rPr>
              <w:t>。</w:t>
            </w:r>
          </w:p>
          <w:p w14:paraId="25B1392F">
            <w:pPr>
              <w:pStyle w:val="28"/>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299970" cy="3206115"/>
                  <wp:effectExtent l="0" t="0" r="508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tretch>
                            <a:fillRect/>
                          </a:stretch>
                        </pic:blipFill>
                        <pic:spPr>
                          <a:xfrm>
                            <a:off x="0" y="0"/>
                            <a:ext cx="2299970" cy="3206115"/>
                          </a:xfrm>
                          <a:prstGeom prst="rect">
                            <a:avLst/>
                          </a:prstGeom>
                          <a:noFill/>
                          <a:ln>
                            <a:noFill/>
                          </a:ln>
                        </pic:spPr>
                      </pic:pic>
                    </a:graphicData>
                  </a:graphic>
                </wp:inline>
              </w:drawing>
            </w:r>
          </w:p>
          <w:p w14:paraId="0E869C53">
            <w:pPr>
              <w:pStyle w:val="6"/>
              <w:bidi w:val="0"/>
              <w:ind w:left="0" w:lef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井场生态恢复步骤</w:t>
            </w:r>
          </w:p>
          <w:p w14:paraId="62D7F084">
            <w:pPr>
              <w:pStyle w:val="28"/>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（3）生态恢复要求</w:t>
            </w:r>
          </w:p>
          <w:p w14:paraId="36316E89">
            <w:pPr>
              <w:pStyle w:val="28"/>
              <w:bidi w:val="0"/>
              <w:rPr>
                <w:rFonts w:hint="default" w:ascii="Times New Roman" w:hAnsi="Times New Roman" w:eastAsia="宋体" w:cs="Times New Roman"/>
                <w:color w:val="auto"/>
                <w:lang w:eastAsia="zh-CN"/>
              </w:rPr>
            </w:pPr>
            <w:r>
              <w:rPr>
                <w:rFonts w:hint="default" w:ascii="Times New Roman" w:hAnsi="Times New Roman" w:cs="Times New Roman"/>
                <w:color w:val="auto"/>
              </w:rPr>
              <w:t>当勘探井具有开发价值时，采取临时封井，</w:t>
            </w:r>
            <w:r>
              <w:rPr>
                <w:rFonts w:hint="eastAsia" w:ascii="Times New Roman" w:hAnsi="Times New Roman" w:eastAsia="宋体" w:cs="Times New Roman"/>
                <w:color w:val="auto"/>
                <w:lang w:val="en-US" w:eastAsia="zh-CN"/>
              </w:rPr>
              <w:t>评价井短时间内可转为生产井并取得相关手续，对场地可仅设置苫盖措施，若转井时间超出3个月则需对场地进行生态恢复</w:t>
            </w:r>
            <w:r>
              <w:rPr>
                <w:rFonts w:hint="default" w:ascii="Times New Roman" w:hAnsi="Times New Roman" w:cs="Times New Roman"/>
                <w:color w:val="auto"/>
                <w:lang w:eastAsia="zh-CN"/>
              </w:rPr>
              <w:t>；</w:t>
            </w:r>
            <w:r>
              <w:rPr>
                <w:rFonts w:hint="default" w:ascii="Times New Roman" w:hAnsi="Times New Roman" w:cs="Times New Roman"/>
                <w:bCs/>
                <w:color w:val="auto"/>
                <w:sz w:val="24"/>
                <w:lang w:val="en-US" w:eastAsia="zh-CN"/>
              </w:rPr>
              <w:t>若不具有工业生产价值，则对井场临时占地进行生态恢复，</w:t>
            </w:r>
            <w:r>
              <w:rPr>
                <w:rFonts w:hint="default" w:ascii="Times New Roman" w:hAnsi="Times New Roman" w:cs="Times New Roman"/>
                <w:bCs/>
                <w:color w:val="auto"/>
                <w:sz w:val="24"/>
              </w:rPr>
              <w:t>以达到与周边生态系统一致。</w:t>
            </w:r>
          </w:p>
          <w:p w14:paraId="5D8E0733">
            <w:pPr>
              <w:pStyle w:val="28"/>
              <w:bidi w:val="0"/>
              <w:rPr>
                <w:rFonts w:hint="default" w:ascii="Times New Roman" w:hAnsi="Times New Roman" w:cs="Times New Roman"/>
                <w:color w:val="auto"/>
              </w:rPr>
            </w:pPr>
            <w:r>
              <w:rPr>
                <w:rFonts w:hint="default" w:ascii="Times New Roman" w:hAnsi="Times New Roman" w:cs="Times New Roman"/>
                <w:color w:val="auto"/>
              </w:rPr>
              <w:t>（4）生态恢复整治方案</w:t>
            </w:r>
            <w:r>
              <w:rPr>
                <w:rFonts w:hint="default" w:ascii="Times New Roman" w:hAnsi="Times New Roman" w:cs="Times New Roman"/>
                <w:color w:val="auto"/>
                <w:lang w:val="en-US" w:eastAsia="zh-CN"/>
              </w:rPr>
              <w:t>及</w:t>
            </w:r>
            <w:r>
              <w:rPr>
                <w:rFonts w:hint="default" w:ascii="Times New Roman" w:hAnsi="Times New Roman" w:cs="Times New Roman"/>
                <w:color w:val="auto"/>
              </w:rPr>
              <w:t>恢复用地控制指标</w:t>
            </w:r>
          </w:p>
          <w:p w14:paraId="35E6A873">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项目仅涉及施工期，不涉及运营期，</w:t>
            </w:r>
            <w:r>
              <w:rPr>
                <w:rFonts w:hint="eastAsia" w:ascii="Times New Roman" w:hAnsi="Times New Roman" w:eastAsia="宋体" w:cs="Times New Roman"/>
                <w:color w:val="auto"/>
                <w:lang w:val="en-US" w:eastAsia="zh-CN"/>
              </w:rPr>
              <w:t>本项目钻井结束封井后即开展生态恢复，</w:t>
            </w:r>
            <w:r>
              <w:rPr>
                <w:rFonts w:hint="default" w:ascii="Times New Roman" w:hAnsi="Times New Roman" w:cs="Times New Roman"/>
                <w:color w:val="auto"/>
              </w:rPr>
              <w:t>本次评价仅针对施工期提出相关生态恢复措施，具体生态恢复方案如下：</w:t>
            </w:r>
          </w:p>
          <w:p w14:paraId="17E00BE1">
            <w:pPr>
              <w:pStyle w:val="28"/>
              <w:bidi w:val="0"/>
              <w:rPr>
                <w:rFonts w:hint="default" w:ascii="Times New Roman" w:hAnsi="Times New Roman" w:cs="Times New Roman"/>
                <w:color w:val="auto"/>
              </w:rPr>
            </w:pPr>
            <w:r>
              <w:rPr>
                <w:rFonts w:hint="default" w:ascii="Times New Roman" w:hAnsi="Times New Roman" w:cs="Times New Roman"/>
                <w:color w:val="auto"/>
              </w:rPr>
              <w:t>①场地清理</w:t>
            </w:r>
          </w:p>
          <w:p w14:paraId="4258B688">
            <w:pPr>
              <w:pStyle w:val="28"/>
              <w:bidi w:val="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拆除工程</w:t>
            </w:r>
          </w:p>
          <w:p w14:paraId="1435EB51">
            <w:pPr>
              <w:pStyle w:val="28"/>
              <w:bidi w:val="0"/>
              <w:rPr>
                <w:rFonts w:hint="default" w:ascii="Times New Roman" w:hAnsi="Times New Roman" w:cs="Times New Roman"/>
                <w:color w:val="auto"/>
              </w:rPr>
            </w:pPr>
            <w:r>
              <w:rPr>
                <w:rFonts w:hint="default" w:ascii="Times New Roman" w:hAnsi="Times New Roman" w:cs="Times New Roman"/>
                <w:color w:val="auto"/>
              </w:rPr>
              <w:t>钻井设施均为撬装，例如材料房，值班室等，开钻时由钻井队运至井场。因此，封井期由钻井队拆除，外运。临时</w:t>
            </w:r>
            <w:r>
              <w:rPr>
                <w:rFonts w:hint="default" w:ascii="Times New Roman" w:hAnsi="Times New Roman" w:cs="Times New Roman"/>
                <w:color w:val="auto"/>
                <w:lang w:eastAsia="zh-CN"/>
              </w:rPr>
              <w:t>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cs="Times New Roman"/>
                <w:color w:val="auto"/>
              </w:rPr>
              <w:t>需将危废按照要求处置完毕后，对其拆除，外运；水泥墩、钢架等支撑物彻底拆除、外运，为土地平整创造条件。</w:t>
            </w:r>
          </w:p>
          <w:p w14:paraId="0CACDD28">
            <w:pPr>
              <w:pStyle w:val="28"/>
              <w:bidi w:val="0"/>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场地地表清理</w:t>
            </w:r>
          </w:p>
          <w:p w14:paraId="6E4F7FF0">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据统计，本项目临时占地</w:t>
            </w:r>
            <w:r>
              <w:rPr>
                <w:rFonts w:hint="default" w:ascii="Times New Roman" w:hAnsi="Times New Roman" w:cs="Times New Roman"/>
                <w:color w:val="auto"/>
                <w:highlight w:val="none"/>
                <w:lang w:val="en-US" w:eastAsia="zh-CN"/>
              </w:rPr>
              <w:t>总</w:t>
            </w:r>
            <w:r>
              <w:rPr>
                <w:rFonts w:hint="default" w:ascii="Times New Roman" w:hAnsi="Times New Roman" w:cs="Times New Roman"/>
                <w:color w:val="auto"/>
                <w:highlight w:val="none"/>
              </w:rPr>
              <w:t>面积</w:t>
            </w:r>
            <w:r>
              <w:rPr>
                <w:rFonts w:hint="eastAsia" w:ascii="Times New Roman" w:hAnsi="Times New Roman" w:eastAsia="宋体" w:cs="Times New Roman"/>
                <w:color w:val="auto"/>
                <w:sz w:val="24"/>
                <w:szCs w:val="24"/>
                <w:highlight w:val="none"/>
                <w:lang w:val="en-US" w:eastAsia="zh-CN"/>
              </w:rPr>
              <w:t>67428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t>施工场地、井场表面铺满碎石，在进行覆土前需要清理，场地恢复后的土壤需清洁平整。</w:t>
            </w:r>
          </w:p>
          <w:p w14:paraId="04F3110E">
            <w:pPr>
              <w:pStyle w:val="28"/>
              <w:bidi w:val="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lang w:eastAsia="zh-CN"/>
              </w:rPr>
              <w:t>、</w:t>
            </w:r>
            <w:r>
              <w:rPr>
                <w:rFonts w:hint="default" w:ascii="Times New Roman" w:hAnsi="Times New Roman" w:cs="Times New Roman"/>
                <w:color w:val="auto"/>
              </w:rPr>
              <w:t>土地平整</w:t>
            </w:r>
          </w:p>
          <w:p w14:paraId="21A9150E">
            <w:pPr>
              <w:pStyle w:val="28"/>
              <w:bidi w:val="0"/>
              <w:rPr>
                <w:rFonts w:hint="default" w:ascii="Times New Roman" w:hAnsi="Times New Roman" w:cs="Times New Roman"/>
                <w:color w:val="auto"/>
              </w:rPr>
            </w:pPr>
            <w:r>
              <w:rPr>
                <w:rFonts w:hint="default" w:ascii="Times New Roman" w:hAnsi="Times New Roman" w:cs="Times New Roman"/>
                <w:color w:val="auto"/>
              </w:rPr>
              <w:t>井场经过建筑物拆除后，对井场内的土地进行整体的平整，部分拆除后的凹地，采用临时</w:t>
            </w:r>
            <w:r>
              <w:rPr>
                <w:rFonts w:hint="default" w:ascii="Times New Roman" w:hAnsi="Times New Roman" w:cs="Times New Roman"/>
                <w:color w:val="auto"/>
                <w:lang w:eastAsia="zh-CN"/>
              </w:rPr>
              <w:t>堆土场</w:t>
            </w:r>
            <w:r>
              <w:rPr>
                <w:rFonts w:hint="default" w:ascii="Times New Roman" w:hAnsi="Times New Roman" w:cs="Times New Roman"/>
                <w:color w:val="auto"/>
              </w:rPr>
              <w:t>的表土进行平整。</w:t>
            </w:r>
          </w:p>
          <w:p w14:paraId="4C4EBD6F">
            <w:pPr>
              <w:pStyle w:val="28"/>
              <w:bidi w:val="0"/>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恢复工程</w:t>
            </w:r>
          </w:p>
          <w:p w14:paraId="533BDA6F">
            <w:pPr>
              <w:pStyle w:val="28"/>
              <w:bidi w:val="0"/>
              <w:rPr>
                <w:rFonts w:hint="default" w:ascii="Times New Roman" w:hAnsi="Times New Roman" w:cs="Times New Roman"/>
                <w:color w:val="auto"/>
              </w:rPr>
            </w:pPr>
            <w:r>
              <w:rPr>
                <w:rFonts w:hint="default" w:ascii="Times New Roman" w:hAnsi="Times New Roman" w:cs="Times New Roman"/>
                <w:color w:val="auto"/>
              </w:rPr>
              <w:t>井场经过建筑物压占，车辆流动，板结严重。地表建筑物和地表碎石清除后，</w:t>
            </w:r>
            <w:r>
              <w:rPr>
                <w:rFonts w:hint="default" w:ascii="Times New Roman" w:hAnsi="Times New Roman" w:cs="Times New Roman"/>
                <w:color w:val="auto"/>
                <w:lang w:val="en-US" w:eastAsia="zh-CN"/>
              </w:rPr>
              <w:t>若永久封井，则</w:t>
            </w:r>
            <w:r>
              <w:rPr>
                <w:rFonts w:hint="default" w:ascii="Times New Roman" w:hAnsi="Times New Roman" w:cs="Times New Roman"/>
                <w:color w:val="auto"/>
              </w:rPr>
              <w:t>通过深翻耕松土透气，能够满足井场宜绿区域种植生长的要求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若临时封井，移交给长庆油田分公司第二采气厂按标准化井场进行建设和管理。</w:t>
            </w:r>
            <w:r>
              <w:rPr>
                <w:rFonts w:hint="eastAsia" w:ascii="Times New Roman" w:hAnsi="Times New Roman" w:eastAsia="宋体" w:cs="Times New Roman"/>
                <w:color w:val="auto"/>
                <w:sz w:val="24"/>
                <w:szCs w:val="24"/>
                <w:highlight w:val="none"/>
                <w:lang w:val="en-US" w:eastAsia="zh-CN"/>
              </w:rPr>
              <w:t>由于钻井与标准化井场建设属于不同的单位，经核实，钻井工程结束后，钻井单位即按照要求对临时占地进行生态恢复</w:t>
            </w:r>
            <w:r>
              <w:rPr>
                <w:rFonts w:hint="default" w:ascii="Times New Roman" w:hAnsi="Times New Roman" w:cs="Times New Roman"/>
                <w:color w:val="auto"/>
                <w:sz w:val="24"/>
              </w:rPr>
              <w:t>。</w:t>
            </w:r>
          </w:p>
          <w:p w14:paraId="17C52BB7">
            <w:pPr>
              <w:pStyle w:val="28"/>
              <w:bidi w:val="0"/>
              <w:rPr>
                <w:rFonts w:hint="default" w:ascii="Times New Roman" w:hAnsi="Times New Roman" w:cs="Times New Roman"/>
                <w:color w:val="auto"/>
              </w:rPr>
            </w:pPr>
            <w:r>
              <w:rPr>
                <w:rFonts w:hint="default" w:ascii="Times New Roman" w:hAnsi="Times New Roman" w:cs="Times New Roman"/>
                <w:color w:val="auto"/>
              </w:rPr>
              <w:t>②土壤修复</w:t>
            </w:r>
          </w:p>
          <w:p w14:paraId="01AC9C45">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若施工过程对土地造成污染，首先应清理污染土壤运至有资质单位处置，然后则开展土壤修复工作。</w:t>
            </w:r>
          </w:p>
          <w:p w14:paraId="1395EEDE">
            <w:pPr>
              <w:pStyle w:val="28"/>
              <w:bidi w:val="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生物措施</w:t>
            </w:r>
          </w:p>
          <w:p w14:paraId="39ACCBE6">
            <w:pPr>
              <w:pStyle w:val="28"/>
              <w:bidi w:val="0"/>
              <w:rPr>
                <w:rFonts w:hint="default" w:ascii="Times New Roman" w:hAnsi="Times New Roman" w:cs="Times New Roman"/>
                <w:color w:val="auto"/>
              </w:rPr>
            </w:pPr>
            <w:r>
              <w:rPr>
                <w:rFonts w:hint="default" w:ascii="Times New Roman" w:hAnsi="Times New Roman" w:cs="Times New Roman"/>
                <w:color w:val="auto"/>
              </w:rPr>
              <w:t>结合当地的气候条件进行相关污染土壤治理修复工作，</w:t>
            </w:r>
            <w:r>
              <w:rPr>
                <w:rFonts w:hint="default" w:ascii="Times New Roman" w:hAnsi="Times New Roman" w:cs="Times New Roman"/>
                <w:color w:val="auto"/>
                <w:lang w:val="en-US" w:eastAsia="zh-CN"/>
              </w:rPr>
              <w:t>如在污染区块</w:t>
            </w:r>
            <w:r>
              <w:rPr>
                <w:rFonts w:hint="default" w:ascii="Times New Roman" w:hAnsi="Times New Roman" w:cs="Times New Roman"/>
                <w:color w:val="auto"/>
              </w:rPr>
              <w:t>种植对石油类及有机物等具有较强富集能力的绿色植物进行植被修复。</w:t>
            </w:r>
          </w:p>
          <w:p w14:paraId="77CB4069">
            <w:pPr>
              <w:pStyle w:val="28"/>
              <w:bidi w:val="0"/>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土壤培肥措施</w:t>
            </w:r>
          </w:p>
          <w:p w14:paraId="6D19AF1E">
            <w:pPr>
              <w:pStyle w:val="28"/>
              <w:bidi w:val="0"/>
              <w:rPr>
                <w:rFonts w:hint="default" w:ascii="Times New Roman" w:hAnsi="Times New Roman" w:cs="Times New Roman"/>
                <w:color w:val="auto"/>
              </w:rPr>
            </w:pPr>
            <w:r>
              <w:rPr>
                <w:rFonts w:hint="default" w:ascii="Times New Roman" w:hAnsi="Times New Roman" w:cs="Times New Roman"/>
                <w:color w:val="auto"/>
              </w:rPr>
              <w:t>井场勘探后如未发现</w:t>
            </w:r>
            <w:r>
              <w:rPr>
                <w:rFonts w:hint="default" w:ascii="Times New Roman" w:hAnsi="Times New Roman" w:cs="Times New Roman"/>
                <w:color w:val="auto"/>
                <w:lang w:val="en-US" w:eastAsia="zh-CN"/>
              </w:rPr>
              <w:t>天然气或不具开采价值</w:t>
            </w:r>
            <w:r>
              <w:rPr>
                <w:rFonts w:hint="default" w:ascii="Times New Roman" w:hAnsi="Times New Roman" w:cs="Times New Roman"/>
                <w:color w:val="auto"/>
              </w:rPr>
              <w:t>，进行土地复垦，复垦为</w:t>
            </w:r>
            <w:r>
              <w:rPr>
                <w:rFonts w:hint="default" w:ascii="Times New Roman" w:hAnsi="Times New Roman" w:cs="Times New Roman"/>
                <w:color w:val="auto"/>
                <w:lang w:val="en-US" w:eastAsia="zh-CN"/>
              </w:rPr>
              <w:t>原有土地利用类型</w:t>
            </w:r>
            <w:r>
              <w:rPr>
                <w:rFonts w:hint="default" w:ascii="Times New Roman" w:hAnsi="Times New Roman" w:cs="Times New Roman"/>
                <w:color w:val="auto"/>
              </w:rPr>
              <w:t>。根据场地的地形地貌因子、土壤物理性质、土壤化学性质、生物因子等指标，判定影响区域土壤修复与植被恢复的主要限制性因子，适量有机施肥，保障生产力水平不下降。</w:t>
            </w:r>
          </w:p>
          <w:p w14:paraId="1D26B5D5">
            <w:pPr>
              <w:pStyle w:val="28"/>
              <w:bidi w:val="0"/>
              <w:rPr>
                <w:rFonts w:hint="default" w:ascii="Times New Roman" w:hAnsi="Times New Roman" w:cs="Times New Roman"/>
                <w:color w:val="auto"/>
              </w:rPr>
            </w:pPr>
            <w:r>
              <w:rPr>
                <w:rFonts w:hint="default" w:ascii="Times New Roman" w:hAnsi="Times New Roman" w:cs="Times New Roman"/>
                <w:color w:val="auto"/>
              </w:rPr>
              <w:t>③生态人工恢复</w:t>
            </w:r>
          </w:p>
          <w:p w14:paraId="0C581834">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钻井工程结束后，若临时封井，移交给长庆油田分公司第二采气厂按标准化井场进行建设和管理。</w:t>
            </w:r>
            <w:r>
              <w:rPr>
                <w:rFonts w:hint="eastAsia" w:ascii="Times New Roman" w:hAnsi="Times New Roman" w:eastAsia="宋体" w:cs="Times New Roman"/>
                <w:color w:val="auto"/>
                <w:sz w:val="24"/>
                <w:szCs w:val="24"/>
                <w:highlight w:val="none"/>
                <w:lang w:val="en-US" w:eastAsia="zh-CN"/>
              </w:rPr>
              <w:t>由于钻井与标准化井场建设属于不同的单位，经核实，钻井工程结束后，钻井单位即按照要求对临时占地进行生态恢复</w:t>
            </w:r>
            <w:r>
              <w:rPr>
                <w:rFonts w:hint="default" w:ascii="Times New Roman" w:hAnsi="Times New Roman" w:cs="Times New Roman"/>
                <w:color w:val="auto"/>
                <w:sz w:val="24"/>
              </w:rPr>
              <w:t>。</w:t>
            </w:r>
          </w:p>
          <w:p w14:paraId="28A32C03">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若永久封井，</w:t>
            </w:r>
            <w:r>
              <w:rPr>
                <w:rFonts w:hint="default" w:ascii="Times New Roman" w:hAnsi="Times New Roman" w:cs="Times New Roman"/>
                <w:color w:val="auto"/>
              </w:rPr>
              <w:t>采取人工干预的手段进行生态恢复。生态人工恢复主要工序为：土地平整→植被种植→植被养护。</w:t>
            </w:r>
            <w:r>
              <w:rPr>
                <w:rFonts w:hint="default" w:ascii="Times New Roman" w:hAnsi="Times New Roman" w:cs="Times New Roman"/>
                <w:color w:val="auto"/>
                <w:lang w:val="en-US" w:eastAsia="zh-CN"/>
              </w:rPr>
              <w:t>不同占地类型具体恢复措施见下：</w:t>
            </w:r>
          </w:p>
          <w:p w14:paraId="7A6F68F9">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草地恢复：若永久封井，</w:t>
            </w:r>
            <w:r>
              <w:rPr>
                <w:rFonts w:hint="default" w:ascii="Times New Roman" w:hAnsi="Times New Roman" w:cs="Times New Roman"/>
                <w:color w:val="auto"/>
              </w:rPr>
              <w:t>施工结束后，</w:t>
            </w:r>
            <w:r>
              <w:rPr>
                <w:rFonts w:hint="default" w:ascii="Times New Roman" w:hAnsi="Times New Roman" w:cs="Times New Roman"/>
                <w:color w:val="auto"/>
                <w:lang w:eastAsia="zh-CN"/>
              </w:rPr>
              <w:t>草地</w:t>
            </w:r>
            <w:r>
              <w:rPr>
                <w:rFonts w:hint="default" w:ascii="Times New Roman" w:hAnsi="Times New Roman" w:cs="Times New Roman"/>
                <w:color w:val="auto"/>
              </w:rPr>
              <w:t>恢复为原有生态类型，</w:t>
            </w:r>
            <w:r>
              <w:rPr>
                <w:rFonts w:hint="eastAsia" w:ascii="Times New Roman" w:hAnsi="Times New Roman" w:eastAsia="宋体" w:cs="Times New Roman"/>
                <w:color w:val="auto"/>
                <w:lang w:val="en-US" w:eastAsia="zh-CN"/>
              </w:rPr>
              <w:t>恢复面积为</w:t>
            </w:r>
            <w:r>
              <w:rPr>
                <w:rFonts w:hint="eastAsia" w:ascii="Times New Roman" w:hAnsi="Times New Roman" w:eastAsia="宋体" w:cs="Times New Roman"/>
                <w:color w:val="auto"/>
                <w:lang w:val="en-US" w:eastAsia="zh-CN"/>
              </w:rPr>
              <w:t>0.3181公顷</w:t>
            </w:r>
            <w:r>
              <w:rPr>
                <w:rFonts w:hint="default" w:ascii="Times New Roman" w:hAnsi="Times New Roman" w:cs="Times New Roman"/>
                <w:color w:val="auto"/>
                <w:lang w:eastAsia="zh-CN"/>
              </w:rPr>
              <w:t>，</w:t>
            </w:r>
            <w:r>
              <w:rPr>
                <w:rFonts w:hint="default" w:ascii="Times New Roman" w:hAnsi="Times New Roman" w:cs="Times New Roman"/>
                <w:color w:val="auto"/>
              </w:rPr>
              <w:t>草本植物可选择披碱草、柠条、紫花苜蓿</w:t>
            </w:r>
            <w:r>
              <w:rPr>
                <w:rFonts w:hint="default" w:ascii="Times New Roman" w:hAnsi="Times New Roman" w:cs="Times New Roman"/>
                <w:color w:val="auto"/>
                <w:lang w:eastAsia="zh-CN"/>
              </w:rPr>
              <w:t>、</w:t>
            </w:r>
            <w:r>
              <w:rPr>
                <w:rFonts w:hint="default" w:ascii="Times New Roman" w:hAnsi="Times New Roman" w:cs="Times New Roman"/>
                <w:color w:val="auto"/>
              </w:rPr>
              <w:t>沙打旺、沙嵩、黄蒿等，披碱草、紫花、苜蓿撒播量45kg/hm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rPr>
              <w:t>既能起到防风固沙、水土保持的作用</w:t>
            </w:r>
            <w:r>
              <w:rPr>
                <w:rFonts w:hint="default" w:ascii="Times New Roman" w:hAnsi="Times New Roman" w:cs="Times New Roman"/>
                <w:color w:val="auto"/>
                <w:lang w:eastAsia="zh-CN"/>
              </w:rPr>
              <w:t>，</w:t>
            </w:r>
            <w:r>
              <w:rPr>
                <w:rFonts w:hint="default" w:ascii="Times New Roman" w:hAnsi="Times New Roman" w:cs="Times New Roman"/>
                <w:color w:val="auto"/>
              </w:rPr>
              <w:t>又不会对项目区域生态景观造成影响</w:t>
            </w:r>
            <w:r>
              <w:rPr>
                <w:rFonts w:hint="default" w:ascii="Times New Roman" w:hAnsi="Times New Roman" w:cs="Times New Roman"/>
                <w:color w:val="auto"/>
                <w:lang w:val="en-US" w:eastAsia="zh-CN"/>
              </w:rPr>
              <w:t>。</w:t>
            </w:r>
          </w:p>
          <w:p w14:paraId="522AA0B7">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林地恢复：若永久封井，</w:t>
            </w:r>
            <w:r>
              <w:rPr>
                <w:rFonts w:hint="default" w:ascii="Times New Roman" w:hAnsi="Times New Roman" w:cs="Times New Roman"/>
                <w:color w:val="auto"/>
              </w:rPr>
              <w:t>施工结束后，</w:t>
            </w:r>
            <w:r>
              <w:rPr>
                <w:rFonts w:hint="default" w:ascii="Times New Roman" w:hAnsi="Times New Roman" w:cs="Times New Roman"/>
                <w:color w:val="auto"/>
                <w:lang w:val="en-US" w:eastAsia="zh-CN"/>
              </w:rPr>
              <w:t>进行林地恢复</w:t>
            </w:r>
            <w:r>
              <w:rPr>
                <w:rFonts w:hint="default" w:ascii="Times New Roman" w:hAnsi="Times New Roman" w:cs="Times New Roman"/>
                <w:color w:val="auto"/>
              </w:rPr>
              <w:t>，</w:t>
            </w:r>
            <w:r>
              <w:rPr>
                <w:rFonts w:hint="default" w:ascii="Times New Roman" w:hAnsi="Times New Roman" w:cs="Times New Roman"/>
                <w:color w:val="auto"/>
                <w:lang w:val="en-US" w:eastAsia="zh-CN"/>
              </w:rPr>
              <w:t>恢复面积为</w:t>
            </w:r>
            <w:r>
              <w:rPr>
                <w:rFonts w:hint="eastAsia" w:ascii="Times New Roman" w:hAnsi="Times New Roman" w:cs="Times New Roman"/>
                <w:color w:val="auto"/>
                <w:lang w:val="en-US" w:eastAsia="zh-CN"/>
              </w:rPr>
              <w:t>2.4447</w:t>
            </w:r>
            <w:r>
              <w:rPr>
                <w:rFonts w:hint="eastAsia" w:ascii="Times New Roman" w:hAnsi="Times New Roman" w:eastAsia="宋体" w:cs="Times New Roman"/>
                <w:color w:val="auto"/>
                <w:lang w:val="en-US" w:eastAsia="zh-CN"/>
              </w:rPr>
              <w:t>公顷</w:t>
            </w:r>
            <w:r>
              <w:rPr>
                <w:rFonts w:hint="default" w:ascii="Times New Roman" w:hAnsi="Times New Roman" w:cs="Times New Roman"/>
                <w:color w:val="auto"/>
                <w:lang w:eastAsia="zh-CN"/>
              </w:rPr>
              <w:t>，</w:t>
            </w:r>
            <w:r>
              <w:rPr>
                <w:rFonts w:hint="default" w:ascii="Times New Roman" w:hAnsi="Times New Roman" w:cs="Times New Roman"/>
                <w:color w:val="auto"/>
              </w:rPr>
              <w:t>生态恢复植被应选用当地耐寒、保水固土能力强根系发达的物种，优先考虑灌木树种，</w:t>
            </w:r>
            <w:r>
              <w:rPr>
                <w:rFonts w:hint="default" w:ascii="Times New Roman" w:hAnsi="Times New Roman" w:cs="Times New Roman"/>
                <w:color w:val="auto"/>
                <w:lang w:val="en-US" w:eastAsia="zh-CN"/>
              </w:rPr>
              <w:t>如</w:t>
            </w:r>
            <w:r>
              <w:rPr>
                <w:rFonts w:hint="default" w:ascii="Times New Roman" w:hAnsi="Times New Roman" w:cs="Times New Roman"/>
                <w:color w:val="auto"/>
              </w:rPr>
              <w:t>柠条、沙棘等</w:t>
            </w:r>
            <w:r>
              <w:rPr>
                <w:rFonts w:hint="default" w:ascii="Times New Roman" w:hAnsi="Times New Roman" w:cs="Times New Roman"/>
                <w:color w:val="auto"/>
                <w:lang w:eastAsia="zh-CN"/>
              </w:rPr>
              <w:t>。</w:t>
            </w:r>
          </w:p>
          <w:p w14:paraId="116D1CFE">
            <w:pPr>
              <w:pStyle w:val="28"/>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园地恢复：若永久封井，施工结束后，进行园地恢复，恢复面积为</w:t>
            </w:r>
            <w:r>
              <w:rPr>
                <w:rFonts w:hint="eastAsia" w:ascii="Times New Roman" w:hAnsi="Times New Roman" w:eastAsia="宋体" w:cs="Times New Roman"/>
                <w:color w:val="auto"/>
                <w:lang w:val="en-US" w:eastAsia="zh-CN"/>
              </w:rPr>
              <w:t>2.7434公顷</w:t>
            </w:r>
            <w:r>
              <w:rPr>
                <w:rFonts w:hint="eastAsia" w:ascii="Times New Roman" w:hAnsi="Times New Roman" w:eastAsia="宋体" w:cs="Times New Roman"/>
                <w:color w:val="auto"/>
                <w:lang w:val="en-US" w:eastAsia="zh-CN"/>
              </w:rPr>
              <w:t>，果树选择原有果树类型。</w:t>
            </w:r>
          </w:p>
          <w:p w14:paraId="5046CA41">
            <w:pPr>
              <w:pStyle w:val="28"/>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耕地恢复：若永久封井，施工结束后，进行耕地恢复，恢复面积为</w:t>
            </w:r>
            <w:r>
              <w:rPr>
                <w:rFonts w:hint="eastAsia" w:ascii="Times New Roman" w:hAnsi="Times New Roman" w:eastAsia="宋体" w:cs="Times New Roman"/>
                <w:color w:val="auto"/>
                <w:lang w:val="en-US" w:eastAsia="zh-CN"/>
              </w:rPr>
              <w:t>1.0966公顷</w:t>
            </w:r>
            <w:r>
              <w:rPr>
                <w:rFonts w:hint="eastAsia" w:ascii="Times New Roman" w:hAnsi="Times New Roman" w:eastAsia="宋体" w:cs="Times New Roman"/>
                <w:color w:val="auto"/>
                <w:lang w:val="en-US" w:eastAsia="zh-CN"/>
              </w:rPr>
              <w:t>，对占用土地进行整治，恢复种植条件。</w:t>
            </w:r>
          </w:p>
          <w:p w14:paraId="112535E0">
            <w:pPr>
              <w:pStyle w:val="28"/>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rPr>
            </w:pPr>
            <w:r>
              <w:rPr>
                <w:rFonts w:hint="default" w:ascii="Times New Roman" w:hAnsi="Times New Roman" w:cs="Times New Roman"/>
                <w:color w:val="auto"/>
              </w:rPr>
              <w:t>本项目治理区土地复垦主要的用途为</w:t>
            </w:r>
            <w:r>
              <w:rPr>
                <w:rFonts w:hint="default" w:ascii="Times New Roman" w:hAnsi="Times New Roman" w:cs="Times New Roman"/>
                <w:color w:val="auto"/>
                <w:lang w:val="en-US" w:eastAsia="zh-CN"/>
              </w:rPr>
              <w:t>林</w:t>
            </w:r>
            <w:r>
              <w:rPr>
                <w:rFonts w:hint="default" w:ascii="Times New Roman" w:hAnsi="Times New Roman" w:cs="Times New Roman"/>
                <w:color w:val="auto"/>
              </w:rPr>
              <w:t>地</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园地等</w:t>
            </w:r>
            <w:r>
              <w:rPr>
                <w:rFonts w:hint="default" w:ascii="Times New Roman" w:hAnsi="Times New Roman" w:cs="Times New Roman"/>
                <w:color w:val="auto"/>
              </w:rPr>
              <w:t>，根据《土地复垦质量控制标准》（TD/T1036-2013）中黄土高原区土地复垦质量控制标准，本项目土地复垦具体控制指标见下表。</w:t>
            </w:r>
          </w:p>
          <w:p w14:paraId="12314791">
            <w:pPr>
              <w:pStyle w:val="6"/>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表</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本项目生态恢复控制指标表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79"/>
              <w:gridCol w:w="4560"/>
            </w:tblGrid>
            <w:tr w14:paraId="1176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13C8E5">
                  <w:pPr>
                    <w:pStyle w:val="29"/>
                    <w:bidi w:val="0"/>
                    <w:snapToGrid w:val="0"/>
                    <w:jc w:val="center"/>
                    <w:rPr>
                      <w:rFonts w:hint="default" w:ascii="Times New Roman" w:hAnsi="Times New Roman" w:cs="Times New Roman"/>
                      <w:color w:val="auto"/>
                      <w:sz w:val="21"/>
                      <w:szCs w:val="21"/>
                      <w:lang w:val="en-US" w:eastAsia="zh-CN"/>
                    </w:rPr>
                  </w:pPr>
                </w:p>
                <w:p w14:paraId="04681BEE">
                  <w:pPr>
                    <w:pStyle w:val="29"/>
                    <w:bidi w:val="0"/>
                    <w:snapToGrid w:val="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基本指标</w:t>
                  </w:r>
                </w:p>
                <w:p w14:paraId="27223D2D">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复垦方向</w:t>
                  </w:r>
                </w:p>
              </w:tc>
              <w:tc>
                <w:tcPr>
                  <w:tcW w:w="4335" w:type="dxa"/>
                  <w:vAlign w:val="center"/>
                </w:tcPr>
                <w:p w14:paraId="775653DA">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本项目控制标准</w:t>
                  </w:r>
                </w:p>
              </w:tc>
            </w:tr>
            <w:tr w14:paraId="7A14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continue"/>
                  <w:vAlign w:val="center"/>
                </w:tcPr>
                <w:p w14:paraId="37EDBE26">
                  <w:pPr>
                    <w:pStyle w:val="29"/>
                    <w:bidi w:val="0"/>
                    <w:jc w:val="center"/>
                    <w:rPr>
                      <w:rFonts w:hint="default" w:ascii="Times New Roman" w:hAnsi="Times New Roman" w:cs="Times New Roman"/>
                      <w:color w:val="auto"/>
                      <w:sz w:val="21"/>
                      <w:szCs w:val="21"/>
                    </w:rPr>
                  </w:pPr>
                </w:p>
              </w:tc>
              <w:tc>
                <w:tcPr>
                  <w:tcW w:w="4335" w:type="dxa"/>
                  <w:vAlign w:val="center"/>
                </w:tcPr>
                <w:p w14:paraId="72C81409">
                  <w:pPr>
                    <w:pStyle w:val="29"/>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灌木林地</w:t>
                  </w:r>
                </w:p>
              </w:tc>
            </w:tr>
            <w:tr w14:paraId="0A0C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028A460">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有效土层厚度/（cm）</w:t>
                  </w:r>
                </w:p>
              </w:tc>
              <w:tc>
                <w:tcPr>
                  <w:tcW w:w="4335" w:type="dxa"/>
                  <w:vAlign w:val="center"/>
                </w:tcPr>
                <w:p w14:paraId="605CF0B9">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30</w:t>
                  </w:r>
                </w:p>
              </w:tc>
            </w:tr>
            <w:tr w14:paraId="1807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05B64B42">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土壤容重/（g/cm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335" w:type="dxa"/>
                  <w:vAlign w:val="center"/>
                </w:tcPr>
                <w:p w14:paraId="6EC4ACBC">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1.5</w:t>
                  </w:r>
                </w:p>
              </w:tc>
            </w:tr>
            <w:tr w14:paraId="25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E45F3F3">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土壤质地</w:t>
                  </w:r>
                </w:p>
              </w:tc>
              <w:tc>
                <w:tcPr>
                  <w:tcW w:w="4335" w:type="dxa"/>
                  <w:vAlign w:val="center"/>
                </w:tcPr>
                <w:p w14:paraId="49A69B96">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砂土至砂质黏土</w:t>
                  </w:r>
                </w:p>
              </w:tc>
            </w:tr>
            <w:tr w14:paraId="3A4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376343">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砾石含量/（%）</w:t>
                  </w:r>
                </w:p>
              </w:tc>
              <w:tc>
                <w:tcPr>
                  <w:tcW w:w="4335" w:type="dxa"/>
                  <w:vAlign w:val="center"/>
                </w:tcPr>
                <w:p w14:paraId="5271ADFC">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25</w:t>
                  </w:r>
                </w:p>
              </w:tc>
            </w:tr>
            <w:tr w14:paraId="0E10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51C6BE86">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w:t>
                  </w:r>
                </w:p>
              </w:tc>
              <w:tc>
                <w:tcPr>
                  <w:tcW w:w="4335" w:type="dxa"/>
                  <w:vAlign w:val="center"/>
                </w:tcPr>
                <w:p w14:paraId="56108BF9">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6.5-8.5</w:t>
                  </w:r>
                </w:p>
              </w:tc>
            </w:tr>
            <w:tr w14:paraId="3419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41C9CFDD">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有机质/（%）</w:t>
                  </w:r>
                </w:p>
              </w:tc>
              <w:tc>
                <w:tcPr>
                  <w:tcW w:w="4335" w:type="dxa"/>
                  <w:vAlign w:val="center"/>
                </w:tcPr>
                <w:p w14:paraId="0DE45FB4">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0.5</w:t>
                  </w:r>
                </w:p>
              </w:tc>
            </w:tr>
            <w:tr w14:paraId="31BF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CB43962">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配套设施（道路）</w:t>
                  </w:r>
                </w:p>
              </w:tc>
              <w:tc>
                <w:tcPr>
                  <w:tcW w:w="4335" w:type="dxa"/>
                  <w:vAlign w:val="center"/>
                </w:tcPr>
                <w:p w14:paraId="65227AB7">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达到</w:t>
                  </w:r>
                  <w:r>
                    <w:rPr>
                      <w:rFonts w:hint="default" w:ascii="Times New Roman" w:hAnsi="Times New Roman" w:cs="Times New Roman"/>
                      <w:color w:val="auto"/>
                      <w:sz w:val="21"/>
                      <w:szCs w:val="21"/>
                      <w:lang w:val="en-US" w:eastAsia="zh-CN"/>
                    </w:rPr>
                    <w:t>当地本行业工程</w:t>
                  </w:r>
                  <w:r>
                    <w:rPr>
                      <w:rFonts w:hint="default" w:ascii="Times New Roman" w:hAnsi="Times New Roman" w:cs="Times New Roman"/>
                      <w:color w:val="auto"/>
                      <w:sz w:val="21"/>
                      <w:szCs w:val="21"/>
                    </w:rPr>
                    <w:t>建设标准要求</w:t>
                  </w:r>
                </w:p>
              </w:tc>
            </w:tr>
            <w:tr w14:paraId="461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7B0DD8">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定植密度</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株</w:t>
                  </w:r>
                  <w:r>
                    <w:rPr>
                      <w:rFonts w:hint="default" w:ascii="Times New Roman" w:hAnsi="Times New Roman" w:cs="Times New Roman"/>
                      <w:color w:val="auto"/>
                      <w:sz w:val="21"/>
                      <w:szCs w:val="21"/>
                    </w:rPr>
                    <w:t>/hm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4335" w:type="dxa"/>
                  <w:vAlign w:val="center"/>
                </w:tcPr>
                <w:p w14:paraId="67CCE726">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满足《造林作业设计规程》（LY/T1607）要求</w:t>
                  </w:r>
                </w:p>
              </w:tc>
            </w:tr>
            <w:tr w14:paraId="1AB3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2FCA3B6">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郁闭</w:t>
                  </w:r>
                  <w:r>
                    <w:rPr>
                      <w:rFonts w:hint="default" w:ascii="Times New Roman" w:hAnsi="Times New Roman" w:cs="Times New Roman"/>
                      <w:color w:val="auto"/>
                      <w:sz w:val="21"/>
                      <w:szCs w:val="21"/>
                    </w:rPr>
                    <w:t>度/（%）</w:t>
                  </w:r>
                </w:p>
              </w:tc>
              <w:tc>
                <w:tcPr>
                  <w:tcW w:w="4335" w:type="dxa"/>
                  <w:vAlign w:val="center"/>
                </w:tcPr>
                <w:p w14:paraId="341A0FB0">
                  <w:pPr>
                    <w:pStyle w:val="29"/>
                    <w:bidi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0.30</w:t>
                  </w:r>
                </w:p>
              </w:tc>
            </w:tr>
          </w:tbl>
          <w:p w14:paraId="644F7397">
            <w:pPr>
              <w:pStyle w:val="6"/>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表5-2  临时生态保护措施一览表</w:t>
            </w:r>
          </w:p>
          <w:tbl>
            <w:tblPr>
              <w:tblStyle w:val="22"/>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453"/>
              <w:gridCol w:w="1728"/>
              <w:gridCol w:w="2832"/>
            </w:tblGrid>
            <w:tr w14:paraId="0A3F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7" w:type="pct"/>
                  <w:noWrap w:val="0"/>
                  <w:vAlign w:val="center"/>
                </w:tcPr>
                <w:p w14:paraId="427E240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现状占地类型</w:t>
                  </w:r>
                </w:p>
              </w:tc>
              <w:tc>
                <w:tcPr>
                  <w:tcW w:w="1424" w:type="pct"/>
                  <w:noWrap w:val="0"/>
                  <w:vAlign w:val="center"/>
                </w:tcPr>
                <w:p w14:paraId="020BE3BC">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恢复类型及面积</w:t>
                  </w:r>
                </w:p>
              </w:tc>
              <w:tc>
                <w:tcPr>
                  <w:tcW w:w="1003" w:type="pct"/>
                  <w:noWrap w:val="0"/>
                  <w:vAlign w:val="center"/>
                </w:tcPr>
                <w:p w14:paraId="7DE2940F">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恢复种植</w:t>
                  </w:r>
                </w:p>
              </w:tc>
              <w:tc>
                <w:tcPr>
                  <w:tcW w:w="1644" w:type="pct"/>
                  <w:noWrap w:val="0"/>
                  <w:vAlign w:val="center"/>
                </w:tcPr>
                <w:p w14:paraId="36ED8FE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恢复时间</w:t>
                  </w:r>
                </w:p>
              </w:tc>
            </w:tr>
            <w:tr w14:paraId="57AB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927" w:type="pct"/>
                  <w:noWrap w:val="0"/>
                  <w:vAlign w:val="center"/>
                </w:tcPr>
                <w:p w14:paraId="3C083CC6">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园地</w:t>
                  </w:r>
                  <w:r>
                    <w:rPr>
                      <w:rFonts w:hint="default" w:ascii="Times New Roman" w:hAnsi="Times New Roman" w:eastAsia="宋体" w:cs="Times New Roman"/>
                      <w:color w:val="auto"/>
                      <w:sz w:val="21"/>
                      <w:szCs w:val="21"/>
                      <w:lang w:val="en-US" w:eastAsia="zh-CN"/>
                    </w:rPr>
                    <w:t>、林地和草地</w:t>
                  </w:r>
                  <w:r>
                    <w:rPr>
                      <w:rFonts w:hint="eastAsia" w:ascii="Times New Roman" w:hAnsi="Times New Roman" w:eastAsia="宋体" w:cs="Times New Roman"/>
                      <w:color w:val="auto"/>
                      <w:sz w:val="21"/>
                      <w:szCs w:val="21"/>
                      <w:lang w:val="en-US" w:eastAsia="zh-CN"/>
                    </w:rPr>
                    <w:t>、草地</w:t>
                  </w:r>
                </w:p>
              </w:tc>
              <w:tc>
                <w:tcPr>
                  <w:tcW w:w="1424" w:type="pct"/>
                  <w:noWrap w:val="0"/>
                  <w:vAlign w:val="center"/>
                </w:tcPr>
                <w:p w14:paraId="7BF4D35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项目临时占</w:t>
                  </w:r>
                  <w:r>
                    <w:rPr>
                      <w:rFonts w:hint="eastAsia" w:ascii="Times New Roman" w:hAnsi="Times New Roman" w:eastAsia="宋体" w:cs="Times New Roman"/>
                      <w:color w:val="auto"/>
                      <w:sz w:val="21"/>
                      <w:szCs w:val="21"/>
                      <w:highlight w:val="none"/>
                      <w:lang w:val="en-US" w:eastAsia="zh-CN"/>
                    </w:rPr>
                    <w:t>地</w:t>
                  </w:r>
                  <w:r>
                    <w:rPr>
                      <w:rFonts w:hint="eastAsia" w:ascii="Times New Roman" w:hAnsi="Times New Roman" w:eastAsia="宋体" w:cs="Times New Roman"/>
                      <w:color w:val="auto"/>
                      <w:sz w:val="21"/>
                      <w:szCs w:val="21"/>
                      <w:highlight w:val="none"/>
                      <w:lang w:val="en-US" w:eastAsia="zh-CN"/>
                    </w:rPr>
                    <w:t>67428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临时用地恢复原状，即</w:t>
                  </w:r>
                  <w:r>
                    <w:rPr>
                      <w:rFonts w:hint="default" w:ascii="Times New Roman" w:hAnsi="Times New Roman" w:eastAsia="宋体" w:cs="Times New Roman"/>
                      <w:color w:val="auto"/>
                      <w:sz w:val="21"/>
                      <w:szCs w:val="21"/>
                      <w:lang w:val="en-US" w:eastAsia="zh-CN"/>
                    </w:rPr>
                    <w:t>耕地</w:t>
                  </w:r>
                  <w:r>
                    <w:rPr>
                      <w:rFonts w:hint="eastAsia" w:ascii="Times New Roman" w:hAnsi="Times New Roman" w:eastAsia="宋体" w:cs="Times New Roman"/>
                      <w:color w:val="auto"/>
                      <w:sz w:val="21"/>
                      <w:szCs w:val="21"/>
                      <w:highlight w:val="none"/>
                      <w:lang w:val="en-US" w:eastAsia="zh-CN"/>
                    </w:rPr>
                    <w:t>恢复为</w:t>
                  </w:r>
                  <w:r>
                    <w:rPr>
                      <w:rFonts w:hint="default" w:ascii="Times New Roman" w:hAnsi="Times New Roman" w:eastAsia="宋体" w:cs="Times New Roman"/>
                      <w:color w:val="auto"/>
                      <w:sz w:val="21"/>
                      <w:szCs w:val="21"/>
                      <w:lang w:val="en-US" w:eastAsia="zh-CN"/>
                    </w:rPr>
                    <w:t>耕地</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highlight w:val="none"/>
                      <w:lang w:val="en-US" w:eastAsia="zh-CN"/>
                    </w:rPr>
                    <w:t>草地恢复为草地，林地恢复为林地，并辅以草地搭配。</w:t>
                  </w:r>
                </w:p>
              </w:tc>
              <w:tc>
                <w:tcPr>
                  <w:tcW w:w="1003" w:type="pct"/>
                  <w:noWrap w:val="0"/>
                  <w:vAlign w:val="center"/>
                </w:tcPr>
                <w:p w14:paraId="6E95C0EE">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林木</w:t>
                  </w:r>
                  <w:r>
                    <w:rPr>
                      <w:color w:val="auto"/>
                      <w:sz w:val="21"/>
                      <w:szCs w:val="21"/>
                    </w:rPr>
                    <w:t>优先考虑灌木树种，</w:t>
                  </w:r>
                  <w:r>
                    <w:rPr>
                      <w:rFonts w:hint="eastAsia"/>
                      <w:color w:val="auto"/>
                      <w:sz w:val="21"/>
                      <w:szCs w:val="21"/>
                      <w:lang w:val="en-US" w:eastAsia="zh-CN"/>
                    </w:rPr>
                    <w:t>如</w:t>
                  </w:r>
                  <w:r>
                    <w:rPr>
                      <w:color w:val="auto"/>
                      <w:sz w:val="21"/>
                      <w:szCs w:val="21"/>
                    </w:rPr>
                    <w:t>柠条、沙棘等；草本有冰草、沙打旺、沙嵩、黄蒿等</w:t>
                  </w:r>
                  <w:r>
                    <w:rPr>
                      <w:rFonts w:hint="eastAsia"/>
                      <w:color w:val="auto"/>
                      <w:sz w:val="21"/>
                      <w:szCs w:val="21"/>
                      <w:lang w:eastAsia="zh-CN"/>
                    </w:rPr>
                    <w:t>；</w:t>
                  </w:r>
                  <w:r>
                    <w:rPr>
                      <w:rFonts w:hint="eastAsia"/>
                      <w:color w:val="auto"/>
                      <w:sz w:val="21"/>
                      <w:szCs w:val="21"/>
                      <w:lang w:val="en-US" w:eastAsia="zh-CN"/>
                    </w:rPr>
                    <w:t>耕地交由农民进行复垦，给农户相应的补偿</w:t>
                  </w:r>
                </w:p>
              </w:tc>
              <w:tc>
                <w:tcPr>
                  <w:tcW w:w="1644" w:type="pct"/>
                  <w:noWrap w:val="0"/>
                  <w:vAlign w:val="center"/>
                </w:tcPr>
                <w:p w14:paraId="292DB68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施工结合后根据气候条件适时开展生态恢复工作，确保2-3年内临时占地恢复到原有植被类型和覆盖度。</w:t>
                  </w:r>
                </w:p>
              </w:tc>
            </w:tr>
          </w:tbl>
          <w:p w14:paraId="1B2E4F0A">
            <w:pPr>
              <w:keepLines w:val="0"/>
              <w:pageBreakBefore w:val="0"/>
              <w:kinsoku/>
              <w:wordWrap/>
              <w:overflowPunct/>
              <w:topLinePunct w:val="0"/>
              <w:autoSpaceDE/>
              <w:autoSpaceDN/>
              <w:bidi w:val="0"/>
              <w:adjustRightInd w:val="0"/>
              <w:snapToGrid/>
              <w:spacing w:line="360" w:lineRule="auto"/>
              <w:ind w:right="0" w:firstLine="480" w:firstLineChars="200"/>
              <w:jc w:val="both"/>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永久封井时，项目临时占地生态恢复措施设计图见图5-3。</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9"/>
            </w:tblGrid>
            <w:tr w14:paraId="6902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517C613B">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eastAsia"/>
                      <w:color w:val="auto"/>
                      <w:vertAlign w:val="baseline"/>
                      <w:lang w:val="en-US" w:eastAsia="zh-CN"/>
                    </w:rPr>
                  </w:pPr>
                  <w:r>
                    <w:rPr>
                      <w:color w:val="auto"/>
                    </w:rPr>
                    <w:drawing>
                      <wp:inline distT="0" distB="0" distL="114300" distR="114300">
                        <wp:extent cx="5322570" cy="1861185"/>
                        <wp:effectExtent l="0" t="0" r="1143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5322570" cy="1861185"/>
                                </a:xfrm>
                                <a:prstGeom prst="rect">
                                  <a:avLst/>
                                </a:prstGeom>
                                <a:noFill/>
                                <a:ln>
                                  <a:noFill/>
                                </a:ln>
                              </pic:spPr>
                            </pic:pic>
                          </a:graphicData>
                        </a:graphic>
                      </wp:inline>
                    </w:drawing>
                  </w:r>
                </w:p>
              </w:tc>
            </w:tr>
            <w:tr w14:paraId="12A4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7DD218AE">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林地恢复为林地，</w:t>
                  </w:r>
                  <w:r>
                    <w:rPr>
                      <w:rFonts w:hint="eastAsia" w:ascii="Times New Roman" w:hAnsi="Times New Roman" w:eastAsia="宋体" w:cs="Times New Roman"/>
                      <w:b/>
                      <w:bCs/>
                      <w:color w:val="auto"/>
                      <w:sz w:val="21"/>
                      <w:szCs w:val="21"/>
                      <w:highlight w:val="none"/>
                      <w:lang w:val="en-US" w:eastAsia="zh-CN"/>
                    </w:rPr>
                    <w:t>辅以草地搭配。</w:t>
                  </w:r>
                </w:p>
              </w:tc>
            </w:tr>
            <w:tr w14:paraId="657A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0603F59B">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eastAsia"/>
                      <w:color w:val="auto"/>
                      <w:vertAlign w:val="baseline"/>
                      <w:lang w:val="en-US" w:eastAsia="zh-CN"/>
                    </w:rPr>
                  </w:pPr>
                  <w:r>
                    <w:rPr>
                      <w:color w:val="auto"/>
                    </w:rPr>
                    <w:drawing>
                      <wp:inline distT="0" distB="0" distL="114300" distR="114300">
                        <wp:extent cx="5442585" cy="1965325"/>
                        <wp:effectExtent l="0" t="0" r="5715"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a:stretch>
                                  <a:fillRect/>
                                </a:stretch>
                              </pic:blipFill>
                              <pic:spPr>
                                <a:xfrm>
                                  <a:off x="0" y="0"/>
                                  <a:ext cx="5442585" cy="1965325"/>
                                </a:xfrm>
                                <a:prstGeom prst="rect">
                                  <a:avLst/>
                                </a:prstGeom>
                                <a:noFill/>
                                <a:ln>
                                  <a:noFill/>
                                </a:ln>
                              </pic:spPr>
                            </pic:pic>
                          </a:graphicData>
                        </a:graphic>
                      </wp:inline>
                    </w:drawing>
                  </w:r>
                </w:p>
              </w:tc>
            </w:tr>
            <w:tr w14:paraId="60F8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D3A3BAE">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草地恢复为草地</w:t>
                  </w:r>
                </w:p>
              </w:tc>
            </w:tr>
          </w:tbl>
          <w:p w14:paraId="0E511BA7">
            <w:pPr>
              <w:keepLines w:val="0"/>
              <w:pageBreakBefore w:val="0"/>
              <w:kinsoku/>
              <w:wordWrap/>
              <w:overflowPunct/>
              <w:topLinePunct w:val="0"/>
              <w:autoSpaceDE/>
              <w:autoSpaceDN/>
              <w:bidi w:val="0"/>
              <w:adjustRightInd w:val="0"/>
              <w:snapToGrid/>
              <w:spacing w:line="360" w:lineRule="auto"/>
              <w:ind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图5-</w:t>
            </w:r>
            <w:r>
              <w:rPr>
                <w:rFonts w:hint="eastAsia" w:ascii="Times New Roman" w:hAnsi="Times New Roman" w:cs="Times New Roman"/>
                <w:b/>
                <w:bCs/>
                <w:color w:val="auto"/>
                <w:sz w:val="21"/>
                <w:szCs w:val="21"/>
                <w:vertAlign w:val="baseline"/>
                <w:lang w:val="en-US" w:eastAsia="zh-CN"/>
              </w:rPr>
              <w:t>3</w:t>
            </w:r>
            <w:r>
              <w:rPr>
                <w:rFonts w:hint="default" w:ascii="Times New Roman" w:hAnsi="Times New Roman" w:cs="Times New Roman"/>
                <w:b/>
                <w:bCs/>
                <w:color w:val="auto"/>
                <w:sz w:val="21"/>
                <w:szCs w:val="21"/>
                <w:vertAlign w:val="baseline"/>
                <w:lang w:val="en-US" w:eastAsia="zh-CN"/>
              </w:rPr>
              <w:t xml:space="preserve">  项目临时占地生态恢复措施图</w:t>
            </w:r>
          </w:p>
          <w:p w14:paraId="3A9C2CB3">
            <w:pPr>
              <w:pStyle w:val="28"/>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rPr>
            </w:pPr>
            <w:r>
              <w:rPr>
                <w:rFonts w:hint="default" w:ascii="Times New Roman" w:hAnsi="Times New Roman" w:cs="Times New Roman"/>
                <w:color w:val="auto"/>
              </w:rPr>
              <w:t>（5）生态环境综合整治后效果</w:t>
            </w:r>
          </w:p>
          <w:p w14:paraId="6EC641D6">
            <w:pPr>
              <w:pStyle w:val="28"/>
              <w:bidi w:val="0"/>
              <w:rPr>
                <w:rFonts w:hint="default" w:ascii="Times New Roman" w:hAnsi="Times New Roman" w:cs="Times New Roman"/>
                <w:color w:val="auto"/>
              </w:rPr>
            </w:pPr>
            <w:r>
              <w:rPr>
                <w:rFonts w:hint="default" w:ascii="Times New Roman" w:hAnsi="Times New Roman" w:cs="Times New Roman"/>
                <w:color w:val="auto"/>
              </w:rPr>
              <w:t>由工程分析和影响分析可知，工程建设对生态环境的影响主要表现在对局部植被以及土壤环境等的影响。本项目为临时占地，植被的破坏为临时性影响，钻井结束后，对临时占用的土地进行植被恢复。通过类比调查同类探井项目土地和植被的恢复情况可知，植被恢复较好，植物生长未受到影响，不会破坏生态系统的结构和稳定性，具体治理后植被恢复效果要不低于周边其他区域。</w:t>
            </w:r>
          </w:p>
          <w:p w14:paraId="5FBE3127">
            <w:pPr>
              <w:pStyle w:val="28"/>
              <w:bidi w:val="0"/>
              <w:rPr>
                <w:rFonts w:hint="default" w:ascii="Times New Roman" w:hAnsi="Times New Roman" w:cs="Times New Roman"/>
                <w:color w:val="auto"/>
              </w:rPr>
            </w:pPr>
            <w:r>
              <w:rPr>
                <w:rFonts w:hint="default" w:ascii="Times New Roman" w:hAnsi="Times New Roman" w:cs="Times New Roman"/>
                <w:color w:val="auto"/>
              </w:rPr>
              <w:t>工程占地</w:t>
            </w:r>
            <w:r>
              <w:rPr>
                <w:rFonts w:hint="default" w:ascii="Times New Roman" w:hAnsi="Times New Roman" w:cs="Times New Roman"/>
                <w:color w:val="auto"/>
                <w:lang w:val="en-US" w:eastAsia="zh-CN"/>
              </w:rPr>
              <w:t>为</w:t>
            </w:r>
            <w:r>
              <w:rPr>
                <w:rFonts w:hint="default" w:ascii="Times New Roman" w:hAnsi="Times New Roman" w:cs="Times New Roman"/>
                <w:color w:val="auto"/>
              </w:rPr>
              <w:t>临时占地，当勘探井不具有开发价值时，采取永久封井，对临时占地区域恢复原有植被和生态景观，使区域生态景观和谐一致恢复原状；当勘探井具有开发价值时，采取临时封井，</w:t>
            </w:r>
            <w:r>
              <w:rPr>
                <w:rFonts w:hint="default" w:ascii="Times New Roman" w:hAnsi="Times New Roman" w:cs="Times New Roman"/>
                <w:color w:val="auto"/>
                <w:lang w:val="en-US" w:eastAsia="zh-CN"/>
              </w:rPr>
              <w:t>移交给长庆油田分公司第二采气厂按标准化井场进行建设和管理</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sz w:val="24"/>
                <w:szCs w:val="24"/>
                <w:highlight w:val="none"/>
                <w:lang w:val="en-US" w:eastAsia="zh-CN"/>
              </w:rPr>
              <w:t>由于钻井与标准化井场建设属于不同的单位，经核实，钻井工程结束后，钻井单位即按照要求对临时占地进行生态恢复</w:t>
            </w:r>
            <w:r>
              <w:rPr>
                <w:rFonts w:hint="default" w:ascii="Times New Roman" w:hAnsi="Times New Roman" w:cs="Times New Roman"/>
                <w:color w:val="auto"/>
                <w:sz w:val="24"/>
              </w:rPr>
              <w:t>。</w:t>
            </w:r>
          </w:p>
          <w:p w14:paraId="1FE2AE33">
            <w:pPr>
              <w:pStyle w:val="28"/>
              <w:bidi w:val="0"/>
              <w:rPr>
                <w:rFonts w:hint="default" w:ascii="Times New Roman" w:hAnsi="Times New Roman" w:cs="Times New Roman"/>
                <w:color w:val="auto"/>
              </w:rPr>
            </w:pPr>
            <w:r>
              <w:rPr>
                <w:rFonts w:hint="default" w:ascii="Times New Roman" w:hAnsi="Times New Roman" w:cs="Times New Roman"/>
                <w:color w:val="auto"/>
              </w:rPr>
              <w:t>环评要求项目生态恢复过程必须将地面所有与采气无关的设施、设备及地面硬化的砖瓦等必须全部拆除，恢复原有土地类型，覆盖场地保留的表土后对场地进行绿化。不得在原有场地直接覆盖表土后直接对场地绿化。</w:t>
            </w:r>
          </w:p>
          <w:p w14:paraId="49C01B21">
            <w:pPr>
              <w:pStyle w:val="28"/>
              <w:bidi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）防沙治沙保护措施</w:t>
            </w:r>
          </w:p>
          <w:p w14:paraId="6A343E83">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榆林市防止二次沙化及国土绿化五年行动方案（2021-2025年）》要求，坚持生态优先、绿色发展原则，顺应自然，保护自然，以自然恢复为主、人工促进为辅，坚持人与自然和谐共生，坚持保护与发展并进。坚持因地制宜、科学施策原则，严禁违规占用耕地造林绿化，做好防风治沙措施；榆林市《关于加强生态文明建设打造黄土高原生态文明示范区的决定》要求，因地制宜建设乔灌草相结合的防护林体系，引进适宜性经济林树种，实现从防沙治沙到养沙用沙。</w:t>
            </w:r>
          </w:p>
          <w:p w14:paraId="34C54E18">
            <w:pPr>
              <w:pStyle w:val="28"/>
              <w:bidi w:val="0"/>
              <w:rPr>
                <w:rFonts w:hint="default" w:ascii="Times New Roman" w:hAnsi="Times New Roman" w:cs="Times New Roman"/>
                <w:color w:val="auto"/>
              </w:rPr>
            </w:pPr>
            <w:r>
              <w:rPr>
                <w:rFonts w:hint="default" w:ascii="Times New Roman" w:hAnsi="Times New Roman" w:cs="Times New Roman"/>
                <w:color w:val="auto"/>
              </w:rPr>
              <w:t>本项目施工过程中开挖会扰动地面，损坏植被，引发土地沙化。本次评价提出以下防沙治沙措施：</w:t>
            </w:r>
          </w:p>
          <w:p w14:paraId="4FCA528C">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土方开挖保护措施</w:t>
            </w:r>
          </w:p>
          <w:p w14:paraId="78B79EAC">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施工土方全部用于场地平整，严禁随意堆置；</w:t>
            </w:r>
          </w:p>
          <w:p w14:paraId="782467A7">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采取有效措施减缓施工扬尘，遇到干燥、易起尘的土方施工作业时，应辅以洒水压尘，尽量缩短起尘操作时间，遇到四级及以上大风天气，应停止土方作业，同时作业处覆以防尘网；</w:t>
            </w:r>
          </w:p>
          <w:p w14:paraId="7B71FF29">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施工期及时采取临时拦挡苫盖措施，工程结束后，及时实施水土保持工程措施和植物措施，提高水土保持防治措施标准，有效的防治水土流失。</w:t>
            </w:r>
          </w:p>
          <w:p w14:paraId="79997E60">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植物措施</w:t>
            </w:r>
          </w:p>
          <w:p w14:paraId="477ED8A0">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施工过程中，严格控制施工占地范围，尽可能减少对植被的破坏；</w:t>
            </w:r>
          </w:p>
          <w:p w14:paraId="252C7907">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项目施工结束后，对临时占地进行植被恢复，耕地交由农户进行复垦，草地恢复为草地，林地恢复为林地，并辅以草地搭配。林木优先考虑灌木树种，如柠条、沙棘等，草本有冰草、沙打旺、沙嵩、黄蒿等。项目及时采取撒播草籽、种植灌木等措施，恢复原地貌，通过种植草灌木，实现抗风固土防沙效果。</w:t>
            </w:r>
          </w:p>
          <w:p w14:paraId="44D223AC">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管理措施</w:t>
            </w:r>
          </w:p>
          <w:p w14:paraId="02F5E5E7">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期间应划定施工活动范围，严格控制地表扰动范围，严格控制和管理运输车辆及重型机械的运行线路和范围，合理确定施工期运输路线，避免车辆随意碾压破坏地表，由专人负责，以防破坏周边土壤和植被，加剧土地荒漠化。</w:t>
            </w:r>
          </w:p>
          <w:p w14:paraId="7592598D">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在施工过程中，不得随意碾压项目周边其他固沙植被。施工结束后，对施工迹地及时进行整治、恢复，减轻水土流失，使其受影响的程度降到最低。</w:t>
            </w:r>
          </w:p>
          <w:p w14:paraId="3C2594B4">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建设单位应牵头组织专业的护林、护草人员，对新栽植的树木、草灌统一进行管护，包括管护期内对幼树的抚育管理，确保树木成活。落实绿化管护责任。发现问题及时补栽补救。</w:t>
            </w:r>
          </w:p>
          <w:p w14:paraId="768738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二、施工期废气防治措施</w:t>
            </w:r>
          </w:p>
          <w:p w14:paraId="177D4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1、钻前工程扬尘</w:t>
            </w:r>
          </w:p>
          <w:p w14:paraId="202AABF2">
            <w:pPr>
              <w:pStyle w:val="28"/>
              <w:bidi w:val="0"/>
              <w:rPr>
                <w:rFonts w:hint="default" w:ascii="Times New Roman" w:hAnsi="Times New Roman" w:cs="Times New Roman"/>
                <w:color w:val="auto"/>
              </w:rPr>
            </w:pPr>
            <w:r>
              <w:rPr>
                <w:rFonts w:hint="default" w:ascii="Times New Roman" w:hAnsi="Times New Roman" w:cs="Times New Roman"/>
                <w:color w:val="auto"/>
              </w:rPr>
              <w:t>为进一步改善环境空气质量，加强扬尘污染控制，本项目应严格执行《国务院关于印发大气污染防治行动计划的通知》（国发〔2013〕37号）、《陕西省大气污染防治条例》（2014.1.1）、《陕西省建筑施工扬尘治理行动方案》、《建筑施工扬尘治理措施》、</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佳县2025年生态环境保护铁腕治污攻坚行动方案</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佳办字〔2025〕3号</w:t>
            </w:r>
            <w:r>
              <w:rPr>
                <w:rFonts w:hint="eastAsia" w:ascii="Times New Roman" w:hAnsi="Times New Roman" w:eastAsia="宋体" w:cs="Times New Roman"/>
                <w:color w:val="auto"/>
                <w:lang w:eastAsia="zh-CN"/>
              </w:rPr>
              <w:t>）</w:t>
            </w:r>
            <w:r>
              <w:rPr>
                <w:rFonts w:hint="default" w:ascii="Times New Roman" w:hAnsi="Times New Roman" w:cs="Times New Roman"/>
                <w:color w:val="auto"/>
              </w:rPr>
              <w:t>等相关规定，并采取以下控制措施，以减缓施工扬尘对周边大气环境的影响。</w:t>
            </w:r>
          </w:p>
          <w:p w14:paraId="11733476">
            <w:pPr>
              <w:pStyle w:val="28"/>
              <w:bidi w:val="0"/>
              <w:rPr>
                <w:rFonts w:hint="default" w:ascii="Times New Roman" w:hAnsi="Times New Roman" w:cs="Times New Roman"/>
                <w:color w:val="auto"/>
              </w:rPr>
            </w:pPr>
            <w:r>
              <w:rPr>
                <w:rFonts w:hint="default" w:ascii="Times New Roman" w:hAnsi="Times New Roman" w:cs="Times New Roman"/>
                <w:color w:val="auto"/>
              </w:rPr>
              <w:t>①施工工地周围按照规范设置硬质材料密闭围挡；</w:t>
            </w:r>
          </w:p>
          <w:p w14:paraId="237FE432">
            <w:pPr>
              <w:pStyle w:val="28"/>
              <w:bidi w:val="0"/>
              <w:rPr>
                <w:rFonts w:hint="default" w:ascii="Times New Roman" w:hAnsi="Times New Roman" w:cs="Times New Roman"/>
                <w:color w:val="auto"/>
              </w:rPr>
            </w:pPr>
            <w:r>
              <w:rPr>
                <w:rFonts w:hint="default" w:ascii="Times New Roman" w:hAnsi="Times New Roman" w:cs="Times New Roman"/>
                <w:color w:val="auto"/>
              </w:rPr>
              <w:t>②禁止在大风天施工作业，尤其引起地面扰动的作业；</w:t>
            </w:r>
          </w:p>
          <w:p w14:paraId="198CF033">
            <w:pPr>
              <w:pStyle w:val="28"/>
              <w:bidi w:val="0"/>
              <w:rPr>
                <w:rFonts w:hint="default" w:ascii="Times New Roman" w:hAnsi="Times New Roman" w:cs="Times New Roman"/>
                <w:color w:val="auto"/>
              </w:rPr>
            </w:pPr>
            <w:r>
              <w:rPr>
                <w:rFonts w:hint="default" w:ascii="Times New Roman" w:hAnsi="Times New Roman" w:cs="Times New Roman"/>
                <w:color w:val="auto"/>
              </w:rPr>
              <w:t>③对临时堆放的土石方采取篷布遮盖、拦挡等临时性防护措施；</w:t>
            </w:r>
          </w:p>
          <w:p w14:paraId="0AE37AF5">
            <w:pPr>
              <w:pStyle w:val="28"/>
              <w:bidi w:val="0"/>
              <w:rPr>
                <w:rFonts w:hint="default" w:ascii="Times New Roman" w:hAnsi="Times New Roman" w:cs="Times New Roman"/>
                <w:color w:val="auto"/>
              </w:rPr>
            </w:pPr>
            <w:r>
              <w:rPr>
                <w:rFonts w:hint="default" w:ascii="Times New Roman" w:hAnsi="Times New Roman" w:cs="Times New Roman"/>
                <w:color w:val="auto"/>
              </w:rPr>
              <w:t>④对站区地面、主要施工点周围地面采取洒水降尘等防尘措施；</w:t>
            </w:r>
          </w:p>
          <w:p w14:paraId="2B55DFF4">
            <w:pPr>
              <w:pStyle w:val="28"/>
              <w:bidi w:val="0"/>
              <w:rPr>
                <w:rFonts w:hint="default" w:ascii="Times New Roman" w:hAnsi="Times New Roman" w:cs="Times New Roman"/>
                <w:color w:val="auto"/>
              </w:rPr>
            </w:pPr>
            <w:r>
              <w:rPr>
                <w:rFonts w:hint="default" w:ascii="Times New Roman" w:hAnsi="Times New Roman" w:cs="Times New Roman"/>
                <w:color w:val="auto"/>
              </w:rPr>
              <w:t>⑤施工场地出入口必须进行车辆清洗设备及配套的排水、泥浆沉淀设施；加强运输车辆的管理，不得超载，同时需采取密封、遮盖等措施；</w:t>
            </w:r>
          </w:p>
          <w:p w14:paraId="780295D4">
            <w:pPr>
              <w:pStyle w:val="28"/>
              <w:bidi w:val="0"/>
              <w:rPr>
                <w:rFonts w:hint="default" w:ascii="Times New Roman" w:hAnsi="Times New Roman" w:cs="Times New Roman"/>
                <w:color w:val="auto"/>
              </w:rPr>
            </w:pPr>
            <w:r>
              <w:rPr>
                <w:rFonts w:hint="default" w:ascii="Times New Roman" w:hAnsi="Times New Roman" w:cs="Times New Roman"/>
                <w:color w:val="auto"/>
              </w:rPr>
              <w:t>⑥气象预报风速达到四级以上或出现重污染天气状况时，严禁土石方、开挖、回填、倒土等可能产生扬尘的施工作业，同时要对现场采取覆盖、洒水等降尘措施；</w:t>
            </w:r>
          </w:p>
          <w:p w14:paraId="3C62BC19">
            <w:pPr>
              <w:pStyle w:val="28"/>
              <w:bidi w:val="0"/>
              <w:rPr>
                <w:rFonts w:hint="default" w:ascii="Times New Roman" w:hAnsi="Times New Roman" w:cs="Times New Roman"/>
                <w:color w:val="auto"/>
              </w:rPr>
            </w:pPr>
            <w:r>
              <w:rPr>
                <w:rFonts w:hint="default" w:ascii="Times New Roman" w:hAnsi="Times New Roman" w:cs="Times New Roman"/>
                <w:color w:val="auto"/>
              </w:rPr>
              <w:t>⑦施工现场禁止将包装物、可燃垃圾等固体废弃物就地焚烧。</w:t>
            </w:r>
          </w:p>
          <w:p w14:paraId="3EDA8DD3">
            <w:pPr>
              <w:pStyle w:val="28"/>
              <w:bidi w:val="0"/>
              <w:rPr>
                <w:rFonts w:hint="default" w:ascii="Times New Roman" w:hAnsi="Times New Roman" w:cs="Times New Roman"/>
                <w:color w:val="auto"/>
              </w:rPr>
            </w:pPr>
            <w:r>
              <w:rPr>
                <w:rFonts w:hint="default" w:ascii="Times New Roman" w:hAnsi="Times New Roman" w:cs="Times New Roman"/>
                <w:color w:val="auto"/>
              </w:rPr>
              <w:t>评价认为，只要加强管理、切实落实好上述措施，达到《施工场界扬尘排放限值》（DB61/1078-2017）的相关要求，施工场地扬尘对环境的影响将会大大降低，同时其对环境的影响也将随施工的结束而消失。</w:t>
            </w:r>
          </w:p>
          <w:p w14:paraId="1FD606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2</w:t>
            </w:r>
            <w:r>
              <w:rPr>
                <w:rFonts w:hint="default" w:ascii="Times New Roman" w:hAnsi="Times New Roman" w:eastAsia="宋体" w:cs="Times New Roman"/>
                <w:b/>
                <w:bCs/>
                <w:color w:val="auto"/>
                <w:sz w:val="24"/>
                <w:szCs w:val="24"/>
                <w:vertAlign w:val="baseline"/>
                <w:lang w:val="en-US" w:eastAsia="zh-CN"/>
              </w:rPr>
              <w:t>、完井测试放喷废气</w:t>
            </w:r>
          </w:p>
          <w:p w14:paraId="6CB8FF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测试放喷采用空中灼烧降低废气的毒性。放喷废气通过燃烧后进行排放。本项目</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选址位于</w:t>
            </w:r>
            <w:r>
              <w:rPr>
                <w:rFonts w:hint="default" w:ascii="Times New Roman" w:hAnsi="Times New Roman" w:eastAsia="宋体" w:cs="Times New Roman"/>
                <w:b w:val="0"/>
                <w:bCs w:val="0"/>
                <w:color w:val="auto"/>
                <w:sz w:val="24"/>
                <w:szCs w:val="24"/>
                <w:highlight w:val="none"/>
                <w:vertAlign w:val="baseline"/>
                <w:lang w:val="en-US" w:eastAsia="zh-CN"/>
              </w:rPr>
              <w:t>距离井口100m外的场地上</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附近</w:t>
            </w:r>
            <w:r>
              <w:rPr>
                <w:rFonts w:hint="eastAsia" w:ascii="Times New Roman" w:hAnsi="Times New Roman" w:cs="Times New Roman"/>
                <w:color w:val="auto"/>
                <w:sz w:val="24"/>
                <w:szCs w:val="24"/>
                <w:lang w:val="en-US" w:eastAsia="zh-CN"/>
              </w:rPr>
              <w:t>居民反方向</w:t>
            </w:r>
            <w:r>
              <w:rPr>
                <w:rFonts w:hint="default" w:ascii="Times New Roman" w:hAnsi="Times New Roman" w:eastAsia="宋体" w:cs="Times New Roman"/>
                <w:b w:val="0"/>
                <w:bCs w:val="0"/>
                <w:color w:val="auto"/>
                <w:sz w:val="24"/>
                <w:szCs w:val="24"/>
                <w:highlight w:val="none"/>
                <w:vertAlign w:val="baseline"/>
                <w:lang w:val="en-US" w:eastAsia="zh-CN"/>
              </w:rPr>
              <w:t>的场地上</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周边200m范围内无居民，周边50m范围植被以灌木林地为主</w:t>
            </w:r>
            <w:r>
              <w:rPr>
                <w:rFonts w:hint="default" w:ascii="Times New Roman" w:hAnsi="Times New Roman" w:eastAsia="宋体" w:cs="Times New Roman"/>
                <w:b w:val="0"/>
                <w:bCs w:val="0"/>
                <w:color w:val="auto"/>
                <w:sz w:val="24"/>
                <w:szCs w:val="24"/>
                <w:vertAlign w:val="baseline"/>
                <w:lang w:val="en-US" w:eastAsia="zh-CN"/>
              </w:rPr>
              <w:t>，无高大林木，地势空旷便于废气扩散，且</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位于当地常年风向的</w:t>
            </w:r>
            <w:r>
              <w:rPr>
                <w:rFonts w:hint="eastAsia" w:ascii="Times New Roman" w:hAnsi="Times New Roman" w:eastAsia="宋体" w:cs="Times New Roman"/>
                <w:b w:val="0"/>
                <w:bCs w:val="0"/>
                <w:color w:val="auto"/>
                <w:sz w:val="24"/>
                <w:szCs w:val="24"/>
                <w:vertAlign w:val="baseline"/>
                <w:lang w:val="en-US" w:eastAsia="zh-CN"/>
              </w:rPr>
              <w:t>下风向</w:t>
            </w:r>
            <w:r>
              <w:rPr>
                <w:rFonts w:hint="default" w:ascii="Times New Roman" w:hAnsi="Times New Roman" w:eastAsia="宋体" w:cs="Times New Roman"/>
                <w:b w:val="0"/>
                <w:bCs w:val="0"/>
                <w:color w:val="auto"/>
                <w:sz w:val="24"/>
                <w:szCs w:val="24"/>
                <w:vertAlign w:val="baseline"/>
                <w:lang w:val="en-US" w:eastAsia="zh-CN"/>
              </w:rPr>
              <w:t>处。</w:t>
            </w:r>
          </w:p>
          <w:p w14:paraId="4B193B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最大程度降低测试放喷废气对环境的影响，测试放喷时，要选择合适的时间，在天气晴朗，且风较大的天气进行，便于废气扩散。加之测试放喷时间短，对大气环境的影响较短，测试完毕，影响很快消除，因此对环境的影响不大。</w:t>
            </w:r>
          </w:p>
          <w:p w14:paraId="122E8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w:t>
            </w: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周边200m范围内无居民居住，为</w:t>
            </w:r>
            <w:r>
              <w:rPr>
                <w:rFonts w:hint="default" w:ascii="Times New Roman" w:hAnsi="Times New Roman" w:eastAsia="宋体" w:cs="Times New Roman"/>
                <w:b w:val="0"/>
                <w:bCs w:val="0"/>
                <w:color w:val="auto"/>
                <w:sz w:val="24"/>
                <w:szCs w:val="24"/>
                <w:vertAlign w:val="baseline"/>
                <w:lang w:val="en-US" w:eastAsia="zh-CN"/>
              </w:rPr>
              <w:t>减轻工程放喷对附近农户的影响，环评建议在放喷前，建设方应根据安全需求对距放喷口200m范围建立警戒点并进行24小时警戒，在放喷期间告诫附近村民不要在项目区周边活动，减轻放喷废气对附近农户的影响。在放喷时，虽然采用</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放喷，但是放喷天然气燃烧产生的热辐射会对测试区周围的土壤和植被会造成灼伤，这种影响需要一定的时间才能逐步恢复。</w:t>
            </w:r>
          </w:p>
          <w:p w14:paraId="5461C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由上分析，本项目除了在放喷时由于热辐射会对</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周围的土壤和植被造成灼伤外，其产生的废气对当地大气环境影响甚微。</w:t>
            </w:r>
          </w:p>
          <w:p w14:paraId="7E9B0E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综上所述，在严格执行《石油天然气钻井、开发、储运、防火防爆安全生产技术规程》(SY5225-2012)关于</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选址要求及放喷撤离要求的前提下。本项目的实施不会造成该区域的环境空气质量发生改变，不会对周边保护目标造成明显不利影响。</w:t>
            </w:r>
          </w:p>
          <w:p w14:paraId="580A53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w:t>
            </w:r>
            <w:r>
              <w:rPr>
                <w:rFonts w:hint="default" w:ascii="Times New Roman" w:hAnsi="Times New Roman" w:eastAsia="宋体" w:cs="Times New Roman"/>
                <w:b/>
                <w:bCs/>
                <w:color w:val="auto"/>
                <w:sz w:val="24"/>
                <w:szCs w:val="24"/>
                <w:vertAlign w:val="baseline"/>
                <w:lang w:val="en-US" w:eastAsia="zh-CN"/>
              </w:rPr>
              <w:t>、事故放喷废气</w:t>
            </w:r>
          </w:p>
          <w:p w14:paraId="5CD99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进入气层后，有可能遇到异常高压气流，如果井内泥浆密度值过低，达不到平衡井内压力要求，就可能发生井喷。此时利用防喷器迅速封闭井口，若井口压力过高，则打开放喷管线阀门泄压，即事故放喷，事故放喷在石油天然气行业是低概率事件。事故放喷主产物是天然气燃烧后产生的S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、NOx、CO、H</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S、烃类。事故放喷时间持续较短，且通过专用的放喷管线将天然气引至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进行点火放喷，事故放喷时间段，属临时排放，放喷完毕，影响很快消除，环评要求建设单位在发生事故时对周边居民实施临时疏散，因此事故放喷对周边人群健康基本无影响，对环境影响也较小。</w:t>
            </w:r>
          </w:p>
          <w:p w14:paraId="1EEEE5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、施工机械及运输车辆排放的汽车尾气防治措施</w:t>
            </w:r>
          </w:p>
          <w:p w14:paraId="6AB1F735">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本项目施工期间各类机械均采用电驱动，属于清洁能源，施工机械不会产生大气污染物。</w:t>
            </w:r>
          </w:p>
          <w:p w14:paraId="61327AEF">
            <w:pPr>
              <w:pStyle w:val="28"/>
              <w:bidi w:val="0"/>
              <w:rPr>
                <w:rFonts w:hint="default" w:ascii="Times New Roman" w:hAnsi="Times New Roman" w:cs="Times New Roman"/>
                <w:color w:val="auto"/>
              </w:rPr>
            </w:pPr>
            <w:r>
              <w:rPr>
                <w:rFonts w:hint="default" w:ascii="Times New Roman" w:hAnsi="Times New Roman" w:cs="Times New Roman"/>
                <w:color w:val="auto"/>
              </w:rPr>
              <w:t>施工车辆废气的主要污染物为氮氧化物、二氧化硫和一氧化碳</w:t>
            </w:r>
            <w:r>
              <w:rPr>
                <w:rFonts w:hint="default" w:ascii="Times New Roman" w:hAnsi="Times New Roman" w:cs="Times New Roman"/>
                <w:color w:val="auto"/>
                <w:lang w:eastAsia="zh-CN"/>
              </w:rPr>
              <w:t>，</w:t>
            </w:r>
            <w:r>
              <w:rPr>
                <w:rFonts w:hint="default" w:ascii="Times New Roman" w:hAnsi="Times New Roman" w:cs="Times New Roman"/>
                <w:color w:val="auto"/>
              </w:rPr>
              <w:t>其特点是排放量小，属间断性无组织排放，加之施工场地开阔，扩散条件良好，而且废气排放是小范围的短期影响，随着施工期的结束，影响将会消失，因此对周围环境空气影响较小。</w:t>
            </w:r>
          </w:p>
          <w:p w14:paraId="25E4AB73">
            <w:pPr>
              <w:pStyle w:val="28"/>
              <w:bidi w:val="0"/>
              <w:rPr>
                <w:rFonts w:hint="default" w:ascii="Times New Roman" w:hAnsi="Times New Roman" w:cs="Times New Roman"/>
                <w:color w:val="auto"/>
              </w:rPr>
            </w:pPr>
            <w:r>
              <w:rPr>
                <w:rFonts w:hint="eastAsia" w:ascii="Times New Roman" w:hAnsi="Times New Roman" w:eastAsia="宋体" w:cs="Times New Roman"/>
                <w:color w:val="auto"/>
                <w:lang w:val="en-US" w:eastAsia="zh-CN"/>
              </w:rPr>
              <w:t>为</w:t>
            </w:r>
            <w:r>
              <w:rPr>
                <w:rFonts w:hint="default" w:ascii="Times New Roman" w:hAnsi="Times New Roman" w:cs="Times New Roman"/>
                <w:color w:val="auto"/>
              </w:rPr>
              <w:t>进一步降低施工过程中机械设备、运输车辆废气对环境的影响，本次环评提出：</w:t>
            </w:r>
          </w:p>
          <w:p w14:paraId="06E24FAF">
            <w:pPr>
              <w:pStyle w:val="28"/>
              <w:bidi w:val="0"/>
              <w:rPr>
                <w:rFonts w:hint="default" w:ascii="Times New Roman" w:hAnsi="Times New Roman" w:cs="Times New Roman"/>
                <w:color w:val="auto"/>
              </w:rPr>
            </w:pPr>
            <w:r>
              <w:rPr>
                <w:rFonts w:hint="default" w:ascii="Times New Roman" w:hAnsi="Times New Roman" w:cs="Times New Roman"/>
                <w:color w:val="auto"/>
              </w:rPr>
              <w:t>①定期对机械设备、运输车辆检修、维护，提高机械的正常使用率，尽量减少车辆怠速空档；</w:t>
            </w:r>
          </w:p>
          <w:p w14:paraId="61105424">
            <w:pPr>
              <w:pStyle w:val="28"/>
              <w:bidi w:val="0"/>
              <w:rPr>
                <w:rFonts w:hint="default" w:ascii="Times New Roman" w:hAnsi="Times New Roman" w:cs="Times New Roman"/>
                <w:color w:val="auto"/>
              </w:rPr>
            </w:pPr>
            <w:r>
              <w:rPr>
                <w:rFonts w:hint="default" w:ascii="Times New Roman" w:hAnsi="Times New Roman" w:cs="Times New Roman"/>
                <w:color w:val="auto"/>
              </w:rPr>
              <w:t>②应定期对施工期机械设备和运输车辆排放的废气进行检查监测，机动车污染物排放超标的不得上路行驶；</w:t>
            </w:r>
          </w:p>
          <w:p w14:paraId="22172E43">
            <w:pPr>
              <w:pStyle w:val="28"/>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③严禁使用劣质油，运输车辆优先使用</w:t>
            </w:r>
            <w:r>
              <w:rPr>
                <w:rFonts w:hint="eastAsia" w:ascii="Times New Roman" w:hAnsi="Times New Roman" w:eastAsia="宋体" w:cs="Times New Roman"/>
                <w:color w:val="auto"/>
                <w:lang w:val="en-US" w:eastAsia="zh-CN"/>
              </w:rPr>
              <w:t>含硫量低于10ppm的</w:t>
            </w:r>
            <w:r>
              <w:rPr>
                <w:rFonts w:hint="default" w:ascii="Times New Roman" w:hAnsi="Times New Roman" w:cs="Times New Roman"/>
                <w:color w:val="auto"/>
              </w:rPr>
              <w:t>的低硫汽油</w:t>
            </w:r>
            <w:r>
              <w:rPr>
                <w:rFonts w:hint="eastAsia" w:ascii="Times New Roman" w:hAnsi="Times New Roman" w:eastAsia="宋体" w:cs="Times New Roman"/>
                <w:color w:val="auto"/>
                <w:lang w:eastAsia="zh-CN"/>
              </w:rPr>
              <w:t>；</w:t>
            </w:r>
          </w:p>
          <w:p w14:paraId="32E4D622">
            <w:pPr>
              <w:pStyle w:val="28"/>
              <w:bidi w:val="0"/>
              <w:rPr>
                <w:rFonts w:hint="eastAsia" w:ascii="Times New Roman" w:hAnsi="Times New Roman" w:eastAsia="宋体" w:cs="Times New Roman"/>
                <w:color w:val="auto"/>
                <w:lang w:eastAsia="zh-CN"/>
              </w:rPr>
            </w:pPr>
            <w:r>
              <w:rPr>
                <w:rFonts w:hint="eastAsia" w:ascii="宋体" w:hAnsi="宋体" w:eastAsia="宋体" w:cs="宋体"/>
                <w:color w:val="auto"/>
                <w:lang w:eastAsia="zh-CN"/>
              </w:rPr>
              <w:t>④</w:t>
            </w:r>
            <w:r>
              <w:rPr>
                <w:rFonts w:ascii="Times New Roman" w:hAnsi="Times New Roman" w:eastAsia="宋体" w:cs="Times New Roman"/>
                <w:color w:val="auto"/>
                <w:sz w:val="24"/>
                <w:szCs w:val="21"/>
              </w:rPr>
              <w:t>施工机械</w:t>
            </w:r>
            <w:r>
              <w:rPr>
                <w:rFonts w:ascii="Times New Roman" w:hAnsi="Times New Roman" w:eastAsia="宋体" w:cs="Times New Roman"/>
                <w:snapToGrid w:val="0"/>
                <w:color w:val="auto"/>
                <w:sz w:val="24"/>
                <w:szCs w:val="21"/>
              </w:rPr>
              <w:t>废气</w:t>
            </w:r>
            <w:r>
              <w:rPr>
                <w:rFonts w:hint="eastAsia" w:ascii="Times New Roman" w:hAnsi="Times New Roman" w:eastAsia="宋体" w:cs="Times New Roman"/>
                <w:snapToGrid w:val="0"/>
                <w:color w:val="auto"/>
                <w:sz w:val="24"/>
                <w:szCs w:val="21"/>
                <w:lang w:val="en-US" w:eastAsia="zh-CN"/>
              </w:rPr>
              <w:t>达到</w:t>
            </w:r>
            <w:r>
              <w:rPr>
                <w:rFonts w:ascii="Times New Roman" w:hAnsi="Times New Roman" w:eastAsia="宋体" w:cs="Times New Roman"/>
                <w:snapToGrid w:val="0"/>
                <w:color w:val="auto"/>
                <w:sz w:val="24"/>
                <w:szCs w:val="21"/>
              </w:rPr>
              <w:t>《</w:t>
            </w:r>
            <w:r>
              <w:rPr>
                <w:rFonts w:ascii="Times New Roman" w:hAnsi="Times New Roman" w:eastAsia="宋体" w:cs="Times New Roman"/>
                <w:color w:val="auto"/>
                <w:sz w:val="24"/>
              </w:rPr>
              <w:t>非道路移动机械用柴油机排气污染物排放限值及测量方法（中国第三、四阶段）》及2020年修改单中第四阶段的标准限值</w:t>
            </w:r>
            <w:r>
              <w:rPr>
                <w:rFonts w:hint="eastAsia" w:ascii="Times New Roman" w:hAnsi="Times New Roman" w:eastAsia="宋体" w:cs="Times New Roman"/>
                <w:color w:val="auto"/>
                <w:sz w:val="24"/>
                <w:lang w:eastAsia="zh-CN"/>
              </w:rPr>
              <w:t>。</w:t>
            </w:r>
          </w:p>
          <w:p w14:paraId="189BE036">
            <w:pPr>
              <w:pStyle w:val="28"/>
              <w:bidi w:val="0"/>
              <w:rPr>
                <w:rFonts w:hint="default" w:ascii="Times New Roman" w:hAnsi="Times New Roman" w:cs="Times New Roman"/>
                <w:color w:val="auto"/>
              </w:rPr>
            </w:pPr>
            <w:r>
              <w:rPr>
                <w:rFonts w:hint="default" w:ascii="Times New Roman" w:hAnsi="Times New Roman" w:cs="Times New Roman"/>
                <w:color w:val="auto"/>
              </w:rPr>
              <w:t>综上，施工期应多加注意施工设备的维护，确保设备正常运行，提高设备原料的利用率。同时合理安排工序，选取优质燃料，禁止运输车辆超载运行等，定期进行车辆尾气检测，对超标排放车辆进行有效的尾气治理，确保所有施工车辆、机械的废气排放达标。</w:t>
            </w:r>
          </w:p>
          <w:p w14:paraId="24529E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三、废水防治措施</w:t>
            </w:r>
          </w:p>
          <w:p w14:paraId="7D0090C8">
            <w:pPr>
              <w:pStyle w:val="28"/>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废水治理措施</w:t>
            </w:r>
          </w:p>
          <w:p w14:paraId="52B65093">
            <w:pPr>
              <w:pStyle w:val="28"/>
              <w:bidi w:val="0"/>
              <w:rPr>
                <w:rFonts w:hint="default" w:ascii="Times New Roman" w:hAnsi="Times New Roman" w:cs="Times New Roman"/>
                <w:color w:val="auto"/>
              </w:rPr>
            </w:pPr>
            <w:r>
              <w:rPr>
                <w:rFonts w:hint="default" w:ascii="Times New Roman" w:hAnsi="Times New Roman" w:cs="Times New Roman"/>
                <w:color w:val="auto"/>
                <w:lang w:val="en-US" w:eastAsia="zh-CN"/>
              </w:rPr>
              <w:t>项目勘探期产生的废水主要为生产废水（钻井废水、洗井废水、压裂返排液、放喷废水）和生活污水。钻井结束后最终不能回用的钻井废水、洗井废水、压裂返排液分别收集至专用收集罐，放喷废水收集于</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，定期委托</w:t>
            </w:r>
            <w:r>
              <w:rPr>
                <w:rFonts w:hint="eastAsia"/>
                <w:color w:val="auto"/>
                <w:lang w:val="en-US" w:eastAsia="zh-CN"/>
              </w:rPr>
              <w:t>陕西榆佳环保科技有限公司</w:t>
            </w:r>
            <w:r>
              <w:rPr>
                <w:rFonts w:hint="default" w:ascii="Times New Roman" w:hAnsi="Times New Roman" w:cs="Times New Roman"/>
                <w:color w:val="auto"/>
                <w:lang w:val="en-US" w:eastAsia="zh-CN"/>
              </w:rPr>
              <w:t>采用防渗漏、防溢流的罐车外运处置，不外排。施工营地设</w:t>
            </w:r>
            <w:r>
              <w:rPr>
                <w:rFonts w:hint="eastAsia" w:ascii="Times New Roman" w:hAnsi="Times New Roman" w:cs="Times New Roman"/>
                <w:color w:val="auto"/>
                <w:lang w:val="en-US" w:eastAsia="zh-CN"/>
              </w:rPr>
              <w:t>卫生</w:t>
            </w:r>
            <w:r>
              <w:rPr>
                <w:rFonts w:hint="default" w:ascii="Times New Roman" w:hAnsi="Times New Roman" w:cs="Times New Roman"/>
                <w:color w:val="auto"/>
                <w:lang w:val="en-US" w:eastAsia="zh-CN"/>
              </w:rPr>
              <w:t>旱厕，定期清掏肥田。通过采取以上措施后，能够保证污染物不外排，</w:t>
            </w:r>
            <w:r>
              <w:rPr>
                <w:rFonts w:hint="default" w:ascii="Times New Roman" w:hAnsi="Times New Roman" w:cs="Times New Roman"/>
                <w:color w:val="auto"/>
              </w:rPr>
              <w:t>对地表水环境影响</w:t>
            </w:r>
            <w:r>
              <w:rPr>
                <w:rFonts w:hint="default" w:ascii="Times New Roman" w:hAnsi="Times New Roman" w:cs="Times New Roman"/>
                <w:color w:val="auto"/>
                <w:lang w:val="en-US" w:eastAsia="zh-CN"/>
              </w:rPr>
              <w:t>较小</w:t>
            </w:r>
            <w:r>
              <w:rPr>
                <w:rFonts w:hint="default" w:ascii="Times New Roman" w:hAnsi="Times New Roman" w:cs="Times New Roman"/>
                <w:color w:val="auto"/>
              </w:rPr>
              <w:t>。</w:t>
            </w:r>
          </w:p>
          <w:p w14:paraId="4F7B1674">
            <w:pPr>
              <w:pStyle w:val="28"/>
              <w:bidi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）废水依托处置可行性分析</w:t>
            </w:r>
          </w:p>
          <w:p w14:paraId="2F65524E">
            <w:pPr>
              <w:pStyle w:val="28"/>
              <w:bidi w:val="0"/>
              <w:rPr>
                <w:rFonts w:hint="default" w:ascii="Times New Roman" w:hAnsi="Times New Roman" w:eastAsia="宋体" w:cs="Times New Roman"/>
                <w:color w:val="auto"/>
              </w:rPr>
            </w:pPr>
            <w:r>
              <w:rPr>
                <w:rFonts w:hint="default" w:ascii="Times New Roman" w:hAnsi="Times New Roman" w:cs="Times New Roman"/>
                <w:color w:val="auto"/>
              </w:rPr>
              <w:t>本项目施工期生产废水</w:t>
            </w:r>
            <w:r>
              <w:rPr>
                <w:rFonts w:hint="default" w:ascii="Times New Roman" w:hAnsi="Times New Roman" w:cs="Times New Roman"/>
                <w:color w:val="auto"/>
                <w:lang w:val="en-US" w:eastAsia="zh-CN"/>
              </w:rPr>
              <w:t>委托</w:t>
            </w:r>
            <w:r>
              <w:rPr>
                <w:rFonts w:hint="default"/>
                <w:color w:val="auto"/>
                <w:lang w:val="en-US" w:eastAsia="zh-CN"/>
              </w:rPr>
              <w:t>陕西</w:t>
            </w:r>
            <w:r>
              <w:rPr>
                <w:rFonts w:hint="eastAsia"/>
                <w:color w:val="auto"/>
                <w:lang w:val="en-US" w:eastAsia="zh-CN"/>
              </w:rPr>
              <w:t>榆佳环保科技有限公司</w:t>
            </w:r>
            <w:r>
              <w:rPr>
                <w:rFonts w:hint="default" w:ascii="Times New Roman" w:hAnsi="Times New Roman" w:eastAsia="宋体" w:cs="Times New Roman"/>
                <w:color w:val="auto"/>
                <w:lang w:val="en-US" w:eastAsia="zh-CN"/>
              </w:rPr>
              <w:t>采用防渗漏、防溢流的罐车外运处理</w:t>
            </w:r>
            <w:r>
              <w:rPr>
                <w:rFonts w:hint="default" w:ascii="Times New Roman" w:hAnsi="Times New Roman" w:eastAsia="宋体" w:cs="Times New Roman"/>
                <w:color w:val="auto"/>
              </w:rPr>
              <w:t>，不外排。</w:t>
            </w:r>
          </w:p>
          <w:p w14:paraId="4EBBF6AF">
            <w:pPr>
              <w:pStyle w:val="2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w:t>
            </w:r>
            <w:r>
              <w:rPr>
                <w:rFonts w:hint="default" w:ascii="Times New Roman" w:hAnsi="Times New Roman" w:cs="Times New Roman"/>
                <w:color w:val="auto"/>
                <w:lang w:val="en-US" w:eastAsia="zh-CN"/>
              </w:rPr>
              <w:t>油气开采废弃物集中处理厂概况</w:t>
            </w:r>
          </w:p>
          <w:p w14:paraId="3757EC91">
            <w:pPr>
              <w:pStyle w:val="28"/>
              <w:bidi w:val="0"/>
              <w:rPr>
                <w:rFonts w:hint="default" w:ascii="Times New Roman" w:hAnsi="Times New Roman" w:cs="Times New Roman"/>
                <w:color w:val="auto"/>
                <w:lang w:val="en-US"/>
              </w:rPr>
            </w:pPr>
            <w:r>
              <w:rPr>
                <w:rFonts w:hint="eastAsia" w:ascii="Times New Roman" w:hAnsi="Times New Roman" w:eastAsia="宋体" w:cs="Times New Roman"/>
                <w:color w:val="auto"/>
                <w:lang w:val="en-US" w:eastAsia="zh-CN"/>
              </w:rPr>
              <w:t>陕西榆佳环保科技有限公司</w:t>
            </w:r>
            <w:r>
              <w:rPr>
                <w:rFonts w:hint="default" w:ascii="Times New Roman" w:hAnsi="Times New Roman" w:eastAsia="宋体" w:cs="Times New Roman"/>
                <w:color w:val="auto"/>
                <w:lang w:val="en-US" w:eastAsia="zh-CN"/>
              </w:rPr>
              <w:t>位于榆林市</w:t>
            </w:r>
            <w:r>
              <w:rPr>
                <w:rFonts w:hint="eastAsia" w:ascii="Times New Roman" w:hAnsi="Times New Roman" w:eastAsia="宋体" w:cs="Times New Roman"/>
                <w:color w:val="auto"/>
                <w:lang w:val="en-US" w:eastAsia="zh-CN"/>
              </w:rPr>
              <w:t>佳县王家砭镇榆佳经济技术开发区，</w:t>
            </w:r>
            <w:r>
              <w:rPr>
                <w:rFonts w:hint="default" w:ascii="Times New Roman" w:hAnsi="Times New Roman" w:eastAsia="宋体" w:cs="Times New Roman"/>
                <w:color w:val="auto"/>
                <w:lang w:val="en-US" w:eastAsia="zh-CN"/>
              </w:rPr>
              <w:t>主要用于接收周边</w:t>
            </w:r>
            <w:r>
              <w:rPr>
                <w:rFonts w:hint="eastAsia" w:ascii="Times New Roman" w:hAnsi="Times New Roman" w:eastAsia="宋体" w:cs="Times New Roman"/>
                <w:color w:val="auto"/>
                <w:lang w:val="en-US" w:eastAsia="zh-CN"/>
              </w:rPr>
              <w:t>气田开采产生的</w:t>
            </w:r>
            <w:r>
              <w:rPr>
                <w:rFonts w:hint="default" w:ascii="Times New Roman" w:hAnsi="Times New Roman" w:eastAsia="宋体" w:cs="Times New Roman"/>
                <w:color w:val="auto"/>
                <w:lang w:val="en-US" w:eastAsia="zh-CN"/>
              </w:rPr>
              <w:t>的压裂</w:t>
            </w:r>
            <w:r>
              <w:rPr>
                <w:rFonts w:hint="eastAsia" w:ascii="Times New Roman" w:hAnsi="Times New Roman" w:eastAsia="宋体" w:cs="Times New Roman"/>
                <w:color w:val="auto"/>
                <w:lang w:val="en-US" w:eastAsia="zh-CN"/>
              </w:rPr>
              <w:t>返排液</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泥浆压滤也</w:t>
            </w:r>
            <w:r>
              <w:rPr>
                <w:rFonts w:hint="default" w:ascii="Times New Roman" w:hAnsi="Times New Roman" w:eastAsia="宋体" w:cs="Times New Roman"/>
                <w:color w:val="auto"/>
                <w:lang w:val="en-US" w:eastAsia="zh-CN"/>
              </w:rPr>
              <w:t>等作业废水，设计处理规模</w:t>
            </w:r>
            <w:r>
              <w:rPr>
                <w:rFonts w:hint="eastAsia" w:ascii="Times New Roman" w:hAnsi="Times New Roman" w:eastAsia="宋体" w:cs="Times New Roman"/>
                <w:color w:val="auto"/>
                <w:lang w:val="en-US" w:eastAsia="zh-CN"/>
              </w:rPr>
              <w:t>2000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/d，采用</w:t>
            </w:r>
            <w:r>
              <w:rPr>
                <w:rFonts w:hint="eastAsia" w:ascii="Times New Roman" w:hAnsi="Times New Roman" w:eastAsia="宋体" w:cs="Times New Roman"/>
                <w:color w:val="auto"/>
                <w:lang w:val="en-US" w:eastAsia="zh-CN"/>
              </w:rPr>
              <w:t>“二级酸析反应沉淀+液碱+CO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+隔膜压滤+精密过滤+紫外杀菌”</w:t>
            </w:r>
            <w:r>
              <w:rPr>
                <w:rFonts w:hint="default" w:ascii="Times New Roman" w:hAnsi="Times New Roman" w:eastAsia="宋体" w:cs="Times New Roman"/>
                <w:color w:val="auto"/>
                <w:lang w:val="en-US" w:eastAsia="zh-CN"/>
              </w:rPr>
              <w:t>工艺，处理后废水达到</w:t>
            </w:r>
            <w:r>
              <w:rPr>
                <w:rFonts w:hint="eastAsia" w:ascii="Times New Roman" w:hAnsi="Times New Roman" w:eastAsia="宋体" w:cs="Times New Roman"/>
                <w:color w:val="auto"/>
                <w:lang w:val="en-US" w:eastAsia="zh-CN"/>
              </w:rPr>
              <w:t>《压裂返排液回配压裂液用水水质要求》（</w:t>
            </w:r>
            <w:r>
              <w:rPr>
                <w:rFonts w:hint="default" w:ascii="Times New Roman" w:hAnsi="Times New Roman" w:eastAsia="宋体" w:cs="Times New Roman"/>
                <w:color w:val="auto"/>
                <w:lang w:val="en-US" w:eastAsia="zh-CN"/>
              </w:rPr>
              <w:t>DB61/T1248-2019</w:t>
            </w:r>
            <w:r>
              <w:rPr>
                <w:rFonts w:hint="eastAsia" w:ascii="Times New Roman" w:hAnsi="Times New Roman" w:eastAsia="宋体" w:cs="Times New Roman"/>
                <w:color w:val="auto"/>
                <w:lang w:val="en-US" w:eastAsia="zh-CN"/>
              </w:rPr>
              <w:t>）中滑溜水配制用水水质要求和《页岩气储层改造第</w:t>
            </w: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部分：压裂返排液回收和处理方法》（</w:t>
            </w:r>
            <w:r>
              <w:rPr>
                <w:rFonts w:hint="default" w:ascii="Times New Roman" w:hAnsi="Times New Roman" w:eastAsia="宋体" w:cs="Times New Roman"/>
                <w:color w:val="auto"/>
                <w:lang w:val="en-US" w:eastAsia="zh-CN"/>
              </w:rPr>
              <w:t>NB/T14002.3-2022</w:t>
            </w:r>
            <w:r>
              <w:rPr>
                <w:rFonts w:hint="eastAsia" w:ascii="Times New Roman" w:hAnsi="Times New Roman" w:eastAsia="宋体" w:cs="Times New Roman"/>
                <w:color w:val="auto"/>
                <w:lang w:val="en-US" w:eastAsia="zh-CN"/>
              </w:rPr>
              <w:t>）中表</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回用水推荐水质主要控制指标要求，处理后的废水罐车拉运至周边气田用于压裂液和钻井泥浆配制。</w:t>
            </w:r>
          </w:p>
          <w:p w14:paraId="6D40ABB6">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②处理工艺流程</w:t>
            </w:r>
          </w:p>
          <w:p w14:paraId="0EBD574E">
            <w:pPr>
              <w:pStyle w:val="28"/>
              <w:bidi w:val="0"/>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陕西榆佳环保科技有限公司</w:t>
            </w:r>
            <w:r>
              <w:rPr>
                <w:rFonts w:hint="default" w:ascii="Times New Roman" w:hAnsi="Times New Roman" w:cs="Times New Roman"/>
                <w:color w:val="auto"/>
                <w:lang w:val="en-US" w:eastAsia="zh-CN"/>
              </w:rPr>
              <w:t>工艺流程见图5-</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p>
          <w:p w14:paraId="53F84C6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rPr>
            </w:pPr>
            <w:r>
              <w:rPr>
                <w:color w:val="auto"/>
              </w:rPr>
              <w:drawing>
                <wp:inline distT="0" distB="0" distL="114300" distR="114300">
                  <wp:extent cx="5551170" cy="7093585"/>
                  <wp:effectExtent l="0" t="0" r="11430"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6"/>
                          <a:stretch>
                            <a:fillRect/>
                          </a:stretch>
                        </pic:blipFill>
                        <pic:spPr>
                          <a:xfrm>
                            <a:off x="0" y="0"/>
                            <a:ext cx="5551170" cy="7093585"/>
                          </a:xfrm>
                          <a:prstGeom prst="rect">
                            <a:avLst/>
                          </a:prstGeom>
                          <a:noFill/>
                          <a:ln>
                            <a:noFill/>
                          </a:ln>
                        </pic:spPr>
                      </pic:pic>
                    </a:graphicData>
                  </a:graphic>
                </wp:inline>
              </w:drawing>
            </w:r>
          </w:p>
          <w:p w14:paraId="000F95DB">
            <w:pPr>
              <w:pStyle w:val="6"/>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水</w:t>
            </w:r>
            <w:r>
              <w:rPr>
                <w:rFonts w:hint="default" w:ascii="Times New Roman" w:hAnsi="Times New Roman" w:cs="Times New Roman"/>
                <w:color w:val="auto"/>
                <w:sz w:val="21"/>
                <w:szCs w:val="21"/>
                <w:lang w:eastAsia="zh-CN"/>
              </w:rPr>
              <w:t>处理工艺流程图</w:t>
            </w:r>
          </w:p>
          <w:p w14:paraId="6D74DE31">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③环保手续执行情况</w:t>
            </w:r>
          </w:p>
          <w:p w14:paraId="12B3B6C6">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该项目于20</w:t>
            </w:r>
            <w:r>
              <w:rPr>
                <w:rFonts w:hint="eastAsia" w:ascii="Times New Roman" w:hAnsi="Times New Roman" w:cs="Times New Roman"/>
                <w:color w:val="auto"/>
                <w:lang w:val="en-US" w:eastAsia="zh-CN"/>
              </w:rPr>
              <w:t>24</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月1</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日取得了</w:t>
            </w:r>
            <w:r>
              <w:rPr>
                <w:rFonts w:hint="eastAsia" w:ascii="Times New Roman" w:hAnsi="Times New Roman" w:cs="Times New Roman"/>
                <w:color w:val="auto"/>
                <w:lang w:val="en-US" w:eastAsia="zh-CN"/>
              </w:rPr>
              <w:t>榆林市生态环境局</w:t>
            </w:r>
            <w:r>
              <w:rPr>
                <w:rFonts w:hint="default" w:ascii="Times New Roman" w:hAnsi="Times New Roman" w:cs="Times New Roman"/>
                <w:color w:val="auto"/>
                <w:lang w:val="en-US" w:eastAsia="zh-CN"/>
              </w:rPr>
              <w:t>下发的环评批复（榆政</w:t>
            </w:r>
            <w:r>
              <w:rPr>
                <w:rFonts w:hint="eastAsia" w:ascii="Times New Roman" w:hAnsi="Times New Roman" w:cs="Times New Roman"/>
                <w:color w:val="auto"/>
                <w:lang w:val="en-US" w:eastAsia="zh-CN"/>
              </w:rPr>
              <w:t>环批复</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85</w:t>
            </w:r>
            <w:r>
              <w:rPr>
                <w:rFonts w:hint="default" w:ascii="Times New Roman" w:hAnsi="Times New Roman" w:cs="Times New Roman"/>
                <w:color w:val="auto"/>
                <w:lang w:val="en-US" w:eastAsia="zh-CN"/>
              </w:rPr>
              <w:t>号），</w:t>
            </w:r>
            <w:r>
              <w:rPr>
                <w:rFonts w:hint="eastAsia" w:ascii="Times New Roman" w:hAnsi="Times New Roman" w:cs="Times New Roman"/>
                <w:color w:val="auto"/>
                <w:lang w:val="en-US" w:eastAsia="zh-CN"/>
              </w:rPr>
              <w:t>2024年10月9日取得了排污许可证，</w:t>
            </w:r>
            <w:r>
              <w:rPr>
                <w:rFonts w:hint="default" w:ascii="Times New Roman" w:hAnsi="Times New Roman" w:cs="Times New Roman"/>
                <w:color w:val="auto"/>
                <w:lang w:val="en-US" w:eastAsia="zh-CN"/>
              </w:rPr>
              <w:t>于202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月2</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通过了竣工环境保护验收</w:t>
            </w:r>
            <w:r>
              <w:rPr>
                <w:rFonts w:hint="default" w:ascii="Times New Roman" w:hAnsi="Times New Roman" w:cs="Times New Roman"/>
                <w:color w:val="auto"/>
                <w:lang w:val="en-US" w:eastAsia="zh-CN"/>
              </w:rPr>
              <w:t>，目前正常运行。</w:t>
            </w:r>
          </w:p>
          <w:p w14:paraId="1401AC4C">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④依托可行性分析</w:t>
            </w:r>
          </w:p>
          <w:p w14:paraId="39B8AF1C">
            <w:pPr>
              <w:pStyle w:val="28"/>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陕西榆佳环保科技有限公司处置能力范围涵盖压裂返排液、泥浆压滤废液处理等，根据《陕西榆佳环保科技有限公司佳县榆佳经济技术开发区污水处理厂项目（一期）环境影响报告书》，设计进水水质为：pH：6~12；SS</w:t>
            </w:r>
            <w:r>
              <w:rPr>
                <w:rFonts w:hint="default" w:ascii="Times New Roman" w:hAnsi="Times New Roman" w:cs="Times New Roman"/>
                <w:color w:val="auto"/>
                <w:lang w:val="en-US" w:eastAsia="zh-CN"/>
              </w:rPr>
              <w:t>&lt;</w:t>
            </w:r>
            <w:r>
              <w:rPr>
                <w:rFonts w:hint="eastAsia" w:ascii="Times New Roman" w:hAnsi="Times New Roman" w:cs="Times New Roman"/>
                <w:color w:val="auto"/>
                <w:lang w:val="en-US" w:eastAsia="zh-CN"/>
              </w:rPr>
              <w:t>2000mg/L；溶解性总固体＜60000mg/L；总硬度(以CaCO</w:t>
            </w:r>
            <w:r>
              <w:rPr>
                <w:rFonts w:hint="eastAsia" w:ascii="Times New Roman" w:hAnsi="Times New Roman" w:cs="Times New Roman"/>
                <w:color w:val="auto"/>
                <w:vertAlign w:val="subscript"/>
                <w:lang w:val="en-US" w:eastAsia="zh-CN"/>
              </w:rPr>
              <w:t>3</w:t>
            </w:r>
            <w:r>
              <w:rPr>
                <w:rFonts w:hint="eastAsia" w:ascii="Times New Roman" w:hAnsi="Times New Roman" w:cs="Times New Roman"/>
                <w:color w:val="auto"/>
                <w:lang w:val="en-US" w:eastAsia="zh-CN"/>
              </w:rPr>
              <w:t>计)</w:t>
            </w:r>
            <w:r>
              <w:rPr>
                <w:rFonts w:hint="default" w:ascii="Times New Roman" w:hAnsi="Times New Roman" w:cs="Times New Roman"/>
                <w:color w:val="auto"/>
                <w:lang w:val="en-US" w:eastAsia="zh-CN"/>
              </w:rPr>
              <w:t>&lt;</w:t>
            </w:r>
            <w:r>
              <w:rPr>
                <w:rFonts w:hint="eastAsia" w:ascii="Times New Roman" w:hAnsi="Times New Roman" w:cs="Times New Roman"/>
                <w:color w:val="auto"/>
                <w:lang w:val="en-US" w:eastAsia="zh-CN"/>
              </w:rPr>
              <w:t>30000mg/L，</w:t>
            </w:r>
            <w:r>
              <w:rPr>
                <w:rFonts w:hint="default" w:ascii="Times New Roman" w:hAnsi="Times New Roman" w:cs="Times New Roman"/>
                <w:color w:val="auto"/>
                <w:lang w:val="en-US" w:eastAsia="zh-CN"/>
              </w:rPr>
              <w:t>处理规模为</w:t>
            </w:r>
            <w:r>
              <w:rPr>
                <w:rFonts w:hint="eastAsia" w:ascii="Times New Roman" w:hAnsi="Times New Roman" w:cs="Times New Roman"/>
                <w:color w:val="auto"/>
                <w:lang w:val="en-US" w:eastAsia="zh-CN"/>
              </w:rPr>
              <w:t>2000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。本项目产生的废水主要为钻井、洗井废水，压裂返排液，放喷废液等，水质同其他油气田水质基本项目，同时期废水最大产生量为（三口井同时施工）42.35m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/d（产生废水的时间按照40天核算）</w:t>
            </w:r>
            <w:r>
              <w:rPr>
                <w:rFonts w:hint="default" w:ascii="Times New Roman" w:hAnsi="Times New Roman" w:cs="Times New Roman"/>
                <w:color w:val="auto"/>
                <w:lang w:val="en-US" w:eastAsia="zh-CN"/>
              </w:rPr>
              <w:t>，处理能力能够满足本项目需求，依托可行。</w:t>
            </w:r>
          </w:p>
          <w:p w14:paraId="23A833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四、噪声防治措施</w:t>
            </w:r>
          </w:p>
          <w:p w14:paraId="1F1434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钻井过程中噪声主要为钻井噪声和完井测试噪声，钻井噪声主要来源于钻井设备、泥浆泵、振动筛</w:t>
            </w:r>
            <w:r>
              <w:rPr>
                <w:rFonts w:hint="eastAsia" w:ascii="Times New Roman" w:hAnsi="Times New Roman" w:eastAsia="宋体" w:cs="Times New Roman"/>
                <w:b w:val="0"/>
                <w:bCs w:val="0"/>
                <w:color w:val="auto"/>
                <w:sz w:val="24"/>
                <w:szCs w:val="24"/>
                <w:vertAlign w:val="baseline"/>
                <w:lang w:val="en-US" w:eastAsia="zh-CN"/>
              </w:rPr>
              <w:t>、压裂车</w:t>
            </w:r>
            <w:r>
              <w:rPr>
                <w:rFonts w:hint="default" w:ascii="Times New Roman" w:hAnsi="Times New Roman" w:eastAsia="宋体" w:cs="Times New Roman"/>
                <w:b w:val="0"/>
                <w:bCs w:val="0"/>
                <w:color w:val="auto"/>
                <w:sz w:val="24"/>
                <w:szCs w:val="24"/>
                <w:vertAlign w:val="baseline"/>
                <w:lang w:val="en-US" w:eastAsia="zh-CN"/>
              </w:rPr>
              <w:t>等连续性噪声，噪声源强在85~100dB(A)，为减轻本项目施工期噪声对周围环境的影响，要求采取必要的噪声控制措施。具体措施如下：</w:t>
            </w:r>
          </w:p>
          <w:p w14:paraId="19206B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①严格控制施工时间，合理安排施工计划，尽可能避开午休时间动用高噪声设备。</w:t>
            </w:r>
          </w:p>
          <w:p w14:paraId="4C94B7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②钻机应选用低噪声设备，安装基础减振垫，场区四周应设置围挡，</w:t>
            </w:r>
            <w:r>
              <w:rPr>
                <w:rFonts w:hint="eastAsia" w:ascii="Times New Roman" w:hAnsi="Times New Roman" w:eastAsia="宋体" w:cs="Times New Roman"/>
                <w:b w:val="0"/>
                <w:bCs w:val="0"/>
                <w:color w:val="auto"/>
                <w:sz w:val="24"/>
                <w:szCs w:val="24"/>
                <w:vertAlign w:val="baseline"/>
                <w:lang w:val="en-US" w:eastAsia="zh-CN"/>
              </w:rPr>
              <w:t>压裂车设置隔声设备，仅在白天运行，控制压裂作业频率，</w:t>
            </w:r>
            <w:r>
              <w:rPr>
                <w:rFonts w:hint="default" w:ascii="Times New Roman" w:hAnsi="Times New Roman" w:eastAsia="宋体" w:cs="Times New Roman"/>
                <w:b w:val="0"/>
                <w:bCs w:val="0"/>
                <w:color w:val="auto"/>
                <w:sz w:val="24"/>
                <w:szCs w:val="24"/>
                <w:vertAlign w:val="baseline"/>
                <w:lang w:val="en-US" w:eastAsia="zh-CN"/>
              </w:rPr>
              <w:t>以进一步降低该部分噪声对周围环境的影响。</w:t>
            </w:r>
          </w:p>
          <w:p w14:paraId="0D55C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③优化运输路线，车辆应避免经过敏感路段；车辆在经过周边村庄时应减速，减少鸣笛等，避免出现扰民现象。</w:t>
            </w:r>
          </w:p>
          <w:p w14:paraId="5AEB81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④降低施工设备噪声，尽量采用低噪声设备；注意对施工机械定期维修保养，使机械保持最佳工作状态，噪声降低到最低水平。</w:t>
            </w:r>
          </w:p>
          <w:p w14:paraId="02B58C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⑤同一施工地点应避免安排大量动力机械设备，以免局部累积声级过高。选择低噪声设备。</w:t>
            </w:r>
          </w:p>
          <w:p w14:paraId="127805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通过采取上述综合降噪措施，可有效降低施工过程噪声对周围环境的影响，确保施工期各项施工活动产生的噪声达到《建筑施工场界环境噪声排放标准》（GB12523-2011）中的相关规定限值要求，对周围环境影响较小。</w:t>
            </w:r>
          </w:p>
          <w:p w14:paraId="40F64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五、地下水防治措施</w:t>
            </w:r>
          </w:p>
          <w:p w14:paraId="5C120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本项目采取的地下水污染防治措施如下：</w:t>
            </w:r>
          </w:p>
          <w:p w14:paraId="33A29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1、表层固井要求：表层固井必须封固含水层。</w:t>
            </w:r>
          </w:p>
          <w:p w14:paraId="1AF75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作业要求：为了确保地层的承压能力能够满足固井时防漏及打开气层时安全钻井的需要，在进入气层前必须按工程设计要求进行转化钻井液和工艺堵漏；固井所用水泥、外掺料、外加剂及水泥浆配方必须经长庆油田分公司天然气评价项目部工程技术管理部检验认可备案后，方可使用。</w:t>
            </w:r>
          </w:p>
          <w:p w14:paraId="0C77F1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3、生产套管固井钻水泥塞要求：生产套管固井后，必须用大排量循环冲洗干净水泥塞连接处的胶皮及铝片。</w:t>
            </w:r>
          </w:p>
          <w:p w14:paraId="41A4CD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4、其他要求：</w:t>
            </w:r>
          </w:p>
          <w:p w14:paraId="65CD1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（1）钻井中遇到潜水层，下套管时应注水泥封固，防止地下水层被地层其它流体或钻井泥浆污染</w:t>
            </w:r>
            <w:r>
              <w:rPr>
                <w:rFonts w:hint="eastAsia" w:ascii="Times New Roman" w:hAnsi="Times New Roman" w:eastAsia="宋体" w:cs="Times New Roman"/>
                <w:b w:val="0"/>
                <w:bCs w:val="0"/>
                <w:color w:val="auto"/>
                <w:sz w:val="24"/>
                <w:szCs w:val="24"/>
                <w:vertAlign w:val="baseline"/>
                <w:lang w:val="en-US" w:eastAsia="zh-CN"/>
              </w:rPr>
              <w:t>。</w:t>
            </w:r>
          </w:p>
          <w:p w14:paraId="4388E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要求水泥环有可靠的密封，环空封固段不窜、不漏、胶结良好，能承受高压；套管的设计必须完全符合整个井生命周期中的钻井、完井和生产过程中所有的技术要求，要求套管有足够的强度，在整个井生命周期内能够承受各种外力作用，抗腐蚀、不断、不裂、不变形。固井水泥的返高也是封隔井筒与地下水的主要措施，本项目导管和一开固井水泥均返高至地面，可以多层防护与隔绝井内流体与含水层之间的联系。</w:t>
            </w:r>
          </w:p>
          <w:p w14:paraId="57CE65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评价要求施工全程定期对井内套管和井壁进行渗漏检查、修缮，防止套管和井壁发生损坏钻导致钻井液的漏失污染地下水。</w:t>
            </w:r>
          </w:p>
          <w:p w14:paraId="49D16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（3）钻井过程中采取平衡钻进，避免因压力挤动和开泵过猛使泥浆憋入地层；</w:t>
            </w:r>
          </w:p>
          <w:p w14:paraId="12D830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井场储备足够的封堵剂，钻井过程中应密切注意钻井液的漏失情况，一旦出现漏失，应立即采取堵漏措施，防止钻井液的漏失污染地下水；堵漏剂的选取应考虑清洁、无毒、对人体无害、环境污染轻的种类，建议使用水泥堵漏。</w:t>
            </w:r>
          </w:p>
          <w:p w14:paraId="3BD32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（5）在井下作业过程中，钻井液和压裂液应集中配置，洗井废水、压裂返排液应100%回收。</w:t>
            </w:r>
          </w:p>
          <w:p w14:paraId="11657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（6）钻井、压裂作业和试井过程应采取防喷、地面管线防刺、防漏、防溢等措施。</w:t>
            </w:r>
          </w:p>
          <w:p w14:paraId="643135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（7）应定期对井内套管和井壁进行检查、修缮，防止套管和井壁发生损坏。</w:t>
            </w:r>
          </w:p>
          <w:p w14:paraId="636A80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5、防渗措施</w:t>
            </w:r>
          </w:p>
          <w:p w14:paraId="7F00E4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为进一步减少工程建设对地下水环境的影响，环评建议对井场各区域切实做好防渗措施，具体要求见下表。</w:t>
            </w:r>
          </w:p>
          <w:p w14:paraId="2B342D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表5-3   项目分区防渗措施要求</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6"/>
              <w:gridCol w:w="2004"/>
              <w:gridCol w:w="5829"/>
            </w:tblGrid>
            <w:tr w14:paraId="53C3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6B7ED02F">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分区</w:t>
                  </w:r>
                </w:p>
              </w:tc>
              <w:tc>
                <w:tcPr>
                  <w:tcW w:w="1905" w:type="dxa"/>
                  <w:vAlign w:val="center"/>
                </w:tcPr>
                <w:p w14:paraId="3DD1301A">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位置</w:t>
                  </w:r>
                </w:p>
              </w:tc>
              <w:tc>
                <w:tcPr>
                  <w:tcW w:w="5541" w:type="dxa"/>
                  <w:vAlign w:val="center"/>
                </w:tcPr>
                <w:p w14:paraId="3B9A4FB3">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防渗要求</w:t>
                  </w:r>
                </w:p>
              </w:tc>
            </w:tr>
            <w:tr w14:paraId="4A19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restart"/>
                  <w:vAlign w:val="center"/>
                </w:tcPr>
                <w:p w14:paraId="61B2C9E8">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1905" w:type="dxa"/>
                  <w:vAlign w:val="center"/>
                </w:tcPr>
                <w:p w14:paraId="531E2B75">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钻井工作区、泥浆不落地系统区、钻井液材料房、储罐区</w:t>
                  </w:r>
                </w:p>
              </w:tc>
              <w:tc>
                <w:tcPr>
                  <w:tcW w:w="5541" w:type="dxa"/>
                  <w:vAlign w:val="center"/>
                </w:tcPr>
                <w:p w14:paraId="3FD3E157">
                  <w:pPr>
                    <w:pStyle w:val="29"/>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地面底部利用机械将衬层压实，四周用土堆成简易围堰，围堰内地面连同四周的土围堰整体铺设防渗材料</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HDPE膜</w:t>
                  </w:r>
                  <w:r>
                    <w:rPr>
                      <w:rFonts w:hint="eastAsia" w:cs="Times New Roman"/>
                      <w:color w:val="auto"/>
                      <w:sz w:val="21"/>
                      <w:szCs w:val="21"/>
                      <w:lang w:eastAsia="zh-CN"/>
                    </w:rPr>
                    <w:t>，</w:t>
                  </w:r>
                  <w:r>
                    <w:rPr>
                      <w:rFonts w:hint="eastAsia" w:cs="Times New Roman"/>
                      <w:color w:val="auto"/>
                      <w:sz w:val="21"/>
                      <w:szCs w:val="21"/>
                      <w:lang w:val="en-US" w:eastAsia="zh-CN"/>
                    </w:rPr>
                    <w:t>双层</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，等效黏土防渗层Mb≥6.0m，K≤1×10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cm/s，HDPE膜敷设面积应适当扩大，覆盖围堰区外延1.0m范围。</w:t>
                  </w:r>
                </w:p>
              </w:tc>
            </w:tr>
            <w:tr w14:paraId="7E06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59F786C1">
                  <w:pPr>
                    <w:pStyle w:val="29"/>
                    <w:bidi w:val="0"/>
                    <w:jc w:val="center"/>
                    <w:rPr>
                      <w:rFonts w:hint="default" w:ascii="Times New Roman" w:hAnsi="Times New Roman" w:cs="Times New Roman"/>
                      <w:color w:val="auto"/>
                      <w:sz w:val="21"/>
                      <w:szCs w:val="21"/>
                    </w:rPr>
                  </w:pPr>
                </w:p>
              </w:tc>
              <w:tc>
                <w:tcPr>
                  <w:tcW w:w="1905" w:type="dxa"/>
                  <w:vAlign w:val="center"/>
                </w:tcPr>
                <w:p w14:paraId="4D9B2400">
                  <w:pPr>
                    <w:pStyle w:val="29"/>
                    <w:bidi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放喷池</w:t>
                  </w:r>
                </w:p>
              </w:tc>
              <w:tc>
                <w:tcPr>
                  <w:tcW w:w="5541" w:type="dxa"/>
                  <w:vAlign w:val="center"/>
                </w:tcPr>
                <w:p w14:paraId="6FB94075">
                  <w:pPr>
                    <w:pStyle w:val="29"/>
                    <w:bidi w:val="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填筑一定厚度的土壤后压实，池底及四周铺设</w:t>
                  </w:r>
                  <w:r>
                    <w:rPr>
                      <w:rFonts w:hint="eastAsia" w:cs="Times New Roman"/>
                      <w:color w:val="auto"/>
                      <w:sz w:val="21"/>
                      <w:szCs w:val="21"/>
                      <w:lang w:val="en-US" w:eastAsia="zh-CN"/>
                    </w:rPr>
                    <w:t>防渗膜</w:t>
                  </w:r>
                  <w:r>
                    <w:rPr>
                      <w:rFonts w:hint="default" w:ascii="Times New Roman" w:hAnsi="Times New Roman" w:cs="Times New Roman"/>
                      <w:color w:val="auto"/>
                      <w:sz w:val="21"/>
                      <w:szCs w:val="21"/>
                    </w:rPr>
                    <w:t>作防渗漏处理，</w:t>
                  </w:r>
                  <w:r>
                    <w:rPr>
                      <w:rFonts w:hint="eastAsia" w:cs="Times New Roman"/>
                      <w:color w:val="auto"/>
                      <w:sz w:val="21"/>
                      <w:szCs w:val="21"/>
                      <w:lang w:val="en-US" w:eastAsia="zh-CN"/>
                    </w:rPr>
                    <w:t>防渗膜</w:t>
                  </w:r>
                  <w:r>
                    <w:rPr>
                      <w:rFonts w:hint="default" w:ascii="Times New Roman" w:hAnsi="Times New Roman" w:cs="Times New Roman"/>
                      <w:color w:val="auto"/>
                      <w:sz w:val="21"/>
                      <w:szCs w:val="21"/>
                    </w:rPr>
                    <w:t>搭接长度不小于300mm，等效黏土防渗层Mb≥6.0m，K≤1×10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tc>
            </w:tr>
            <w:tr w14:paraId="616A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6BFFCD53">
                  <w:pPr>
                    <w:pStyle w:val="29"/>
                    <w:bidi w:val="0"/>
                    <w:jc w:val="center"/>
                    <w:rPr>
                      <w:rFonts w:hint="default" w:ascii="Times New Roman" w:hAnsi="Times New Roman" w:cs="Times New Roman"/>
                      <w:color w:val="auto"/>
                      <w:sz w:val="21"/>
                      <w:szCs w:val="21"/>
                    </w:rPr>
                  </w:pPr>
                </w:p>
              </w:tc>
              <w:tc>
                <w:tcPr>
                  <w:tcW w:w="1905" w:type="dxa"/>
                  <w:vAlign w:val="center"/>
                </w:tcPr>
                <w:p w14:paraId="6F12484E">
                  <w:pPr>
                    <w:pStyle w:val="29"/>
                    <w:bidi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撬装式</w:t>
                  </w:r>
                  <w:r>
                    <w:rPr>
                      <w:rFonts w:hint="default" w:ascii="Times New Roman" w:hAnsi="Times New Roman" w:cs="Times New Roman"/>
                      <w:color w:val="auto"/>
                      <w:sz w:val="21"/>
                      <w:szCs w:val="21"/>
                    </w:rPr>
                    <w:t>危废</w:t>
                  </w:r>
                  <w:r>
                    <w:rPr>
                      <w:rFonts w:hint="eastAsia" w:cs="Times New Roman"/>
                      <w:color w:val="auto"/>
                      <w:sz w:val="21"/>
                      <w:szCs w:val="21"/>
                      <w:lang w:val="en-US" w:eastAsia="zh-CN"/>
                    </w:rPr>
                    <w:t>贮存库</w:t>
                  </w:r>
                </w:p>
              </w:tc>
              <w:tc>
                <w:tcPr>
                  <w:tcW w:w="5541" w:type="dxa"/>
                  <w:vAlign w:val="center"/>
                </w:tcPr>
                <w:p w14:paraId="34862706">
                  <w:pPr>
                    <w:pStyle w:val="29"/>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采用撬装式</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w:t>
                  </w:r>
                  <w:r>
                    <w:rPr>
                      <w:rFonts w:hint="eastAsia" w:cs="Times New Roman"/>
                      <w:color w:val="auto"/>
                      <w:sz w:val="21"/>
                      <w:szCs w:val="21"/>
                      <w:lang w:val="en-US" w:eastAsia="zh-CN"/>
                    </w:rPr>
                    <w:t>内部</w:t>
                  </w:r>
                  <w:r>
                    <w:rPr>
                      <w:rFonts w:hint="default" w:ascii="Times New Roman" w:hAnsi="Times New Roman" w:cs="Times New Roman"/>
                      <w:color w:val="auto"/>
                      <w:sz w:val="21"/>
                      <w:szCs w:val="21"/>
                    </w:rPr>
                    <w:t>防渗</w:t>
                  </w:r>
                  <w:r>
                    <w:rPr>
                      <w:rFonts w:hint="eastAsia" w:cs="Times New Roman"/>
                      <w:color w:val="auto"/>
                      <w:sz w:val="21"/>
                      <w:szCs w:val="21"/>
                      <w:lang w:eastAsia="zh-CN"/>
                    </w:rPr>
                    <w:t>，</w:t>
                  </w:r>
                  <w:r>
                    <w:rPr>
                      <w:rFonts w:hint="default" w:ascii="Times New Roman" w:hAnsi="Times New Roman" w:cs="Times New Roman"/>
                      <w:color w:val="auto"/>
                      <w:sz w:val="21"/>
                      <w:szCs w:val="21"/>
                    </w:rPr>
                    <w:t>同时可满足《危险废物贮存污染控制标准》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GB18597-2023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的相关要求，防渗层渗透系数小于1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p>
              </w:tc>
            </w:tr>
            <w:tr w14:paraId="253D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7BD76719">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一般防渗区</w:t>
                  </w:r>
                </w:p>
              </w:tc>
              <w:tc>
                <w:tcPr>
                  <w:tcW w:w="1905" w:type="dxa"/>
                  <w:vAlign w:val="center"/>
                </w:tcPr>
                <w:p w14:paraId="4B5B2888">
                  <w:pPr>
                    <w:pStyle w:val="29"/>
                    <w:bidi w:val="0"/>
                    <w:jc w:val="center"/>
                    <w:rPr>
                      <w:rFonts w:hint="default" w:cs="Times New Roman"/>
                      <w:color w:val="auto"/>
                      <w:sz w:val="21"/>
                      <w:szCs w:val="21"/>
                      <w:lang w:val="en-US" w:eastAsia="zh-CN"/>
                    </w:rPr>
                  </w:pPr>
                  <w:r>
                    <w:rPr>
                      <w:rFonts w:hint="eastAsia" w:cs="Times New Roman"/>
                      <w:color w:val="auto"/>
                      <w:sz w:val="21"/>
                      <w:szCs w:val="21"/>
                      <w:lang w:val="en-US" w:eastAsia="zh-CN"/>
                    </w:rPr>
                    <w:t>环保厕所、原辅材料存储区</w:t>
                  </w:r>
                </w:p>
              </w:tc>
              <w:tc>
                <w:tcPr>
                  <w:tcW w:w="5541" w:type="dxa"/>
                  <w:vAlign w:val="center"/>
                </w:tcPr>
                <w:p w14:paraId="4E75E086">
                  <w:pPr>
                    <w:pStyle w:val="29"/>
                    <w:bidi w:val="0"/>
                    <w:jc w:val="center"/>
                    <w:rPr>
                      <w:rFonts w:hint="default" w:cs="Times New Roman"/>
                      <w:color w:val="auto"/>
                      <w:sz w:val="21"/>
                      <w:szCs w:val="21"/>
                      <w:lang w:val="en-US" w:eastAsia="zh-CN"/>
                    </w:rPr>
                  </w:pPr>
                  <w:r>
                    <w:rPr>
                      <w:rFonts w:hint="eastAsia" w:cs="Times New Roman"/>
                      <w:color w:val="auto"/>
                      <w:sz w:val="21"/>
                      <w:szCs w:val="21"/>
                      <w:lang w:val="en-US" w:eastAsia="zh-CN"/>
                    </w:rPr>
                    <w:t>地面底部利用机械将衬层压实，单层高密度聚乙烯（HDPE）防渗土工膜；等效黏土防渗层Mb≥1.5m，K≤1×10</w:t>
                  </w:r>
                  <w:r>
                    <w:rPr>
                      <w:rFonts w:hint="eastAsia" w:cs="Times New Roman"/>
                      <w:color w:val="auto"/>
                      <w:sz w:val="21"/>
                      <w:szCs w:val="21"/>
                      <w:vertAlign w:val="superscript"/>
                      <w:lang w:val="en-US" w:eastAsia="zh-CN"/>
                    </w:rPr>
                    <w:t>-7</w:t>
                  </w:r>
                  <w:r>
                    <w:rPr>
                      <w:rFonts w:hint="eastAsia" w:cs="Times New Roman"/>
                      <w:color w:val="auto"/>
                      <w:sz w:val="21"/>
                      <w:szCs w:val="21"/>
                      <w:lang w:val="en-US" w:eastAsia="zh-CN"/>
                    </w:rPr>
                    <w:t>cm/s，或参考GB16689执行。</w:t>
                  </w:r>
                </w:p>
              </w:tc>
            </w:tr>
            <w:tr w14:paraId="4FA5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1E45B000">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简单防渗区</w:t>
                  </w:r>
                </w:p>
              </w:tc>
              <w:tc>
                <w:tcPr>
                  <w:tcW w:w="1905" w:type="dxa"/>
                  <w:vAlign w:val="center"/>
                </w:tcPr>
                <w:p w14:paraId="3CE3980A">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生活区、</w:t>
                  </w:r>
                  <w:r>
                    <w:rPr>
                      <w:rFonts w:hint="default" w:ascii="Times New Roman" w:hAnsi="Times New Roman" w:cs="Times New Roman"/>
                      <w:color w:val="auto"/>
                      <w:sz w:val="21"/>
                      <w:szCs w:val="21"/>
                      <w:lang w:val="en-US" w:eastAsia="zh-CN"/>
                    </w:rPr>
                    <w:t>物料区等其他</w:t>
                  </w:r>
                  <w:r>
                    <w:rPr>
                      <w:rFonts w:hint="default" w:ascii="Times New Roman" w:hAnsi="Times New Roman" w:cs="Times New Roman"/>
                      <w:color w:val="auto"/>
                      <w:sz w:val="21"/>
                      <w:szCs w:val="21"/>
                    </w:rPr>
                    <w:t>区域</w:t>
                  </w:r>
                </w:p>
              </w:tc>
              <w:tc>
                <w:tcPr>
                  <w:tcW w:w="5541" w:type="dxa"/>
                  <w:vAlign w:val="center"/>
                </w:tcPr>
                <w:p w14:paraId="045D495E">
                  <w:pPr>
                    <w:pStyle w:val="29"/>
                    <w:bidi w:val="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采用黏土碾压方式进行防渗</w:t>
                  </w:r>
                  <w:r>
                    <w:rPr>
                      <w:rFonts w:hint="default" w:ascii="Times New Roman" w:hAnsi="Times New Roman" w:cs="Times New Roman"/>
                      <w:color w:val="auto"/>
                      <w:sz w:val="21"/>
                      <w:szCs w:val="21"/>
                      <w:lang w:eastAsia="zh-CN"/>
                    </w:rPr>
                    <w:t>。</w:t>
                  </w:r>
                </w:p>
              </w:tc>
            </w:tr>
          </w:tbl>
          <w:p w14:paraId="64BD86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六、固体废物防治措施</w:t>
            </w:r>
          </w:p>
          <w:p w14:paraId="6AD7B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项目钻井过程中产生的固体废物主要有泥饼、废弃泥浆、放喷废液、钻井队员工产生的生活垃圾等。</w:t>
            </w:r>
          </w:p>
          <w:p w14:paraId="289CD9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（1）钻井岩屑</w:t>
            </w:r>
            <w:r>
              <w:rPr>
                <w:rFonts w:hint="eastAsia" w:ascii="Times New Roman" w:hAnsi="Times New Roman" w:eastAsia="宋体" w:cs="Times New Roman"/>
                <w:b/>
                <w:bCs/>
                <w:color w:val="auto"/>
                <w:sz w:val="24"/>
                <w:szCs w:val="24"/>
                <w:vertAlign w:val="baseline"/>
                <w:lang w:val="en-US" w:eastAsia="zh-CN"/>
              </w:rPr>
              <w:t>、废弃泥浆</w:t>
            </w:r>
          </w:p>
          <w:p w14:paraId="1362B85B">
            <w:pPr>
              <w:pStyle w:val="28"/>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①废弃泥浆</w:t>
            </w:r>
          </w:p>
          <w:p w14:paraId="65899BEC">
            <w:pPr>
              <w:pStyle w:val="28"/>
              <w:bidi w:val="0"/>
              <w:rPr>
                <w:rFonts w:hint="default" w:ascii="Times New Roman" w:hAnsi="Times New Roman" w:cs="Times New Roman"/>
                <w:color w:val="auto"/>
              </w:rPr>
            </w:pPr>
            <w:r>
              <w:rPr>
                <w:rFonts w:hint="default" w:ascii="Times New Roman" w:hAnsi="Times New Roman" w:cs="Times New Roman"/>
                <w:color w:val="auto"/>
              </w:rPr>
              <w:t>废弃钻井泥浆是指在钻井过程中无法利用的剩余泥浆，按照《榆林市油（气）开采废弃物处置环保暂行管理办法》（榆政环发〔2015〕170号）的相关要求进行收集，经场地内泥浆不落地系统配套的移动式收集罐暂存，委托外运处置。</w:t>
            </w:r>
          </w:p>
          <w:p w14:paraId="280A1634">
            <w:pPr>
              <w:pStyle w:val="28"/>
              <w:bidi w:val="0"/>
              <w:rPr>
                <w:rFonts w:hint="default" w:ascii="Times New Roman" w:hAnsi="Times New Roman" w:cs="Times New Roman"/>
                <w:color w:val="auto"/>
              </w:rPr>
            </w:pPr>
            <w:r>
              <w:rPr>
                <w:rFonts w:hint="default" w:ascii="Times New Roman" w:hAnsi="Times New Roman" w:cs="Times New Roman"/>
                <w:color w:val="auto"/>
              </w:rPr>
              <w:t>项目钻井过程采用移动式泥浆罐，按照钻井过程中液相及固相落地点，进行点对点式收集、储存，实现液相和固相的不落地。收集的废钻井液利用高效固液分离技术，形成再生钻井液，实现废弃钻井液重复利用。</w:t>
            </w:r>
          </w:p>
          <w:p w14:paraId="0C98FFB2">
            <w:pPr>
              <w:pStyle w:val="28"/>
              <w:bidi w:val="0"/>
              <w:rPr>
                <w:rFonts w:hint="default" w:ascii="Times New Roman" w:hAnsi="Times New Roman" w:cs="Times New Roman"/>
                <w:color w:val="auto"/>
              </w:rPr>
            </w:pPr>
            <w:r>
              <w:rPr>
                <w:rFonts w:hint="default" w:ascii="Times New Roman" w:hAnsi="Times New Roman" w:cs="Times New Roman"/>
                <w:color w:val="auto"/>
              </w:rPr>
              <w:t>本项目泥浆循环利用工艺流程见图</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14:paraId="42FFF3D7">
            <w:pPr>
              <w:pStyle w:val="28"/>
              <w:bidi w:val="0"/>
              <w:ind w:left="0" w:leftChars="0" w:firstLine="0" w:firstLineChars="0"/>
              <w:jc w:val="center"/>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drawing>
                <wp:inline distT="0" distB="0" distL="114300" distR="114300">
                  <wp:extent cx="3545840" cy="1902460"/>
                  <wp:effectExtent l="0" t="0" r="16510" b="2540"/>
                  <wp:docPr id="15"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4"/>
                          <pic:cNvPicPr>
                            <a:picLocks noChangeAspect="1"/>
                          </pic:cNvPicPr>
                        </pic:nvPicPr>
                        <pic:blipFill>
                          <a:blip r:embed="rId27"/>
                          <a:stretch>
                            <a:fillRect/>
                          </a:stretch>
                        </pic:blipFill>
                        <pic:spPr>
                          <a:xfrm>
                            <a:off x="0" y="0"/>
                            <a:ext cx="3545840" cy="1902460"/>
                          </a:xfrm>
                          <a:prstGeom prst="rect">
                            <a:avLst/>
                          </a:prstGeom>
                          <a:noFill/>
                          <a:ln>
                            <a:noFill/>
                          </a:ln>
                        </pic:spPr>
                      </pic:pic>
                    </a:graphicData>
                  </a:graphic>
                </wp:inline>
              </w:drawing>
            </w:r>
          </w:p>
          <w:p w14:paraId="7A813485">
            <w:pPr>
              <w:pStyle w:val="6"/>
              <w:bidi w:val="0"/>
              <w:ind w:left="0" w:leftChars="0" w:firstLine="0" w:firstLineChars="0"/>
              <w:jc w:val="center"/>
              <w:rPr>
                <w:rFonts w:hint="default"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 xml:space="preserve">  泥浆循环利用工艺流程图</w:t>
            </w:r>
          </w:p>
          <w:p w14:paraId="16489FAC">
            <w:pPr>
              <w:pStyle w:val="28"/>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rPr>
            </w:pPr>
            <w:r>
              <w:rPr>
                <w:rFonts w:hint="default" w:ascii="Times New Roman" w:hAnsi="Times New Roman" w:cs="Times New Roman"/>
                <w:color w:val="auto"/>
              </w:rPr>
              <w:t>泥浆不落地工艺流程如下：</w:t>
            </w:r>
          </w:p>
          <w:p w14:paraId="0D8A2FE2">
            <w:pPr>
              <w:pStyle w:val="28"/>
              <w:bidi w:val="0"/>
              <w:rPr>
                <w:rFonts w:hint="default" w:ascii="Times New Roman" w:hAnsi="Times New Roman" w:cs="Times New Roman"/>
                <w:color w:val="auto"/>
              </w:rPr>
            </w:pPr>
            <w:r>
              <w:rPr>
                <w:rFonts w:hint="default" w:ascii="Times New Roman" w:hAnsi="Times New Roman" w:cs="Times New Roman"/>
                <w:color w:val="auto"/>
              </w:rPr>
              <w:t>①泥浆经过振动筛筛分，岩屑成分通过螺旋输送机收集输送至甩干机顶部的进料口进行甩干。甩干机内，岩屑在离心力的作用将上面附着的液体脱出，从振动筛的缝隙中飞入甩干机的液体收集区，然后流入缓冲罐。脱液后的钻屑被刮刀刮下，在离心力作用下沿锥形筛篮的内壁下落，进入岩屑收集罐。</w:t>
            </w:r>
          </w:p>
          <w:p w14:paraId="5B25A0D6">
            <w:pPr>
              <w:pStyle w:val="28"/>
              <w:bidi w:val="0"/>
              <w:rPr>
                <w:rFonts w:hint="default" w:ascii="Times New Roman" w:hAnsi="Times New Roman" w:cs="Times New Roman"/>
                <w:color w:val="auto"/>
              </w:rPr>
            </w:pPr>
            <w:r>
              <w:rPr>
                <w:rFonts w:hint="default" w:ascii="Times New Roman" w:hAnsi="Times New Roman" w:cs="Times New Roman"/>
                <w:color w:val="auto"/>
              </w:rPr>
              <w:t>②经振动筛筛分排出的泥浆成分送除泥除沙器和离心机进行泥沙分离，分离后的液相组分送至泥浆循环罐循环利用。</w:t>
            </w:r>
          </w:p>
          <w:p w14:paraId="2F528CA3">
            <w:pPr>
              <w:pStyle w:val="28"/>
              <w:bidi w:val="0"/>
              <w:rPr>
                <w:rFonts w:hint="default" w:ascii="Times New Roman" w:hAnsi="Times New Roman" w:cs="Times New Roman"/>
                <w:color w:val="auto"/>
              </w:rPr>
            </w:pPr>
            <w:r>
              <w:rPr>
                <w:rFonts w:hint="default" w:ascii="Times New Roman" w:hAnsi="Times New Roman" w:cs="Times New Roman"/>
                <w:color w:val="auto"/>
              </w:rPr>
              <w:t>③当除泥除砂器和离心机含液量较高时，分离物进入缓冲罐中，汇同岩屑甩干机产生的液相泵送入高速变频离心机中，进行二次固液分离，固相存放于岩屑收集罐，液相进入储备罐用于重新配制泥浆。</w:t>
            </w:r>
          </w:p>
          <w:p w14:paraId="467F1EDA">
            <w:pPr>
              <w:pStyle w:val="28"/>
              <w:bidi w:val="0"/>
              <w:rPr>
                <w:rFonts w:hint="default" w:ascii="Times New Roman" w:hAnsi="Times New Roman" w:cs="Times New Roman"/>
                <w:color w:val="auto"/>
              </w:rPr>
            </w:pPr>
            <w:r>
              <w:rPr>
                <w:rFonts w:hint="default" w:ascii="Times New Roman" w:hAnsi="Times New Roman" w:cs="Times New Roman"/>
                <w:color w:val="auto"/>
              </w:rPr>
              <w:t>④岩屑收集罐内的岩屑和钻井结束后剩余的钻井泥浆交由</w:t>
            </w:r>
            <w:r>
              <w:rPr>
                <w:rFonts w:hint="eastAsia" w:ascii="Times New Roman" w:hAnsi="Times New Roman" w:cs="Times New Roman"/>
                <w:color w:val="auto"/>
                <w:lang w:val="en-US" w:eastAsia="zh-CN"/>
              </w:rPr>
              <w:t>陕西德禾鑫盛环保科技有限公司</w:t>
            </w:r>
            <w:r>
              <w:rPr>
                <w:rFonts w:hint="default" w:ascii="Times New Roman" w:hAnsi="Times New Roman" w:cs="Times New Roman"/>
                <w:color w:val="auto"/>
              </w:rPr>
              <w:t>处置。</w:t>
            </w:r>
          </w:p>
          <w:p w14:paraId="210D4AC4">
            <w:pPr>
              <w:pStyle w:val="28"/>
              <w:bidi w:val="0"/>
              <w:rPr>
                <w:rFonts w:hint="default" w:ascii="Times New Roman" w:hAnsi="Times New Roman" w:cs="Times New Roman"/>
                <w:color w:val="auto"/>
              </w:rPr>
            </w:pPr>
            <w:r>
              <w:rPr>
                <w:rFonts w:hint="default" w:ascii="Times New Roman" w:hAnsi="Times New Roman" w:cs="Times New Roman"/>
                <w:color w:val="auto"/>
              </w:rPr>
              <w:t>钻井过程中，井场作业区域地面全部铺设土工布进行地面防渗，井场内不开挖泥浆池，泥浆存于循环罐内，岩屑暂存在钢制收集罐内，储罐底部均铺设防渗布。施工期间在井场对钻井各环节产生的废弃泥浆收集，采取“铺设作业、带罐上岗”的模式作业，规范处理，井场作业完成3天内废弃钻井泥浆交由</w:t>
            </w:r>
            <w:r>
              <w:rPr>
                <w:rFonts w:hint="eastAsia" w:ascii="Times New Roman" w:hAnsi="Times New Roman" w:cs="Times New Roman"/>
                <w:color w:val="auto"/>
                <w:lang w:val="en-US" w:eastAsia="zh-CN"/>
              </w:rPr>
              <w:t>陕西德禾鑫盛环保科技有限公司</w:t>
            </w:r>
            <w:r>
              <w:rPr>
                <w:rFonts w:hint="default" w:ascii="Times New Roman" w:hAnsi="Times New Roman" w:cs="Times New Roman"/>
                <w:color w:val="auto"/>
              </w:rPr>
              <w:t>处置，对环境影响较小。废弃钻井泥浆在井场经罐车拉运至集中处理场地，谨防抛洒。</w:t>
            </w:r>
          </w:p>
          <w:p w14:paraId="6B436A6D">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②钻井岩屑</w:t>
            </w:r>
          </w:p>
          <w:p w14:paraId="57195B49">
            <w:pPr>
              <w:pStyle w:val="28"/>
              <w:bidi w:val="0"/>
              <w:rPr>
                <w:rFonts w:hint="default" w:ascii="Times New Roman" w:hAnsi="Times New Roman" w:cs="Times New Roman"/>
                <w:color w:val="auto"/>
              </w:rPr>
            </w:pPr>
            <w:r>
              <w:rPr>
                <w:rFonts w:hint="default" w:ascii="Times New Roman" w:hAnsi="Times New Roman" w:cs="Times New Roman"/>
                <w:color w:val="auto"/>
              </w:rPr>
              <w:t>钻井过程中，岩石被钻头破碎成岩屑，随着泥浆经循环泵带出井口，经地面的泥浆不落地系统处理分离，根据本地区同类项目工程经验，钻井岩屑中不含重金属和放射性含量物质，属于Ⅱ类一般固废，委托外运处置。本项目使用水基泥浆，钻井岩屑按照《榆林市油（气）开采废弃物处置环保暂行管理办法》（榆政环发〔2015〕170号）的相关要求进行收集。</w:t>
            </w:r>
          </w:p>
          <w:p w14:paraId="33735908">
            <w:pPr>
              <w:pStyle w:val="2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③依托可行性分析</w:t>
            </w:r>
          </w:p>
          <w:p w14:paraId="3917AE3D">
            <w:pPr>
              <w:pStyle w:val="28"/>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本项目产生的废弃钻井泥浆、钻井岩屑交由</w:t>
            </w:r>
            <w:r>
              <w:rPr>
                <w:rFonts w:hint="default" w:ascii="Times New Roman" w:hAnsi="Times New Roman" w:eastAsia="宋体" w:cs="Times New Roman"/>
                <w:color w:val="auto"/>
                <w:lang w:eastAsia="zh-CN"/>
              </w:rPr>
              <w:t>陕西</w:t>
            </w:r>
            <w:r>
              <w:rPr>
                <w:rFonts w:hint="eastAsia" w:ascii="Times New Roman" w:hAnsi="Times New Roman" w:eastAsia="宋体" w:cs="Times New Roman"/>
                <w:color w:val="auto"/>
                <w:lang w:val="en-US" w:eastAsia="zh-CN"/>
              </w:rPr>
              <w:t>德禾鑫盛环保科技</w:t>
            </w:r>
            <w:r>
              <w:rPr>
                <w:rFonts w:hint="default" w:ascii="Times New Roman" w:hAnsi="Times New Roman" w:eastAsia="宋体" w:cs="Times New Roman"/>
                <w:color w:val="auto"/>
                <w:lang w:eastAsia="zh-CN"/>
              </w:rPr>
              <w:t>有限公司</w:t>
            </w:r>
            <w:r>
              <w:rPr>
                <w:rFonts w:hint="default" w:ascii="Times New Roman" w:hAnsi="Times New Roman" w:cs="Times New Roman"/>
                <w:color w:val="auto"/>
              </w:rPr>
              <w:t>处置</w:t>
            </w:r>
            <w:r>
              <w:rPr>
                <w:rFonts w:hint="default" w:ascii="Times New Roman" w:hAnsi="Times New Roman" w:cs="Times New Roman"/>
                <w:color w:val="auto"/>
                <w:lang w:val="en-US" w:eastAsia="zh-CN"/>
              </w:rPr>
              <w:t>。</w:t>
            </w:r>
          </w:p>
          <w:p w14:paraId="7E75DC0D">
            <w:pPr>
              <w:pStyle w:val="28"/>
              <w:bidi w:val="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本项目产生的废弃钻井泥浆、钻井岩屑交由</w:t>
            </w:r>
            <w:r>
              <w:rPr>
                <w:rFonts w:hint="default" w:ascii="Times New Roman" w:hAnsi="Times New Roman" w:eastAsia="宋体" w:cs="Times New Roman"/>
                <w:color w:val="auto"/>
                <w:lang w:eastAsia="zh-CN"/>
              </w:rPr>
              <w:t>陕西</w:t>
            </w:r>
            <w:r>
              <w:rPr>
                <w:rFonts w:hint="eastAsia" w:ascii="Times New Roman" w:hAnsi="Times New Roman" w:eastAsia="宋体" w:cs="Times New Roman"/>
                <w:color w:val="auto"/>
                <w:lang w:val="en-US" w:eastAsia="zh-CN"/>
              </w:rPr>
              <w:t>德禾鑫盛环保科技</w:t>
            </w:r>
            <w:r>
              <w:rPr>
                <w:rFonts w:hint="default" w:ascii="Times New Roman" w:hAnsi="Times New Roman" w:eastAsia="宋体" w:cs="Times New Roman"/>
                <w:color w:val="auto"/>
                <w:lang w:eastAsia="zh-CN"/>
              </w:rPr>
              <w:t>有限公司</w:t>
            </w:r>
            <w:r>
              <w:rPr>
                <w:rFonts w:hint="default" w:ascii="Times New Roman" w:hAnsi="Times New Roman" w:cs="Times New Roman"/>
                <w:color w:val="auto"/>
              </w:rPr>
              <w:t>处置</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eastAsia="zh-CN"/>
              </w:rPr>
              <w:t>陕西</w:t>
            </w:r>
            <w:r>
              <w:rPr>
                <w:rFonts w:hint="eastAsia" w:ascii="Times New Roman" w:hAnsi="Times New Roman" w:eastAsia="宋体" w:cs="Times New Roman"/>
                <w:color w:val="auto"/>
                <w:lang w:val="en-US" w:eastAsia="zh-CN"/>
              </w:rPr>
              <w:t>德禾鑫盛环保科技</w:t>
            </w:r>
            <w:r>
              <w:rPr>
                <w:rFonts w:hint="default" w:ascii="Times New Roman" w:hAnsi="Times New Roman" w:eastAsia="宋体" w:cs="Times New Roman"/>
                <w:color w:val="auto"/>
                <w:lang w:eastAsia="zh-CN"/>
              </w:rPr>
              <w:t>有限公司</w:t>
            </w:r>
            <w:r>
              <w:rPr>
                <w:rFonts w:hint="eastAsia" w:ascii="Times New Roman" w:hAnsi="Times New Roman" w:cs="Times New Roman"/>
                <w:color w:val="auto"/>
                <w:lang w:val="en-US" w:eastAsia="zh-CN"/>
              </w:rPr>
              <w:t>处置能力范围涵盖废弃钻井泥浆、岩屑等。</w:t>
            </w:r>
          </w:p>
          <w:p w14:paraId="582F3E86">
            <w:pPr>
              <w:pStyle w:val="28"/>
              <w:bidi w:val="0"/>
              <w:rPr>
                <w:rFonts w:hint="default" w:ascii="Times New Roman" w:hAnsi="Times New Roman" w:cs="Times New Roman"/>
                <w:color w:val="auto"/>
              </w:rPr>
            </w:pPr>
            <w:r>
              <w:rPr>
                <w:rFonts w:hint="default" w:ascii="Times New Roman" w:hAnsi="Times New Roman" w:eastAsia="宋体" w:cs="Times New Roman"/>
                <w:color w:val="auto"/>
                <w:lang w:eastAsia="zh-CN"/>
              </w:rPr>
              <w:t>陕西</w:t>
            </w:r>
            <w:r>
              <w:rPr>
                <w:rFonts w:hint="eastAsia" w:ascii="Times New Roman" w:hAnsi="Times New Roman" w:eastAsia="宋体" w:cs="Times New Roman"/>
                <w:color w:val="auto"/>
                <w:lang w:val="en-US" w:eastAsia="zh-CN"/>
              </w:rPr>
              <w:t>德禾鑫盛环保科技</w:t>
            </w:r>
            <w:r>
              <w:rPr>
                <w:rFonts w:hint="default" w:ascii="Times New Roman" w:hAnsi="Times New Roman" w:eastAsia="宋体" w:cs="Times New Roman"/>
                <w:color w:val="auto"/>
                <w:lang w:eastAsia="zh-CN"/>
              </w:rPr>
              <w:t>有限公司</w:t>
            </w:r>
            <w:r>
              <w:rPr>
                <w:rFonts w:hint="default" w:ascii="Times New Roman" w:hAnsi="Times New Roman" w:cs="Times New Roman"/>
                <w:color w:val="auto"/>
                <w:lang w:val="en-US" w:eastAsia="zh-CN"/>
              </w:rPr>
              <w:t>位于</w:t>
            </w:r>
            <w:r>
              <w:rPr>
                <w:rFonts w:hint="eastAsia" w:ascii="Times New Roman" w:hAnsi="Times New Roman" w:cs="Times New Roman"/>
                <w:color w:val="auto"/>
                <w:lang w:val="en-US" w:eastAsia="zh-CN"/>
              </w:rPr>
              <w:t>榆林市佳县刘国具镇斗范梁村</w:t>
            </w:r>
            <w:r>
              <w:rPr>
                <w:rFonts w:hint="default" w:ascii="Times New Roman" w:hAnsi="Times New Roman" w:cs="Times New Roman"/>
                <w:color w:val="auto"/>
                <w:lang w:val="en-US" w:eastAsia="zh-CN"/>
              </w:rPr>
              <w:t>，设计</w:t>
            </w:r>
            <w:r>
              <w:rPr>
                <w:rFonts w:hint="eastAsia" w:ascii="Times New Roman" w:hAnsi="Times New Roman" w:cs="Times New Roman"/>
                <w:color w:val="auto"/>
                <w:lang w:val="en-US" w:eastAsia="zh-CN"/>
              </w:rPr>
              <w:t>年固体废物</w:t>
            </w:r>
            <w:r>
              <w:rPr>
                <w:rFonts w:hint="default" w:ascii="Times New Roman" w:hAnsi="Times New Roman" w:cs="Times New Roman"/>
                <w:color w:val="auto"/>
                <w:lang w:val="en-US" w:eastAsia="zh-CN"/>
              </w:rPr>
              <w:t>处置</w:t>
            </w:r>
            <w:r>
              <w:rPr>
                <w:rFonts w:hint="eastAsia" w:ascii="Times New Roman" w:hAnsi="Times New Roman" w:cs="Times New Roman"/>
                <w:color w:val="auto"/>
                <w:lang w:val="en-US" w:eastAsia="zh-CN"/>
              </w:rPr>
              <w:t>能力</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88</w:t>
            </w:r>
            <w:r>
              <w:rPr>
                <w:rFonts w:hint="default" w:ascii="Times New Roman" w:hAnsi="Times New Roman" w:cs="Times New Roman"/>
                <w:color w:val="auto"/>
                <w:lang w:val="en-US" w:eastAsia="zh-CN"/>
              </w:rPr>
              <w:t>万</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，其中</w:t>
            </w:r>
            <w:r>
              <w:rPr>
                <w:rFonts w:hint="eastAsia" w:ascii="Times New Roman" w:hAnsi="Times New Roman" w:cs="Times New Roman"/>
                <w:color w:val="auto"/>
                <w:lang w:val="en-US" w:eastAsia="zh-CN"/>
              </w:rPr>
              <w:t>钻井废弃物置量5</w:t>
            </w:r>
            <w:r>
              <w:rPr>
                <w:rFonts w:hint="default" w:ascii="Times New Roman" w:hAnsi="Times New Roman" w:cs="Times New Roman"/>
                <w:color w:val="auto"/>
                <w:lang w:val="en-US" w:eastAsia="zh-CN"/>
              </w:rPr>
              <w:t>万</w:t>
            </w:r>
            <w:r>
              <w:rPr>
                <w:rFonts w:hint="eastAsia" w:ascii="Times New Roman" w:hAnsi="Times New Roman" w:cs="Times New Roman"/>
                <w:color w:val="auto"/>
                <w:lang w:val="en-US" w:eastAsia="zh-CN"/>
              </w:rPr>
              <w:t>t</w:t>
            </w:r>
            <w:r>
              <w:rPr>
                <w:rFonts w:hint="eastAsia" w:ascii="Times New Roman" w:hAnsi="Times New Roman" w:cs="Times New Roman"/>
                <w:color w:val="auto"/>
                <w:vertAlign w:val="baseline"/>
                <w:lang w:val="en-US" w:eastAsia="zh-CN"/>
              </w:rPr>
              <w: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岩屑</w:t>
            </w:r>
            <w:r>
              <w:rPr>
                <w:rFonts w:hint="eastAsia" w:ascii="Times New Roman" w:hAnsi="Times New Roman" w:cs="Times New Roman"/>
                <w:color w:val="auto"/>
                <w:lang w:val="en-US" w:eastAsia="zh-CN"/>
              </w:rPr>
              <w:t>处理</w:t>
            </w:r>
            <w:r>
              <w:rPr>
                <w:rFonts w:hint="default" w:ascii="Times New Roman" w:hAnsi="Times New Roman" w:cs="Times New Roman"/>
                <w:color w:val="auto"/>
                <w:lang w:val="en-US" w:eastAsia="zh-CN"/>
              </w:rPr>
              <w:t>量</w:t>
            </w:r>
            <w:r>
              <w:rPr>
                <w:rFonts w:hint="eastAsia" w:ascii="Times New Roman" w:hAnsi="Times New Roman" w:cs="Times New Roman"/>
                <w:color w:val="auto"/>
                <w:lang w:val="en-US" w:eastAsia="zh-CN"/>
              </w:rPr>
              <w:t>25</w:t>
            </w:r>
            <w:r>
              <w:rPr>
                <w:rFonts w:hint="default" w:ascii="Times New Roman" w:hAnsi="Times New Roman" w:cs="Times New Roman"/>
                <w:color w:val="auto"/>
                <w:lang w:val="en-US" w:eastAsia="zh-CN"/>
              </w:rPr>
              <w:t>万</w:t>
            </w:r>
            <w:r>
              <w:rPr>
                <w:rFonts w:hint="eastAsia" w:ascii="Times New Roman" w:hAnsi="Times New Roman" w:cs="Times New Roman"/>
                <w:color w:val="auto"/>
                <w:lang w:val="en-US" w:eastAsia="zh-CN"/>
              </w:rPr>
              <w:t>t</w:t>
            </w:r>
            <w:r>
              <w:rPr>
                <w:rFonts w:hint="eastAsia" w:ascii="Times New Roman" w:hAnsi="Times New Roman" w:cs="Times New Roman"/>
                <w:color w:val="auto"/>
                <w:vertAlign w:val="baseline"/>
                <w:lang w:val="en-US" w:eastAsia="zh-CN"/>
              </w:rPr>
              <w:t>/a</w:t>
            </w:r>
            <w:r>
              <w:rPr>
                <w:rFonts w:hint="default" w:ascii="Times New Roman" w:hAnsi="Times New Roman" w:cs="Times New Roman"/>
                <w:color w:val="auto"/>
                <w:lang w:val="en-US" w:eastAsia="zh-CN"/>
              </w:rPr>
              <w:t>。</w:t>
            </w:r>
            <w:r>
              <w:rPr>
                <w:rFonts w:hint="default" w:ascii="Times New Roman" w:hAnsi="Times New Roman" w:cs="Times New Roman"/>
                <w:color w:val="auto"/>
              </w:rPr>
              <w:t>该</w:t>
            </w:r>
            <w:r>
              <w:rPr>
                <w:rFonts w:hint="eastAsia" w:ascii="Times New Roman" w:hAnsi="Times New Roman" w:eastAsia="宋体" w:cs="Times New Roman"/>
                <w:color w:val="auto"/>
                <w:lang w:val="en-US" w:eastAsia="zh-CN"/>
              </w:rPr>
              <w:t>项目</w:t>
            </w:r>
            <w:r>
              <w:rPr>
                <w:rFonts w:hint="default" w:ascii="Times New Roman" w:hAnsi="Times New Roman" w:cs="Times New Roman"/>
                <w:color w:val="auto"/>
              </w:rPr>
              <w:t>于202</w:t>
            </w:r>
            <w:r>
              <w:rPr>
                <w:rFonts w:hint="eastAsia" w:ascii="Times New Roman" w:hAnsi="Times New Roman" w:cs="Times New Roman"/>
                <w:color w:val="auto"/>
                <w:lang w:val="en-US" w:eastAsia="zh-CN"/>
              </w:rPr>
              <w:t>3</w:t>
            </w:r>
            <w:r>
              <w:rPr>
                <w:rFonts w:hint="default" w:ascii="Times New Roman" w:hAnsi="Times New Roman" w:cs="Times New Roman"/>
                <w:color w:val="auto"/>
              </w:rPr>
              <w:t>年取得榆林市行政审批服务局环评批复文件（榆政审批生态发</w:t>
            </w:r>
            <w:r>
              <w:rPr>
                <w:rFonts w:hint="default" w:ascii="Times New Roman" w:hAnsi="Times New Roman" w:eastAsia="宋体" w:cs="Times New Roman"/>
                <w:color w:val="auto"/>
              </w:rPr>
              <w:t>〔</w:t>
            </w:r>
            <w:r>
              <w:rPr>
                <w:rFonts w:hint="default" w:ascii="Times New Roman" w:hAnsi="Times New Roman" w:cs="Times New Roman"/>
                <w:color w:val="auto"/>
              </w:rPr>
              <w:t>202</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74</w:t>
            </w:r>
            <w:r>
              <w:rPr>
                <w:rFonts w:hint="default" w:ascii="Times New Roman" w:hAnsi="Times New Roman" w:cs="Times New Roman"/>
                <w:color w:val="auto"/>
              </w:rPr>
              <w:t>号）</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2024年3月18日取得排污许可证，2024年4月19日通过竣工环境保护验收</w:t>
            </w:r>
            <w:r>
              <w:rPr>
                <w:rFonts w:hint="eastAsia" w:ascii="Times New Roman" w:hAnsi="Times New Roman" w:eastAsia="宋体" w:cs="Times New Roman"/>
                <w:color w:val="auto"/>
                <w:lang w:eastAsia="zh-CN"/>
              </w:rPr>
              <w:t>。</w:t>
            </w:r>
          </w:p>
          <w:p w14:paraId="1894B3F1">
            <w:pPr>
              <w:pStyle w:val="28"/>
              <w:bidi w:val="0"/>
              <w:ind w:left="0" w:leftChars="0" w:firstLine="0" w:firstLineChars="0"/>
              <w:jc w:val="center"/>
              <w:rPr>
                <w:rFonts w:hint="default" w:ascii="Times New Roman" w:hAnsi="Times New Roman" w:cs="Times New Roman"/>
                <w:color w:val="auto"/>
              </w:rPr>
            </w:pPr>
            <w:r>
              <w:rPr>
                <w:rFonts w:hint="eastAsia" w:ascii="Times New Roman" w:hAnsi="Times New Roman" w:eastAsia="宋体" w:cs="Times New Roman"/>
                <w:color w:val="auto"/>
                <w:lang w:eastAsia="zh-CN"/>
              </w:rPr>
              <w:object>
                <v:shape id="_x0000_i1029" o:spt="75" type="#_x0000_t75" style="height:279pt;width:267pt;" o:ole="t" filled="f" o:preferrelative="t" stroked="f" coordsize="21600,21600">
                  <v:path/>
                  <v:fill on="f" focussize="0,0"/>
                  <v:stroke on="f"/>
                  <v:imagedata r:id="rId29" o:title=""/>
                  <o:lock v:ext="edit" aspectratio="f"/>
                  <w10:wrap type="none"/>
                  <w10:anchorlock/>
                </v:shape>
                <o:OLEObject Type="Embed" ProgID="Visio.Drawing.11" ShapeID="_x0000_i1029" DrawAspect="Content" ObjectID="_1468075729" r:id="rId28">
                  <o:LockedField>false</o:LockedField>
                </o:OLEObject>
              </w:object>
            </w:r>
          </w:p>
          <w:p w14:paraId="41757145">
            <w:pPr>
              <w:pStyle w:val="28"/>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5-</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lang w:eastAsia="zh-CN"/>
              </w:rPr>
              <w:t xml:space="preserve">  陕西</w:t>
            </w:r>
            <w:r>
              <w:rPr>
                <w:rFonts w:hint="eastAsia" w:ascii="Times New Roman" w:hAnsi="Times New Roman" w:cs="Times New Roman"/>
                <w:b/>
                <w:bCs/>
                <w:color w:val="auto"/>
                <w:sz w:val="21"/>
                <w:szCs w:val="21"/>
                <w:lang w:val="en-US" w:eastAsia="zh-CN"/>
              </w:rPr>
              <w:t>德禾鑫盛环保科技</w:t>
            </w:r>
            <w:r>
              <w:rPr>
                <w:rFonts w:hint="default" w:ascii="Times New Roman" w:hAnsi="Times New Roman" w:cs="Times New Roman"/>
                <w:b/>
                <w:bCs/>
                <w:color w:val="auto"/>
                <w:sz w:val="21"/>
                <w:szCs w:val="21"/>
                <w:lang w:eastAsia="zh-CN"/>
              </w:rPr>
              <w:t>有限公司工艺流程图</w:t>
            </w:r>
          </w:p>
          <w:p w14:paraId="08130321">
            <w:pPr>
              <w:pStyle w:val="28"/>
              <w:bidi w:val="0"/>
              <w:rPr>
                <w:rFonts w:hint="default" w:ascii="Times New Roman" w:hAnsi="Times New Roman" w:cs="Times New Roman"/>
                <w:color w:val="auto"/>
              </w:rPr>
            </w:pPr>
            <w:r>
              <w:rPr>
                <w:rFonts w:hint="default" w:ascii="Times New Roman" w:hAnsi="Times New Roman" w:cs="Times New Roman"/>
                <w:color w:val="auto"/>
              </w:rPr>
              <w:t>本项目施工期产生的钻井岩屑为</w:t>
            </w:r>
            <w:r>
              <w:rPr>
                <w:rFonts w:hint="eastAsia" w:ascii="Times New Roman" w:hAnsi="Times New Roman" w:cs="Times New Roman"/>
                <w:color w:val="auto"/>
                <w:lang w:val="en-US" w:eastAsia="zh-CN"/>
              </w:rPr>
              <w:t>3017.62</w:t>
            </w:r>
            <w:r>
              <w:rPr>
                <w:rFonts w:hint="default" w:ascii="Times New Roman" w:hAnsi="Times New Roman" w:cs="Times New Roman"/>
                <w:color w:val="auto"/>
                <w:lang w:val="en-US" w:eastAsia="zh-CN"/>
              </w:rPr>
              <w:t>t，废弃</w:t>
            </w:r>
            <w:r>
              <w:rPr>
                <w:rFonts w:hint="default" w:ascii="Times New Roman" w:hAnsi="Times New Roman" w:cs="Times New Roman"/>
                <w:color w:val="auto"/>
              </w:rPr>
              <w:t>钻井</w:t>
            </w:r>
            <w:r>
              <w:rPr>
                <w:rFonts w:hint="eastAsia" w:ascii="Times New Roman" w:hAnsi="Times New Roman" w:eastAsia="宋体" w:cs="Times New Roman"/>
                <w:color w:val="auto"/>
                <w:lang w:val="en-US" w:eastAsia="zh-CN"/>
              </w:rPr>
              <w:t>泥浆</w:t>
            </w:r>
            <w:r>
              <w:rPr>
                <w:rFonts w:hint="default" w:ascii="Times New Roman" w:hAnsi="Times New Roman" w:cs="Times New Roman"/>
                <w:color w:val="auto"/>
              </w:rPr>
              <w:t>为</w:t>
            </w:r>
            <w:r>
              <w:rPr>
                <w:rFonts w:hint="eastAsia" w:ascii="Times New Roman" w:hAnsi="Times New Roman" w:cs="Times New Roman"/>
                <w:color w:val="auto"/>
                <w:lang w:val="en-US" w:eastAsia="zh-CN"/>
              </w:rPr>
              <w:t>106.17</w:t>
            </w:r>
            <w:r>
              <w:rPr>
                <w:rFonts w:hint="default" w:ascii="Times New Roman" w:hAnsi="Times New Roman" w:cs="Times New Roman"/>
                <w:color w:val="auto"/>
                <w:lang w:val="en-US" w:eastAsia="zh-CN"/>
              </w:rPr>
              <w:t>t</w:t>
            </w:r>
            <w:r>
              <w:rPr>
                <w:rFonts w:hint="default" w:ascii="Times New Roman" w:hAnsi="Times New Roman" w:cs="Times New Roman"/>
                <w:color w:val="auto"/>
              </w:rPr>
              <w:t>，该填埋场能力能够满足本项目需求，依托可行。</w:t>
            </w:r>
          </w:p>
          <w:p w14:paraId="45330B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（3）废机油</w:t>
            </w:r>
          </w:p>
          <w:p w14:paraId="226A5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主要来源于清洗钻具、套管时产生的废机油，暂存于危废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，委托有资质的单位进行处置。</w:t>
            </w:r>
          </w:p>
          <w:p w14:paraId="7BA29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（4）生活垃圾</w:t>
            </w:r>
          </w:p>
          <w:p w14:paraId="34F0C9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探井人员生活垃圾由生活垃圾桶收集，委托当地环卫部门清运处置。</w:t>
            </w:r>
          </w:p>
          <w:p w14:paraId="0002CF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（5）废纯碱、膨润土包装袋</w:t>
            </w:r>
            <w:r>
              <w:rPr>
                <w:rFonts w:hint="eastAsia" w:ascii="Times New Roman" w:hAnsi="Times New Roman" w:eastAsia="宋体" w:cs="Times New Roman"/>
                <w:b/>
                <w:bCs/>
                <w:color w:val="auto"/>
                <w:sz w:val="24"/>
                <w:szCs w:val="24"/>
                <w:vertAlign w:val="baseline"/>
                <w:lang w:val="en-US" w:eastAsia="zh-CN"/>
              </w:rPr>
              <w:t>、不含油废防渗布</w:t>
            </w:r>
          </w:p>
          <w:p w14:paraId="5D1261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废纯碱、膨润土包装袋</w:t>
            </w:r>
            <w:r>
              <w:rPr>
                <w:rFonts w:hint="eastAsia" w:ascii="Times New Roman" w:hAnsi="Times New Roman" w:eastAsia="宋体" w:cs="Times New Roman"/>
                <w:b w:val="0"/>
                <w:bCs w:val="0"/>
                <w:color w:val="auto"/>
                <w:sz w:val="24"/>
                <w:szCs w:val="24"/>
                <w:vertAlign w:val="baseline"/>
                <w:lang w:val="en-US" w:eastAsia="zh-CN"/>
              </w:rPr>
              <w:t>、不含油废防渗布</w:t>
            </w:r>
            <w:r>
              <w:rPr>
                <w:rFonts w:hint="default" w:ascii="Times New Roman" w:hAnsi="Times New Roman" w:eastAsia="宋体" w:cs="Times New Roman"/>
                <w:b w:val="0"/>
                <w:bCs w:val="0"/>
                <w:color w:val="auto"/>
                <w:sz w:val="24"/>
                <w:szCs w:val="24"/>
                <w:vertAlign w:val="baseline"/>
                <w:lang w:val="en-US" w:eastAsia="zh-CN"/>
              </w:rPr>
              <w:t>集中收集后交由物资回收公司进行回收再利用。</w:t>
            </w:r>
          </w:p>
          <w:p w14:paraId="43E98E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w:t>
            </w:r>
            <w:r>
              <w:rPr>
                <w:rFonts w:hint="eastAsia" w:ascii="Times New Roman" w:hAnsi="Times New Roman" w:eastAsia="宋体" w:cs="Times New Roman"/>
                <w:b/>
                <w:bCs/>
                <w:color w:val="auto"/>
                <w:sz w:val="24"/>
                <w:szCs w:val="24"/>
                <w:vertAlign w:val="baseline"/>
                <w:lang w:val="en-US" w:eastAsia="zh-CN"/>
              </w:rPr>
              <w:t>含油废防渗布</w:t>
            </w:r>
          </w:p>
          <w:p w14:paraId="1CBFF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废防渗膜未沾染危险废物的井场集中收集后，交由物资回收公司进行回收再利用；沾染危险废物的井场集中收集后，暂存于危废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，委托有资质单位进行处置。</w:t>
            </w:r>
          </w:p>
          <w:p w14:paraId="70AE1E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（7）放喷废液</w:t>
            </w:r>
          </w:p>
          <w:p w14:paraId="4496B1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放喷废液主要为随放喷气体带出的洗井废水及放喷燃烧冷凝水，收集后暂存于放喷收集罐内，工艺完成后，做回收处理（试气专门有回收车拉运）。</w:t>
            </w:r>
          </w:p>
          <w:p w14:paraId="788EB3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贮存要求：</w:t>
            </w:r>
          </w:p>
          <w:p w14:paraId="49C569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为防止危险废物在场内临时存储过程中对环境产生污染影响，根据《危险废物贮存污染控制标准》（GB18597-2023）的相关内容，本次评价要求：</w:t>
            </w:r>
          </w:p>
          <w:p w14:paraId="0036E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①按照危险废物贮存污染控制标准要求，废机油、沾染危险废物的废防渗膜采用专用的容器存放，并置于专用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，防止风吹雨淋和日晒。</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设立危险废物警示标志，由专人进行管理，做好危险废物排放量及处置记录。</w:t>
            </w:r>
          </w:p>
          <w:p w14:paraId="00A841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②项目采用撬装式</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内部防渗，</w:t>
            </w:r>
            <w:r>
              <w:rPr>
                <w:rFonts w:hint="default" w:ascii="Times New Roman" w:hAnsi="Times New Roman" w:eastAsia="宋体" w:cs="Times New Roman"/>
                <w:b w:val="0"/>
                <w:bCs w:val="0"/>
                <w:color w:val="auto"/>
                <w:sz w:val="24"/>
                <w:szCs w:val="24"/>
                <w:vertAlign w:val="baseline"/>
                <w:lang w:val="en-US" w:eastAsia="zh-CN"/>
              </w:rPr>
              <w:t>可满足《危险废物贮存污染控制标准》（GB18597-2023）的相关要求，防渗层渗透系数小于1×10</w:t>
            </w:r>
            <w:r>
              <w:rPr>
                <w:rFonts w:hint="default" w:ascii="Times New Roman" w:hAnsi="Times New Roman" w:eastAsia="宋体" w:cs="Times New Roman"/>
                <w:b w:val="0"/>
                <w:bCs w:val="0"/>
                <w:color w:val="auto"/>
                <w:sz w:val="24"/>
                <w:szCs w:val="24"/>
                <w:vertAlign w:val="superscript"/>
                <w:lang w:val="en-US" w:eastAsia="zh-CN"/>
              </w:rPr>
              <w:t>-10</w:t>
            </w:r>
            <w:r>
              <w:rPr>
                <w:rFonts w:hint="default" w:ascii="Times New Roman" w:hAnsi="Times New Roman" w:eastAsia="宋体" w:cs="Times New Roman"/>
                <w:b w:val="0"/>
                <w:bCs w:val="0"/>
                <w:color w:val="auto"/>
                <w:sz w:val="24"/>
                <w:szCs w:val="24"/>
                <w:vertAlign w:val="baseline"/>
                <w:lang w:val="en-US" w:eastAsia="zh-CN"/>
              </w:rPr>
              <w:t>cm/s</w:t>
            </w:r>
            <w:r>
              <w:rPr>
                <w:rFonts w:hint="eastAsia" w:ascii="Times New Roman" w:hAnsi="Times New Roman" w:eastAsia="宋体" w:cs="Times New Roman"/>
                <w:b w:val="0"/>
                <w:bCs w:val="0"/>
                <w:color w:val="auto"/>
                <w:sz w:val="24"/>
                <w:szCs w:val="24"/>
                <w:vertAlign w:val="baseline"/>
                <w:lang w:val="en-US" w:eastAsia="zh-CN"/>
              </w:rPr>
              <w:t>；</w:t>
            </w:r>
          </w:p>
          <w:p w14:paraId="28F27F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③对装有危废的容器进行定期检查，容器泄漏损坏时必须立即处理，并将危废装入完好容器内</w:t>
            </w:r>
            <w:r>
              <w:rPr>
                <w:rFonts w:hint="eastAsia" w:ascii="Times New Roman" w:hAnsi="Times New Roman" w:eastAsia="宋体" w:cs="Times New Roman"/>
                <w:b w:val="0"/>
                <w:bCs w:val="0"/>
                <w:color w:val="auto"/>
                <w:sz w:val="24"/>
                <w:szCs w:val="24"/>
                <w:vertAlign w:val="baseline"/>
                <w:lang w:val="en-US" w:eastAsia="zh-CN"/>
              </w:rPr>
              <w:t>；</w:t>
            </w:r>
          </w:p>
          <w:p w14:paraId="5A94E7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④危险废物贮存过程中在下部设置防渗托盘，可有效防止危险废物泄漏至外界；</w:t>
            </w:r>
          </w:p>
          <w:p w14:paraId="617682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危险废物的转移应遵从《危险废物转移管理办法》（生态环境部公安部交通运输部部令第23号）及其它有关规定的要求。评价要求企业在勘探结束后需立即委托资质单位接收、转移勘探期间产生的危险废物，不得私自转运至其他井场</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储存</w:t>
            </w:r>
            <w:r>
              <w:rPr>
                <w:rFonts w:hint="eastAsia" w:ascii="Times New Roman" w:hAnsi="Times New Roman" w:eastAsia="宋体" w:cs="Times New Roman"/>
                <w:b w:val="0"/>
                <w:bCs w:val="0"/>
                <w:color w:val="auto"/>
                <w:sz w:val="24"/>
                <w:szCs w:val="24"/>
                <w:vertAlign w:val="baseline"/>
                <w:lang w:val="en-US" w:eastAsia="zh-CN"/>
              </w:rPr>
              <w:t>；</w:t>
            </w:r>
          </w:p>
          <w:p w14:paraId="5A2E16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⑥危险废物转移建立台账，并且按照相关规定要求进行申报。固体废物规范运输的管理要求</w:t>
            </w:r>
            <w:r>
              <w:rPr>
                <w:rFonts w:hint="eastAsia" w:ascii="Times New Roman" w:hAnsi="Times New Roman" w:eastAsia="宋体" w:cs="Times New Roman"/>
                <w:b w:val="0"/>
                <w:bCs w:val="0"/>
                <w:color w:val="auto"/>
                <w:sz w:val="24"/>
                <w:szCs w:val="24"/>
                <w:vertAlign w:val="baseline"/>
                <w:lang w:val="en-US" w:eastAsia="zh-CN"/>
              </w:rPr>
              <w:t>。</w:t>
            </w:r>
          </w:p>
          <w:p w14:paraId="0E13B4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一般固废转运要求：</w:t>
            </w:r>
          </w:p>
          <w:p w14:paraId="75104F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①合理规划固体废物运输路线，选择人员稀少的路线，并减少鸣笛，以减轻对周边居民的影响</w:t>
            </w:r>
            <w:r>
              <w:rPr>
                <w:rFonts w:hint="eastAsia" w:ascii="Times New Roman" w:hAnsi="Times New Roman" w:eastAsia="宋体" w:cs="Times New Roman"/>
                <w:b w:val="0"/>
                <w:bCs w:val="0"/>
                <w:color w:val="auto"/>
                <w:sz w:val="24"/>
                <w:szCs w:val="24"/>
                <w:vertAlign w:val="baseline"/>
                <w:lang w:val="en-US" w:eastAsia="zh-CN"/>
              </w:rPr>
              <w:t>。</w:t>
            </w:r>
          </w:p>
          <w:p w14:paraId="6D7193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②项目产生的废弃岩屑、泥饼运输过程实施全程GPS定位及监控，严禁运输过程中随意掩埋、抛洒废弃钻井岩屑、泥饼；</w:t>
            </w:r>
          </w:p>
          <w:p w14:paraId="25DC15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③项目选择防渗漏、防溢流的运输车辆进行固体废物的运输。</w:t>
            </w:r>
          </w:p>
          <w:p w14:paraId="109BA7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综上所述，在加强施工过程固体废物管理的前提下，固体废物环境影响可以得到有效控制和治理，环境影响较小。</w:t>
            </w:r>
          </w:p>
          <w:p w14:paraId="196E3D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七、土壤环境保护措施</w:t>
            </w:r>
          </w:p>
          <w:p w14:paraId="221F27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项目施工过程中将产生施工垃圾、生活垃圾和污水，包括泥浆、废弃余料、施工人员的一次性餐具、饮料瓶等，若不及时收集或随意丢弃会使固废残留于土壤中，对井场附近土壤造成一定程度的污染。</w:t>
            </w:r>
          </w:p>
          <w:p w14:paraId="320506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因此，施工时必须对产生的固体废物实施严格管理措施，进行统一回收和处置，严禁就地固化掩埋、严禁随意堆放抛洒；洗井废水罐和压裂返排液罐储存区均应进行防渗处理，生产废水在井场内不落地、不外排，采取以上措施后，项目对周边土壤环境造成的影响较小。</w:t>
            </w:r>
          </w:p>
          <w:p w14:paraId="2864A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八、风险防范措施</w:t>
            </w:r>
          </w:p>
          <w:p w14:paraId="4934BE13">
            <w:pPr>
              <w:pStyle w:val="28"/>
              <w:keepNext w:val="0"/>
              <w:keepLines w:val="0"/>
              <w:pageBreakBefore w:val="0"/>
              <w:widowControl w:val="0"/>
              <w:kinsoku/>
              <w:wordWrap/>
              <w:overflowPunct/>
              <w:topLinePunct w:val="0"/>
              <w:autoSpaceDE/>
              <w:autoSpaceDN/>
              <w:bidi w:val="0"/>
              <w:adjustRightInd/>
              <w:snapToGrid/>
              <w:textAlignment w:val="auto"/>
              <w:rPr>
                <w:rFonts w:hint="eastAsia"/>
                <w:color w:val="auto"/>
              </w:rPr>
            </w:pPr>
            <w:r>
              <w:rPr>
                <w:rFonts w:hint="eastAsia"/>
                <w:color w:val="auto"/>
              </w:rPr>
              <w:t>项目拟采取的风险防范措施如下：</w:t>
            </w:r>
          </w:p>
          <w:p w14:paraId="4DF6BE1A">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收集罐渗漏及废水外溢的防范措施</w:t>
            </w:r>
          </w:p>
          <w:p w14:paraId="5625F22A">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①储罐设置应避开不良地质或岩土松散等地质结构不稳定的地方；</w:t>
            </w:r>
          </w:p>
          <w:p w14:paraId="396C2FEA">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②储罐储存区均进行防渗处理；</w:t>
            </w:r>
          </w:p>
          <w:p w14:paraId="166CAF7F">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③加强员工操作规范管理，尽量避免废水装车失误。装车过程若遇到废水泄漏，立即停止装车作业，减少废水泄漏量，并利用井场内的污水沟将泄漏废水收集至废水箱内，不外流。</w:t>
            </w:r>
          </w:p>
          <w:p w14:paraId="7DD84EBF">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井喷事故风险防范措施</w:t>
            </w:r>
          </w:p>
          <w:p w14:paraId="07FAAB53">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①钻井地质设计、工程设计和施工设计中应有井控和防有害气体的内容，并按标准要求提供相关资料。</w:t>
            </w:r>
          </w:p>
          <w:p w14:paraId="2AF7DD5E">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②在工程设计书中应有可操作性的安全（HSE）设计篇章。其安全（HSE）设计以国家有关法律、法规、国家标准、行业标准以及安全预评价报告和环境影响评价报告为设计依据。</w:t>
            </w:r>
          </w:p>
          <w:p w14:paraId="624C1F85">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③设计书必须按照有关审批程序进行严格审批。钻井承包商在未收到设计书前禁止组织施工。</w:t>
            </w:r>
          </w:p>
          <w:p w14:paraId="2C389C63">
            <w:pPr>
              <w:pStyle w:val="28"/>
              <w:bidi w:val="0"/>
              <w:rPr>
                <w:rFonts w:hint="default" w:ascii="Times New Roman" w:hAnsi="Times New Roman" w:cs="Times New Roman"/>
                <w:color w:val="auto"/>
              </w:rPr>
            </w:pPr>
            <w:r>
              <w:rPr>
                <w:rFonts w:hint="default" w:ascii="Times New Roman" w:hAnsi="Times New Roman" w:cs="Times New Roman"/>
                <w:color w:val="auto"/>
              </w:rPr>
              <w:t>④应利用各种作业所获得直接或间接地层压力数据进行数理统计分析资料，划分出不同地层压力区带，与邻井可比地层压力进行分析对比，提供地层压力预测或监测曲线（值），并对漏失层段、浅层气分布情况、油气水显示和其他复杂情况进行预告。</w:t>
            </w:r>
          </w:p>
          <w:p w14:paraId="1317E122">
            <w:pPr>
              <w:pStyle w:val="28"/>
              <w:bidi w:val="0"/>
              <w:rPr>
                <w:rFonts w:hint="default" w:ascii="Times New Roman" w:hAnsi="Times New Roman" w:cs="Times New Roman"/>
                <w:color w:val="auto"/>
              </w:rPr>
            </w:pPr>
            <w:r>
              <w:rPr>
                <w:rFonts w:hint="default" w:ascii="Times New Roman" w:hAnsi="Times New Roman" w:cs="Times New Roman"/>
                <w:color w:val="auto"/>
              </w:rPr>
              <w:t>⑤井场平面布置应按照《钻前工程及井场布置技术要求》（SY/T5466-2013）的规定进行设置，保证能满足井喷时人员和设备撤离的要求。</w:t>
            </w:r>
          </w:p>
          <w:p w14:paraId="171F5937">
            <w:pPr>
              <w:pStyle w:val="28"/>
              <w:bidi w:val="0"/>
              <w:rPr>
                <w:rFonts w:hint="default" w:ascii="Times New Roman" w:hAnsi="Times New Roman" w:cs="Times New Roman"/>
                <w:color w:val="auto"/>
              </w:rPr>
            </w:pPr>
            <w:r>
              <w:rPr>
                <w:rFonts w:hint="default" w:ascii="Times New Roman" w:hAnsi="Times New Roman" w:cs="Times New Roman"/>
                <w:color w:val="auto"/>
              </w:rPr>
              <w:t>⑥钻至天然气层前100m，应将可能发生的危害、安全事项、撤离程序等告知3km范围内人员。</w:t>
            </w:r>
          </w:p>
          <w:p w14:paraId="701A0517">
            <w:pPr>
              <w:pStyle w:val="28"/>
              <w:bidi w:val="0"/>
              <w:rPr>
                <w:rFonts w:hint="default" w:ascii="Times New Roman" w:hAnsi="Times New Roman" w:cs="Times New Roman"/>
                <w:color w:val="auto"/>
              </w:rPr>
            </w:pPr>
            <w:r>
              <w:rPr>
                <w:rFonts w:hint="default" w:ascii="Times New Roman" w:hAnsi="Times New Roman" w:cs="Times New Roman"/>
                <w:color w:val="auto"/>
              </w:rPr>
              <w:t>⑦应在钻井周边地区设置广播设施、警示牌和风向标，使周边居民在第一时间得知井喷事故发生时逃离危险区域。</w:t>
            </w:r>
          </w:p>
          <w:p w14:paraId="48FE270C">
            <w:pPr>
              <w:pStyle w:val="28"/>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井喷应急处理预案</w:t>
            </w:r>
          </w:p>
          <w:p w14:paraId="0D1FDE2A">
            <w:pPr>
              <w:pStyle w:val="28"/>
              <w:bidi w:val="0"/>
              <w:rPr>
                <w:rFonts w:hint="default" w:ascii="Times New Roman" w:hAnsi="Times New Roman" w:cs="Times New Roman"/>
                <w:color w:val="auto"/>
              </w:rPr>
            </w:pPr>
            <w:r>
              <w:rPr>
                <w:rFonts w:hint="default" w:ascii="Times New Roman" w:hAnsi="Times New Roman" w:cs="Times New Roman"/>
                <w:color w:val="auto"/>
              </w:rPr>
              <w:t>根据事态发展变化情况，事故现场抢险指挥部根据应急领导小组的指令并充分考虑专家和有关意见的基础上，依法采取紧急措施，并注意做好以下工作：</w:t>
            </w:r>
          </w:p>
          <w:p w14:paraId="42CE76B3">
            <w:pPr>
              <w:pStyle w:val="28"/>
              <w:bidi w:val="0"/>
              <w:rPr>
                <w:rFonts w:hint="default" w:ascii="Times New Roman" w:hAnsi="Times New Roman" w:cs="Times New Roman"/>
                <w:color w:val="auto"/>
              </w:rPr>
            </w:pPr>
            <w:r>
              <w:rPr>
                <w:rFonts w:hint="default" w:ascii="Times New Roman" w:hAnsi="Times New Roman" w:cs="Times New Roman"/>
                <w:color w:val="auto"/>
              </w:rPr>
              <w:t>①井喷失控后严防着火和爆炸。应立即停钻机、切断井架、钻台、机泵房等处全部照明灯和用电设备的电源，熄灭一切火源，需要时打开专用探照灯，并组织警戒。</w:t>
            </w:r>
          </w:p>
          <w:p w14:paraId="17B6E01F">
            <w:pPr>
              <w:pStyle w:val="28"/>
              <w:bidi w:val="0"/>
              <w:rPr>
                <w:rFonts w:hint="default" w:ascii="Times New Roman" w:hAnsi="Times New Roman" w:cs="Times New Roman"/>
                <w:color w:val="auto"/>
              </w:rPr>
            </w:pPr>
            <w:r>
              <w:rPr>
                <w:rFonts w:hint="default" w:ascii="Times New Roman" w:hAnsi="Times New Roman" w:cs="Times New Roman"/>
                <w:color w:val="auto"/>
              </w:rPr>
              <w:t>②立即向当地政府报告，通知3km范围内的厂矿企业立刻进行沿反方向进行撤离，协助当地政府作好井口500m范围内居民的疏散工作。</w:t>
            </w:r>
          </w:p>
          <w:p w14:paraId="273FCA76">
            <w:pPr>
              <w:pStyle w:val="28"/>
              <w:bidi w:val="0"/>
              <w:rPr>
                <w:rFonts w:hint="default" w:ascii="Times New Roman" w:hAnsi="Times New Roman" w:cs="Times New Roman"/>
                <w:color w:val="auto"/>
              </w:rPr>
            </w:pPr>
            <w:r>
              <w:rPr>
                <w:rFonts w:hint="default" w:ascii="Times New Roman" w:hAnsi="Times New Roman" w:cs="Times New Roman"/>
                <w:color w:val="auto"/>
              </w:rPr>
              <w:t>③设置观察点，定时取样，监测大气中的天然气、H</w:t>
            </w:r>
            <w:r>
              <w:rPr>
                <w:rFonts w:hint="default" w:ascii="Times New Roman" w:hAnsi="Times New Roman" w:cs="Times New Roman"/>
                <w:color w:val="auto"/>
                <w:vertAlign w:val="subscript"/>
              </w:rPr>
              <w:t>2</w:t>
            </w:r>
            <w:r>
              <w:rPr>
                <w:rFonts w:hint="default" w:ascii="Times New Roman" w:hAnsi="Times New Roman" w:cs="Times New Roman"/>
                <w:color w:val="auto"/>
              </w:rPr>
              <w:t>S和CO含量，划分安全范围。</w:t>
            </w:r>
          </w:p>
          <w:p w14:paraId="1B3FD991">
            <w:pPr>
              <w:pStyle w:val="28"/>
              <w:bidi w:val="0"/>
              <w:rPr>
                <w:rFonts w:hint="default" w:ascii="Times New Roman" w:hAnsi="Times New Roman" w:cs="Times New Roman"/>
                <w:color w:val="auto"/>
              </w:rPr>
            </w:pPr>
            <w:r>
              <w:rPr>
                <w:rFonts w:hint="default" w:ascii="Times New Roman" w:hAnsi="Times New Roman" w:cs="Times New Roman"/>
                <w:color w:val="auto"/>
              </w:rPr>
              <w:t>④迅速成立现场抢险领导小组，根据失控状况制定抢险方案，统一指挥、组织和协调抢险工作。抢险方案制订及实施，同时实施，防止出现次生环境事故。</w:t>
            </w:r>
          </w:p>
          <w:p w14:paraId="04353009">
            <w:pPr>
              <w:pStyle w:val="28"/>
              <w:bidi w:val="0"/>
              <w:rPr>
                <w:rFonts w:hint="default" w:ascii="Times New Roman" w:hAnsi="Times New Roman" w:cs="Times New Roman"/>
                <w:color w:val="auto"/>
              </w:rPr>
            </w:pPr>
            <w:r>
              <w:rPr>
                <w:rFonts w:hint="default" w:ascii="Times New Roman" w:hAnsi="Times New Roman" w:cs="Times New Roman"/>
                <w:color w:val="auto"/>
              </w:rPr>
              <w:t>⑤继续监测污染区有毒有害气体的浓度，根据监测情况决定是否扩大撤离范围。</w:t>
            </w:r>
          </w:p>
          <w:p w14:paraId="1CB9ED97">
            <w:pPr>
              <w:pStyle w:val="28"/>
              <w:bidi w:val="0"/>
              <w:rPr>
                <w:rFonts w:hint="default" w:ascii="Times New Roman" w:hAnsi="Times New Roman" w:cs="Times New Roman"/>
                <w:color w:val="auto"/>
              </w:rPr>
            </w:pPr>
            <w:r>
              <w:rPr>
                <w:rFonts w:hint="default" w:ascii="Times New Roman" w:hAnsi="Times New Roman" w:cs="Times New Roman"/>
                <w:color w:val="auto"/>
              </w:rPr>
              <w:t>⑥当井喷失控时，应：a、关停生产设施</w:t>
            </w:r>
            <w:r>
              <w:rPr>
                <w:rFonts w:hint="default" w:ascii="Times New Roman" w:hAnsi="Times New Roman" w:cs="Times New Roman"/>
                <w:color w:val="auto"/>
                <w:lang w:eastAsia="zh-CN"/>
              </w:rPr>
              <w:t>；</w:t>
            </w:r>
            <w:r>
              <w:rPr>
                <w:rFonts w:hint="default" w:ascii="Times New Roman" w:hAnsi="Times New Roman" w:cs="Times New Roman"/>
                <w:color w:val="auto"/>
              </w:rPr>
              <w:t>b、请求援助。</w:t>
            </w:r>
          </w:p>
          <w:p w14:paraId="53968888">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⑦井喷发生后，及时安排消防车、救护车、医护人员到现场救援。</w:t>
            </w:r>
          </w:p>
          <w:p w14:paraId="3ADBA307">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⑧在事故处理结束后，确认作业现场及其周边环境安全的情况与和地方政府商定撤离群众的返回时间。</w:t>
            </w:r>
          </w:p>
          <w:p w14:paraId="5B4458D3">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综合以上分析，本工程的环境风险措施切实可行。在落实各种风险防范措施的前提下，其发生事故的概率低，环境危害较小，环境风险达到可以接受水平。</w:t>
            </w:r>
          </w:p>
          <w:p w14:paraId="3A93FD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九、弃井封井措施及生态恢复措施</w:t>
            </w:r>
          </w:p>
          <w:p w14:paraId="4E58CB0D">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若为临时封井，除预留转成生产井所需的面积外，对其余临时占地覆土并恢复为原有植被和生态景观，使区域生态景观和谐一致；若为永久封井，对整个施工区域覆土并恢复为原有植被和生态景观，使区域生态景观和谐一致。</w:t>
            </w:r>
          </w:p>
          <w:p w14:paraId="3F3BA49B">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（2）气井测试完毕后，拆除</w:t>
            </w:r>
            <w:r>
              <w:rPr>
                <w:rFonts w:hint="eastAsia" w:ascii="Times New Roman" w:hAnsi="Times New Roman" w:eastAsia="宋体" w:cs="Times New Roman"/>
                <w:color w:val="auto"/>
                <w:lang w:eastAsia="zh-CN"/>
              </w:rPr>
              <w:t>放喷池</w:t>
            </w:r>
            <w:r>
              <w:rPr>
                <w:rFonts w:hint="default" w:ascii="Times New Roman" w:hAnsi="Times New Roman" w:cs="Times New Roman"/>
                <w:color w:val="auto"/>
              </w:rPr>
              <w:t>周围的砖墙，并进行回收。清除放喷测试留下的痕迹，再用探井场地建设时的表层土进行覆盖，然后进行植被恢复。</w:t>
            </w:r>
          </w:p>
          <w:p w14:paraId="23C5B16E">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（3）拆除所有临时占地基础（设备及地面硬化的砖瓦等）后将探井场地建设保留的耕植土摊铺覆盖于场面上，然后进行植被恢复。</w:t>
            </w:r>
          </w:p>
          <w:p w14:paraId="25EAB598">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（4）为尽快恢复土地功能，可增施肥料，加强灌溉，以改良土壤结构及其理化性质，提高土壤的保肥保水能力，恢复土壤生产能力。</w:t>
            </w:r>
          </w:p>
          <w:p w14:paraId="79150B8B">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具体恢复措施如下：</w:t>
            </w:r>
          </w:p>
          <w:p w14:paraId="49400FAD">
            <w:pPr>
              <w:pStyle w:val="28"/>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①植被恢复系数＞95%，林草覆盖率＞85%，复垦区单位面积产草量达到周边地区同等土地利用类型水平，具有生态稳定性和自我维持力</w:t>
            </w:r>
            <w:r>
              <w:rPr>
                <w:rFonts w:hint="eastAsia" w:ascii="Times New Roman" w:hAnsi="Times New Roman" w:eastAsia="宋体" w:cs="Times New Roman"/>
                <w:color w:val="auto"/>
                <w:lang w:eastAsia="zh-CN"/>
              </w:rPr>
              <w:t>。</w:t>
            </w:r>
          </w:p>
          <w:p w14:paraId="3E8E2646">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植被选用当地耐寒、保水固土能力强根系发达的物种，优先考虑灌木树种，其次为草本植物。本区域种植较成功的乔木树种有油松、龙抓槐、云杉、旱柳、榆树等；灌木树种有柠条、沙棘等；草本有冰草、沙打旺、沙嵩、黄蒿等。</w:t>
            </w:r>
          </w:p>
          <w:p w14:paraId="164AA563">
            <w:pPr>
              <w:pStyle w:val="28"/>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ascii="Times New Roman" w:hAnsi="Times New Roman" w:cs="Times New Roman"/>
                <w:color w:val="auto"/>
              </w:rPr>
              <w:t>③探井场地弃土弃渣边坡土地整治后，在外边坡采取植物防护措施，种植草灌混交林。可选择披碱草、柠条、紫花苜蓿、白三叶等，披碱草、紫花苜蓿、白三叶撒播量45kg/hm</w:t>
            </w:r>
            <w:r>
              <w:rPr>
                <w:rFonts w:hint="default" w:ascii="Times New Roman" w:hAnsi="Times New Roman" w:cs="Times New Roman"/>
                <w:color w:val="auto"/>
                <w:vertAlign w:val="superscript"/>
              </w:rPr>
              <w:t>2</w:t>
            </w:r>
            <w:r>
              <w:rPr>
                <w:rFonts w:hint="default" w:ascii="Times New Roman" w:hAnsi="Times New Roman" w:cs="Times New Roman"/>
                <w:color w:val="auto"/>
              </w:rPr>
              <w:t>，灌木株行距2×2m，行间种植三百叶。</w:t>
            </w:r>
          </w:p>
        </w:tc>
      </w:tr>
      <w:tr w14:paraId="3F79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7B031B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运营期生态环境保护措施</w:t>
            </w:r>
          </w:p>
        </w:tc>
        <w:tc>
          <w:tcPr>
            <w:tcW w:w="8254" w:type="dxa"/>
            <w:vAlign w:val="top"/>
          </w:tcPr>
          <w:p w14:paraId="5F7286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4A55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3D672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254" w:type="dxa"/>
            <w:vAlign w:val="center"/>
          </w:tcPr>
          <w:p w14:paraId="06357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1、环境管理</w:t>
            </w:r>
          </w:p>
          <w:p w14:paraId="2A8A41EB">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（1）环境管理体系</w:t>
            </w:r>
          </w:p>
          <w:p w14:paraId="296F1730">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按HSE管理体系要求，中国石油天然气股份有限公司长庆油田分公司设质量安全环保科，设专职人员进行安全环保管理，对企业安全环保进行归档管理。项目在施工期制定安全环境管理制度，贯彻执行国家和地方各项环保方针、政策和法规。</w:t>
            </w:r>
          </w:p>
          <w:p w14:paraId="084AE10C">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（2）要求根据《陕北油气田开采清洁文明井场验收标准》、《榆林市油（气）开采废弃物处置环保暂行管理办法》，建设单位应该在管理中严格按照以下要求执行：</w:t>
            </w:r>
          </w:p>
          <w:p w14:paraId="0A866DB9">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油（气）开发企业须在井场钻井作业前15日内，向当地环保局进行申报登记，申报登记内容包括废弃钻井泥浆、井下作业废水及其它污染物的产生量、去向及处理处置方式等，实际情况发生紧急重大改变的，必须在改变后3天内进行排污申报登记变更。</w:t>
            </w:r>
          </w:p>
          <w:p w14:paraId="3A9FA09F">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②油（气）井场要在钻井前配备废弃钻井泥浆岩屑地上移动式收集设施，对钻井过程中废弃钻井泥浆岩屑进行不落地收集，收集设施不得收集其它废弃物；未配备废弃钻井泥浆收集设施的井场不得钻井作业。</w:t>
            </w:r>
          </w:p>
          <w:p w14:paraId="06AB0A25">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③油（气）井场要在压裂及其它井下作业前配备废水地上收集罐，对压裂返排液及其它废水进行统一收集；未配备废水收集罐的井场不得开展相关作业。</w:t>
            </w:r>
          </w:p>
          <w:p w14:paraId="15398EE5">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油（气）开发企业要在油（气）井建设过程中建立气探井废弃钻井泥浆岩屑、压裂返排液及其它作业废水管理台帐，如实记录钻井泥浆及压裂液添加剂成分、用量及废弃钻井泥浆岩屑、压裂返排液及其它作业废水的产生量、循环利用量、去向及处理处置方式。</w:t>
            </w:r>
          </w:p>
          <w:p w14:paraId="545E04D3">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⑤废弃钻井泥浆岩屑须在油（气）井完井后3天内，由防渗漏、防抛洒、防扬尘的运输车辆统一运至油（气）开采废弃物集中处置场所处置；严禁废弃钻井泥浆岩屑井场处理、就地固化或随意抛洒、掩埋。</w:t>
            </w:r>
          </w:p>
          <w:p w14:paraId="05B1326C">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⑥油（气）井下作业废水须在井下作业完成后3天内，洗井废水由专用收集罐临时收集贮存后委托</w:t>
            </w:r>
            <w:r>
              <w:rPr>
                <w:rFonts w:hint="default" w:ascii="Times New Roman" w:hAnsi="Times New Roman" w:eastAsia="宋体" w:cs="Times New Roman"/>
                <w:color w:val="auto"/>
                <w:lang w:eastAsia="zh-CN"/>
              </w:rPr>
              <w:t>陕西</w:t>
            </w:r>
            <w:r>
              <w:rPr>
                <w:rFonts w:hint="eastAsia" w:ascii="Times New Roman" w:hAnsi="Times New Roman" w:eastAsia="宋体" w:cs="Times New Roman"/>
                <w:color w:val="auto"/>
                <w:lang w:val="en-US" w:eastAsia="zh-CN"/>
              </w:rPr>
              <w:t>德禾鑫盛环保科技</w:t>
            </w:r>
            <w:r>
              <w:rPr>
                <w:rFonts w:hint="default" w:ascii="Times New Roman" w:hAnsi="Times New Roman" w:eastAsia="宋体" w:cs="Times New Roman"/>
                <w:color w:val="auto"/>
                <w:lang w:eastAsia="zh-CN"/>
              </w:rPr>
              <w:t>有限公司</w:t>
            </w:r>
            <w:r>
              <w:rPr>
                <w:rFonts w:hint="default" w:ascii="Times New Roman" w:hAnsi="Times New Roman" w:cs="Times New Roman"/>
                <w:color w:val="auto"/>
                <w:lang w:val="en-US" w:eastAsia="zh-CN"/>
              </w:rPr>
              <w:t>油气开采废弃物集中处理厂</w:t>
            </w:r>
            <w:r>
              <w:rPr>
                <w:rFonts w:hint="default" w:ascii="Times New Roman" w:hAnsi="Times New Roman" w:cs="Times New Roman"/>
                <w:color w:val="auto"/>
              </w:rPr>
              <w:t>进行</w:t>
            </w:r>
            <w:r>
              <w:rPr>
                <w:rFonts w:hint="default" w:ascii="Times New Roman" w:hAnsi="Times New Roman" w:cs="Times New Roman"/>
                <w:color w:val="auto"/>
                <w:lang w:val="en-US" w:eastAsia="zh-CN"/>
              </w:rPr>
              <w:t>外运</w:t>
            </w:r>
            <w:r>
              <w:rPr>
                <w:rFonts w:hint="default" w:ascii="Times New Roman" w:hAnsi="Times New Roman" w:cs="Times New Roman"/>
                <w:color w:val="auto"/>
              </w:rPr>
              <w:t>处置；严禁井下作业废水排入废弃钻井泥浆岩屑收集设施或随意排放。</w:t>
            </w:r>
          </w:p>
          <w:p w14:paraId="61638890">
            <w:pPr>
              <w:pStyle w:val="28"/>
              <w:bidi w:val="0"/>
              <w:rPr>
                <w:rFonts w:hint="default" w:ascii="Times New Roman" w:hAnsi="Times New Roman" w:cs="Times New Roman"/>
                <w:color w:val="auto"/>
              </w:rPr>
            </w:pPr>
            <w:r>
              <w:rPr>
                <w:rFonts w:hint="default" w:ascii="Times New Roman" w:hAnsi="Times New Roman" w:cs="Times New Roman"/>
                <w:color w:val="auto"/>
              </w:rPr>
              <w:t>⑦废弃钻井泥浆岩屑和井下作业废水转移前须向市级环保部门申领《榆林市油（气）开采废弃物转移联单》，运输过程实施全程GPS定位及监控；严禁运输过程中随意掩埋、抛洒废弃钻井泥浆岩屑和井下作业废水。</w:t>
            </w:r>
          </w:p>
          <w:p w14:paraId="549DE127">
            <w:pPr>
              <w:pStyle w:val="28"/>
              <w:bidi w:val="0"/>
              <w:rPr>
                <w:rFonts w:hint="default" w:ascii="Times New Roman" w:hAnsi="Times New Roman" w:cs="Times New Roman"/>
                <w:color w:val="auto"/>
              </w:rPr>
            </w:pPr>
            <w:r>
              <w:rPr>
                <w:rFonts w:hint="default" w:ascii="Times New Roman" w:hAnsi="Times New Roman" w:cs="Times New Roman"/>
                <w:color w:val="auto"/>
              </w:rPr>
              <w:t>⑧油（气）开采废弃物集中处置项目选址要避开重点生态功能区、环境敏感区和限制开发区，要选择清洁生产、高效环保的处理工艺，要完成建设项目环境影响评价审批，通过环保设施竣工验收，取得相关手续，具备收集、处置能力。</w:t>
            </w:r>
          </w:p>
          <w:p w14:paraId="4F49CB51">
            <w:pPr>
              <w:pStyle w:val="28"/>
              <w:bidi w:val="0"/>
              <w:rPr>
                <w:rFonts w:hint="default" w:ascii="Times New Roman" w:hAnsi="Times New Roman" w:cs="Times New Roman"/>
                <w:color w:val="auto"/>
              </w:rPr>
            </w:pPr>
            <w:r>
              <w:rPr>
                <w:rFonts w:hint="default" w:ascii="Times New Roman" w:hAnsi="Times New Roman" w:cs="Times New Roman"/>
                <w:color w:val="auto"/>
              </w:rPr>
              <w:t>⑨未取得相关资质的单位或者个人，禁止从事油（气）开采废弃物的收集、运输和处置活动。</w:t>
            </w:r>
          </w:p>
          <w:p w14:paraId="3ECA4770">
            <w:pPr>
              <w:pStyle w:val="28"/>
              <w:bidi w:val="0"/>
              <w:rPr>
                <w:rFonts w:hint="default" w:ascii="Times New Roman" w:hAnsi="Times New Roman" w:cs="Times New Roman"/>
                <w:color w:val="auto"/>
              </w:rPr>
            </w:pPr>
            <w:r>
              <w:rPr>
                <w:rFonts w:hint="default" w:ascii="Times New Roman" w:hAnsi="Times New Roman" w:cs="Times New Roman"/>
                <w:color w:val="auto"/>
              </w:rPr>
              <w:t>⑩井场四周必须修建挡水墙，大门或通行处应设有砖石拱形挡水设施，保证场外雨水不进场，场内雨水不出场。</w:t>
            </w:r>
          </w:p>
          <w:p w14:paraId="2F5B53DB">
            <w:pPr>
              <w:pStyle w:val="28"/>
              <w:bidi w:val="0"/>
              <w:rPr>
                <w:rFonts w:hint="default" w:ascii="Times New Roman" w:hAnsi="Times New Roman" w:cs="Times New Roman"/>
                <w:color w:val="auto"/>
              </w:rPr>
            </w:pPr>
            <w:r>
              <w:rPr>
                <w:rFonts w:hint="default" w:ascii="Times New Roman" w:hAnsi="Times New Roman" w:cs="Times New Roman"/>
                <w:color w:val="auto"/>
              </w:rPr>
              <w:t>⑪井场要平整清洁，建有雨水收集池。雨水收集池应参照当地最大暴雨量设计容积（最大暴雨量×井场面积）。</w:t>
            </w:r>
          </w:p>
          <w:p w14:paraId="266D3DC7">
            <w:pPr>
              <w:pStyle w:val="28"/>
              <w:bidi w:val="0"/>
              <w:rPr>
                <w:rFonts w:hint="default" w:ascii="Times New Roman" w:hAnsi="Times New Roman" w:cs="Times New Roman"/>
                <w:color w:val="auto"/>
              </w:rPr>
            </w:pPr>
            <w:r>
              <w:rPr>
                <w:rFonts w:hint="default" w:ascii="Times New Roman" w:hAnsi="Times New Roman" w:cs="Times New Roman"/>
                <w:color w:val="auto"/>
              </w:rPr>
              <w:t>⑫井场必须设置垃圾桶，不得将含油污泥等危废混入，垃圾应及时清运，分类定点处理。</w:t>
            </w:r>
          </w:p>
          <w:p w14:paraId="4556AC0F">
            <w:pPr>
              <w:pStyle w:val="28"/>
              <w:bidi w:val="0"/>
              <w:rPr>
                <w:rFonts w:hint="default" w:ascii="Times New Roman" w:hAnsi="Times New Roman" w:cs="Times New Roman"/>
                <w:color w:val="auto"/>
              </w:rPr>
            </w:pPr>
            <w:r>
              <w:rPr>
                <w:rFonts w:hint="default" w:ascii="Times New Roman" w:hAnsi="Times New Roman" w:cs="Times New Roman"/>
                <w:color w:val="auto"/>
              </w:rPr>
              <w:t>⑬井场的道路两侧和围墙内外宜绿化区域应实现林草覆盖，有效覆盖面积不低于98</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14:paraId="20DC62E7">
            <w:pPr>
              <w:pStyle w:val="28"/>
              <w:bidi w:val="0"/>
              <w:rPr>
                <w:rFonts w:hint="default" w:ascii="Times New Roman" w:hAnsi="Times New Roman" w:cs="Times New Roman"/>
                <w:color w:val="auto"/>
              </w:rPr>
            </w:pPr>
            <w:r>
              <w:rPr>
                <w:rFonts w:hint="default" w:ascii="Times New Roman" w:hAnsi="Times New Roman" w:cs="Times New Roman"/>
                <w:color w:val="auto"/>
              </w:rPr>
              <w:t>⑭修路和开挖井场造成植被破坏或地表裸露的，必须采取有效的修复措施，所有生态措施应在井场投运半年内完成。</w:t>
            </w:r>
          </w:p>
          <w:p w14:paraId="04BAB4B3">
            <w:pPr>
              <w:pStyle w:val="28"/>
              <w:bidi w:val="0"/>
              <w:rPr>
                <w:rFonts w:hint="default" w:ascii="Times New Roman" w:hAnsi="Times New Roman" w:cs="Times New Roman"/>
                <w:color w:val="auto"/>
              </w:rPr>
            </w:pPr>
            <w:r>
              <w:rPr>
                <w:rFonts w:hint="default" w:ascii="Times New Roman" w:hAnsi="Times New Roman" w:cs="Times New Roman"/>
                <w:color w:val="auto"/>
              </w:rPr>
              <w:t>⑮关闭油（气）井应封堵油（气）层、封闭井口，并同步实施井场复垦还田或植树种草工程措施。</w:t>
            </w:r>
          </w:p>
          <w:p w14:paraId="373DF243">
            <w:pPr>
              <w:pStyle w:val="28"/>
              <w:bidi w:val="0"/>
              <w:rPr>
                <w:rFonts w:hint="default" w:ascii="Times New Roman" w:hAnsi="Times New Roman" w:cs="Times New Roman"/>
                <w:color w:val="auto"/>
              </w:rPr>
            </w:pPr>
            <w:r>
              <w:rPr>
                <w:rFonts w:hint="default" w:ascii="Times New Roman" w:hAnsi="Times New Roman" w:cs="Times New Roman"/>
                <w:color w:val="auto"/>
              </w:rPr>
              <w:t>⑯井场应做到清洁卫生，无跑、冒、滴、漏现象，场外无油污、无垃圾，杜绝污染物乱堆乱放。</w:t>
            </w:r>
          </w:p>
          <w:p w14:paraId="0FC90B4E">
            <w:pPr>
              <w:pStyle w:val="28"/>
              <w:bidi w:val="0"/>
              <w:rPr>
                <w:rFonts w:hint="default" w:ascii="Times New Roman" w:hAnsi="Times New Roman" w:cs="Times New Roman"/>
                <w:color w:val="auto"/>
              </w:rPr>
            </w:pPr>
            <w:r>
              <w:rPr>
                <w:rFonts w:hint="default" w:ascii="Times New Roman" w:hAnsi="Times New Roman" w:cs="Times New Roman"/>
                <w:color w:val="auto"/>
              </w:rPr>
              <w:t>⑰按照环境事故应急预案，要对井场操作人员进行应急培训，并储备相应抢险应急物资。</w:t>
            </w:r>
          </w:p>
          <w:p w14:paraId="5F1CB6C3">
            <w:pPr>
              <w:pStyle w:val="28"/>
              <w:bidi w:val="0"/>
              <w:rPr>
                <w:rFonts w:hint="default" w:ascii="Times New Roman" w:hAnsi="Times New Roman" w:cs="Times New Roman"/>
                <w:color w:val="auto"/>
              </w:rPr>
            </w:pPr>
            <w:r>
              <w:rPr>
                <w:rFonts w:hint="default" w:ascii="Times New Roman" w:hAnsi="Times New Roman" w:cs="Times New Roman"/>
                <w:color w:val="auto"/>
              </w:rPr>
              <w:t>⑱井场实行动态管理。县级环保部门负责日常监督管理，市级环保部门负责验收并颁发统一制式的清洁文明井场牌匾。出现达不到本标准情况的，由市级环保部门收回牌匾。</w:t>
            </w:r>
          </w:p>
          <w:p w14:paraId="3E1F1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eastAsiaTheme="minorHAnsi"/>
                <w:color w:val="auto"/>
                <w:kern w:val="0"/>
                <w:sz w:val="24"/>
                <w:szCs w:val="21"/>
                <w:lang w:val="en-US" w:eastAsia="en-US" w:bidi="ar-SA"/>
              </w:rPr>
              <w:t>⑲不得调整井口坐标，确保钻井井口距居民住宅距离大于100m，加强施工机械噪声管理，保证不影响周边居民生活。</w:t>
            </w:r>
          </w:p>
        </w:tc>
      </w:tr>
      <w:tr w14:paraId="0420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1D31F07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环保投资</w:t>
            </w:r>
          </w:p>
        </w:tc>
        <w:tc>
          <w:tcPr>
            <w:tcW w:w="8254" w:type="dxa"/>
            <w:vAlign w:val="top"/>
          </w:tcPr>
          <w:p w14:paraId="6A4D5F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本项目总投资</w:t>
            </w:r>
            <w:r>
              <w:rPr>
                <w:rFonts w:hint="eastAsia" w:ascii="Times New Roman" w:hAnsi="Times New Roman" w:eastAsia="宋体" w:cs="Times New Roman"/>
                <w:b w:val="0"/>
                <w:bCs w:val="0"/>
                <w:color w:val="auto"/>
                <w:sz w:val="24"/>
                <w:szCs w:val="24"/>
                <w:highlight w:val="none"/>
                <w:vertAlign w:val="baseline"/>
                <w:lang w:val="en-US" w:eastAsia="zh-CN"/>
              </w:rPr>
              <w:t>3000</w:t>
            </w:r>
            <w:r>
              <w:rPr>
                <w:rFonts w:hint="default" w:ascii="Times New Roman" w:hAnsi="Times New Roman" w:eastAsia="宋体" w:cs="Times New Roman"/>
                <w:b w:val="0"/>
                <w:bCs w:val="0"/>
                <w:color w:val="auto"/>
                <w:sz w:val="24"/>
                <w:szCs w:val="24"/>
                <w:highlight w:val="none"/>
                <w:vertAlign w:val="baseline"/>
                <w:lang w:val="en-US" w:eastAsia="zh-CN"/>
              </w:rPr>
              <w:t>万元，其中环保投资</w:t>
            </w:r>
            <w:r>
              <w:rPr>
                <w:rFonts w:hint="eastAsia" w:ascii="Times New Roman" w:hAnsi="Times New Roman" w:eastAsia="宋体" w:cs="Times New Roman"/>
                <w:b w:val="0"/>
                <w:bCs w:val="0"/>
                <w:color w:val="auto"/>
                <w:sz w:val="24"/>
                <w:szCs w:val="24"/>
                <w:highlight w:val="none"/>
                <w:vertAlign w:val="baseline"/>
                <w:lang w:val="en-US" w:eastAsia="zh-CN"/>
              </w:rPr>
              <w:t>334.6</w:t>
            </w:r>
            <w:r>
              <w:rPr>
                <w:rFonts w:hint="default" w:ascii="Times New Roman" w:hAnsi="Times New Roman" w:eastAsia="宋体" w:cs="Times New Roman"/>
                <w:b w:val="0"/>
                <w:bCs w:val="0"/>
                <w:color w:val="auto"/>
                <w:sz w:val="24"/>
                <w:szCs w:val="24"/>
                <w:highlight w:val="none"/>
                <w:vertAlign w:val="baseline"/>
                <w:lang w:val="en-US" w:eastAsia="zh-CN"/>
              </w:rPr>
              <w:t>万元，占总投资的</w:t>
            </w:r>
            <w:r>
              <w:rPr>
                <w:rFonts w:hint="eastAsia" w:ascii="Times New Roman" w:hAnsi="Times New Roman" w:eastAsia="宋体" w:cs="Times New Roman"/>
                <w:b w:val="0"/>
                <w:bCs w:val="0"/>
                <w:color w:val="auto"/>
                <w:sz w:val="24"/>
                <w:szCs w:val="24"/>
                <w:highlight w:val="none"/>
                <w:vertAlign w:val="baseline"/>
                <w:lang w:val="en-US" w:eastAsia="zh-CN"/>
              </w:rPr>
              <w:t>11.15</w:t>
            </w:r>
            <w:r>
              <w:rPr>
                <w:rFonts w:hint="default" w:ascii="Times New Roman" w:hAnsi="Times New Roman" w:eastAsia="宋体" w:cs="Times New Roman"/>
                <w:b w:val="0"/>
                <w:bCs w:val="0"/>
                <w:color w:val="auto"/>
                <w:sz w:val="24"/>
                <w:szCs w:val="24"/>
                <w:highlight w:val="none"/>
                <w:vertAlign w:val="baseline"/>
                <w:lang w:val="en-US" w:eastAsia="zh-CN"/>
              </w:rPr>
              <w:t>%。</w:t>
            </w:r>
          </w:p>
          <w:p w14:paraId="6DB439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表5-5   本项目主要环保投资一览表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1"/>
              <w:gridCol w:w="1279"/>
              <w:gridCol w:w="3883"/>
              <w:gridCol w:w="1269"/>
              <w:gridCol w:w="1587"/>
            </w:tblGrid>
            <w:tr w14:paraId="0A76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1339AEDC">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w:t>
                  </w:r>
                </w:p>
              </w:tc>
              <w:tc>
                <w:tcPr>
                  <w:tcW w:w="3883" w:type="dxa"/>
                  <w:vAlign w:val="center"/>
                </w:tcPr>
                <w:p w14:paraId="082237D2">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治理措施</w:t>
                  </w:r>
                </w:p>
              </w:tc>
              <w:tc>
                <w:tcPr>
                  <w:tcW w:w="1269" w:type="dxa"/>
                  <w:vAlign w:val="center"/>
                </w:tcPr>
                <w:p w14:paraId="099BCDDE">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数量</w:t>
                  </w:r>
                </w:p>
              </w:tc>
              <w:tc>
                <w:tcPr>
                  <w:tcW w:w="1587" w:type="dxa"/>
                  <w:vAlign w:val="center"/>
                </w:tcPr>
                <w:p w14:paraId="15FBB7FE">
                  <w:pPr>
                    <w:pStyle w:val="29"/>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费用（万元）</w:t>
                  </w:r>
                </w:p>
              </w:tc>
            </w:tr>
            <w:tr w14:paraId="75E0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restart"/>
                  <w:vAlign w:val="center"/>
                </w:tcPr>
                <w:p w14:paraId="2AF609A1">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3883" w:type="dxa"/>
                  <w:vAlign w:val="center"/>
                </w:tcPr>
                <w:p w14:paraId="5B2DC88F">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洒水设备、设置挡板、车辆运输遮盖苫布</w:t>
                  </w:r>
                </w:p>
              </w:tc>
              <w:tc>
                <w:tcPr>
                  <w:tcW w:w="1269" w:type="dxa"/>
                  <w:vAlign w:val="center"/>
                </w:tcPr>
                <w:p w14:paraId="679E2A1D">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87" w:type="dxa"/>
                  <w:vAlign w:val="center"/>
                </w:tcPr>
                <w:p w14:paraId="55EE7C5F">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r>
            <w:tr w14:paraId="5552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continue"/>
                  <w:vAlign w:val="center"/>
                </w:tcPr>
                <w:p w14:paraId="00FB7F13">
                  <w:pPr>
                    <w:pStyle w:val="29"/>
                    <w:bidi w:val="0"/>
                    <w:jc w:val="center"/>
                    <w:rPr>
                      <w:rFonts w:hint="default" w:ascii="Times New Roman" w:hAnsi="Times New Roman" w:cs="Times New Roman"/>
                      <w:color w:val="auto"/>
                      <w:sz w:val="21"/>
                      <w:szCs w:val="21"/>
                    </w:rPr>
                  </w:pPr>
                </w:p>
              </w:tc>
              <w:tc>
                <w:tcPr>
                  <w:tcW w:w="3883" w:type="dxa"/>
                  <w:vAlign w:val="center"/>
                </w:tcPr>
                <w:p w14:paraId="2B5CA645">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放空设施</w:t>
                  </w:r>
                </w:p>
              </w:tc>
              <w:tc>
                <w:tcPr>
                  <w:tcW w:w="1269" w:type="dxa"/>
                  <w:vAlign w:val="center"/>
                </w:tcPr>
                <w:p w14:paraId="414DA4CD">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套</w:t>
                  </w:r>
                </w:p>
              </w:tc>
              <w:tc>
                <w:tcPr>
                  <w:tcW w:w="1587" w:type="dxa"/>
                  <w:vMerge w:val="restart"/>
                  <w:vAlign w:val="center"/>
                </w:tcPr>
                <w:p w14:paraId="23F65EF6">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计入主体工程</w:t>
                  </w:r>
                </w:p>
              </w:tc>
            </w:tr>
            <w:tr w14:paraId="3A9B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continue"/>
                  <w:vAlign w:val="center"/>
                </w:tcPr>
                <w:p w14:paraId="1AC0A74B">
                  <w:pPr>
                    <w:pStyle w:val="29"/>
                    <w:bidi w:val="0"/>
                    <w:jc w:val="center"/>
                    <w:rPr>
                      <w:rFonts w:hint="default" w:ascii="Times New Roman" w:hAnsi="Times New Roman" w:cs="Times New Roman"/>
                      <w:color w:val="auto"/>
                      <w:sz w:val="21"/>
                      <w:szCs w:val="21"/>
                    </w:rPr>
                  </w:pPr>
                </w:p>
              </w:tc>
              <w:tc>
                <w:tcPr>
                  <w:tcW w:w="3883" w:type="dxa"/>
                  <w:vAlign w:val="center"/>
                </w:tcPr>
                <w:p w14:paraId="435F0AFF">
                  <w:pPr>
                    <w:pStyle w:val="29"/>
                    <w:bidi w:val="0"/>
                    <w:jc w:val="center"/>
                    <w:rPr>
                      <w:rFonts w:hint="default" w:ascii="Times New Roman" w:hAnsi="Times New Roman" w:cs="Times New Roman"/>
                      <w:color w:val="auto"/>
                      <w:sz w:val="21"/>
                      <w:szCs w:val="21"/>
                    </w:rPr>
                  </w:pPr>
                  <w:r>
                    <w:rPr>
                      <w:rFonts w:hint="eastAsia" w:cs="Times New Roman"/>
                      <w:color w:val="auto"/>
                      <w:sz w:val="21"/>
                      <w:szCs w:val="21"/>
                      <w:lang w:eastAsia="zh-CN"/>
                    </w:rPr>
                    <w:t>放喷池</w:t>
                  </w:r>
                  <w:r>
                    <w:rPr>
                      <w:rFonts w:hint="default" w:ascii="Times New Roman" w:hAnsi="Times New Roman" w:cs="Times New Roman"/>
                      <w:color w:val="auto"/>
                      <w:sz w:val="21"/>
                      <w:szCs w:val="21"/>
                    </w:rPr>
                    <w:t>10</w:t>
                  </w:r>
                  <w:r>
                    <w:rPr>
                      <w:rFonts w:hint="eastAsia" w:cs="Times New Roman"/>
                      <w:color w:val="auto"/>
                      <w:sz w:val="21"/>
                      <w:szCs w:val="21"/>
                      <w:lang w:val="en-US" w:eastAsia="zh-CN"/>
                    </w:rPr>
                    <w:t>.6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1269" w:type="dxa"/>
                  <w:vAlign w:val="center"/>
                </w:tcPr>
                <w:p w14:paraId="6198CC47">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座</w:t>
                  </w:r>
                </w:p>
              </w:tc>
              <w:tc>
                <w:tcPr>
                  <w:tcW w:w="1587" w:type="dxa"/>
                  <w:vMerge w:val="continue"/>
                  <w:vAlign w:val="center"/>
                </w:tcPr>
                <w:p w14:paraId="23DF4EE7">
                  <w:pPr>
                    <w:pStyle w:val="29"/>
                    <w:bidi w:val="0"/>
                    <w:jc w:val="center"/>
                    <w:rPr>
                      <w:rFonts w:hint="default" w:ascii="Times New Roman" w:hAnsi="Times New Roman" w:cs="Times New Roman"/>
                      <w:color w:val="auto"/>
                      <w:sz w:val="21"/>
                      <w:szCs w:val="21"/>
                    </w:rPr>
                  </w:pPr>
                </w:p>
              </w:tc>
            </w:tr>
            <w:tr w14:paraId="69A9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restart"/>
                  <w:vAlign w:val="center"/>
                </w:tcPr>
                <w:p w14:paraId="36676134">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1279" w:type="dxa"/>
                  <w:vAlign w:val="center"/>
                </w:tcPr>
                <w:p w14:paraId="3AF712AD">
                  <w:pPr>
                    <w:pStyle w:val="29"/>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洗井废水</w:t>
                  </w:r>
                </w:p>
              </w:tc>
              <w:tc>
                <w:tcPr>
                  <w:tcW w:w="3883" w:type="dxa"/>
                  <w:vAlign w:val="center"/>
                </w:tcPr>
                <w:p w14:paraId="503445BF">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69" w:type="dxa"/>
                  <w:vAlign w:val="center"/>
                </w:tcPr>
                <w:p w14:paraId="5422D3BA">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个</w:t>
                  </w:r>
                </w:p>
              </w:tc>
              <w:tc>
                <w:tcPr>
                  <w:tcW w:w="1587" w:type="dxa"/>
                  <w:vAlign w:val="center"/>
                </w:tcPr>
                <w:p w14:paraId="704F130D">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r>
            <w:tr w14:paraId="521C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78C3EA7A">
                  <w:pPr>
                    <w:pStyle w:val="29"/>
                    <w:bidi w:val="0"/>
                    <w:jc w:val="center"/>
                    <w:rPr>
                      <w:rFonts w:hint="default" w:ascii="Times New Roman" w:hAnsi="Times New Roman" w:cs="Times New Roman"/>
                      <w:color w:val="auto"/>
                      <w:sz w:val="21"/>
                      <w:szCs w:val="21"/>
                    </w:rPr>
                  </w:pPr>
                </w:p>
              </w:tc>
              <w:tc>
                <w:tcPr>
                  <w:tcW w:w="1279" w:type="dxa"/>
                  <w:vAlign w:val="center"/>
                </w:tcPr>
                <w:p w14:paraId="767D088B">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压裂返排液</w:t>
                  </w:r>
                </w:p>
              </w:tc>
              <w:tc>
                <w:tcPr>
                  <w:tcW w:w="3883" w:type="dxa"/>
                  <w:vAlign w:val="center"/>
                </w:tcPr>
                <w:p w14:paraId="49F761E4">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69" w:type="dxa"/>
                  <w:vAlign w:val="center"/>
                </w:tcPr>
                <w:p w14:paraId="2F51A7AD">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个</w:t>
                  </w:r>
                </w:p>
              </w:tc>
              <w:tc>
                <w:tcPr>
                  <w:tcW w:w="1587" w:type="dxa"/>
                  <w:vAlign w:val="center"/>
                </w:tcPr>
                <w:p w14:paraId="0455E0E3">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w:t>
                  </w:r>
                </w:p>
              </w:tc>
            </w:tr>
            <w:tr w14:paraId="546A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6D26EBE8">
                  <w:pPr>
                    <w:pStyle w:val="29"/>
                    <w:bidi w:val="0"/>
                    <w:jc w:val="center"/>
                    <w:rPr>
                      <w:rFonts w:hint="default" w:ascii="Times New Roman" w:hAnsi="Times New Roman" w:cs="Times New Roman"/>
                      <w:color w:val="auto"/>
                      <w:sz w:val="21"/>
                      <w:szCs w:val="21"/>
                    </w:rPr>
                  </w:pPr>
                </w:p>
              </w:tc>
              <w:tc>
                <w:tcPr>
                  <w:tcW w:w="1279" w:type="dxa"/>
                  <w:vMerge w:val="restart"/>
                  <w:vAlign w:val="center"/>
                </w:tcPr>
                <w:p w14:paraId="5DFB45AC">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3883" w:type="dxa"/>
                  <w:vAlign w:val="center"/>
                </w:tcPr>
                <w:p w14:paraId="38EC89B9">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移动式环保型</w:t>
                  </w:r>
                  <w:r>
                    <w:rPr>
                      <w:rFonts w:hint="eastAsia" w:cs="Times New Roman"/>
                      <w:color w:val="auto"/>
                      <w:sz w:val="21"/>
                      <w:szCs w:val="21"/>
                      <w:lang w:val="en-US" w:eastAsia="zh-CN"/>
                    </w:rPr>
                    <w:t>卫生</w:t>
                  </w:r>
                  <w:r>
                    <w:rPr>
                      <w:rFonts w:hint="default" w:ascii="Times New Roman" w:hAnsi="Times New Roman" w:cs="Times New Roman"/>
                      <w:color w:val="auto"/>
                      <w:sz w:val="21"/>
                      <w:szCs w:val="21"/>
                    </w:rPr>
                    <w:t>旱厕</w:t>
                  </w:r>
                </w:p>
              </w:tc>
              <w:tc>
                <w:tcPr>
                  <w:tcW w:w="1269" w:type="dxa"/>
                  <w:vAlign w:val="center"/>
                </w:tcPr>
                <w:p w14:paraId="31469036">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个</w:t>
                  </w:r>
                </w:p>
              </w:tc>
              <w:tc>
                <w:tcPr>
                  <w:tcW w:w="1587" w:type="dxa"/>
                  <w:vAlign w:val="center"/>
                </w:tcPr>
                <w:p w14:paraId="01693B6E">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14:paraId="16C7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4199545C">
                  <w:pPr>
                    <w:pStyle w:val="29"/>
                    <w:bidi w:val="0"/>
                    <w:jc w:val="center"/>
                    <w:rPr>
                      <w:rFonts w:hint="default" w:ascii="Times New Roman" w:hAnsi="Times New Roman" w:cs="Times New Roman"/>
                      <w:color w:val="auto"/>
                      <w:sz w:val="21"/>
                      <w:szCs w:val="21"/>
                    </w:rPr>
                  </w:pPr>
                </w:p>
              </w:tc>
              <w:tc>
                <w:tcPr>
                  <w:tcW w:w="1279" w:type="dxa"/>
                  <w:vMerge w:val="continue"/>
                  <w:vAlign w:val="center"/>
                </w:tcPr>
                <w:p w14:paraId="3E19C8B9">
                  <w:pPr>
                    <w:pStyle w:val="29"/>
                    <w:bidi w:val="0"/>
                    <w:jc w:val="center"/>
                    <w:rPr>
                      <w:rFonts w:hint="default" w:ascii="Times New Roman" w:hAnsi="Times New Roman" w:cs="Times New Roman"/>
                      <w:color w:val="auto"/>
                      <w:sz w:val="21"/>
                      <w:szCs w:val="21"/>
                    </w:rPr>
                  </w:pPr>
                </w:p>
              </w:tc>
              <w:tc>
                <w:tcPr>
                  <w:tcW w:w="3883" w:type="dxa"/>
                  <w:vAlign w:val="center"/>
                </w:tcPr>
                <w:p w14:paraId="216C8F02">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沉淀</w:t>
                  </w:r>
                  <w:r>
                    <w:rPr>
                      <w:rFonts w:hint="eastAsia" w:cs="Times New Roman"/>
                      <w:color w:val="auto"/>
                      <w:sz w:val="21"/>
                      <w:szCs w:val="21"/>
                      <w:lang w:val="en-US" w:eastAsia="zh-CN"/>
                    </w:rPr>
                    <w:t>罐1</w:t>
                  </w:r>
                  <w:r>
                    <w:rPr>
                      <w:rFonts w:hint="default" w:ascii="Times New Roman" w:hAnsi="Times New Roman" w:cs="Times New Roman"/>
                      <w:color w:val="auto"/>
                      <w:sz w:val="21"/>
                      <w:szCs w:val="21"/>
                      <w:lang w:val="en-US" w:eastAsia="zh-CN"/>
                    </w:rPr>
                    <w:t>座（</w:t>
                  </w:r>
                  <w:r>
                    <w:rPr>
                      <w:rFonts w:hint="eastAsia" w:cs="Times New Roman"/>
                      <w:color w:val="auto"/>
                      <w:sz w:val="21"/>
                      <w:szCs w:val="21"/>
                      <w:lang w:val="en-US" w:eastAsia="zh-CN"/>
                    </w:rPr>
                    <w:t>15</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c>
                <w:tcPr>
                  <w:tcW w:w="1269" w:type="dxa"/>
                  <w:vAlign w:val="center"/>
                </w:tcPr>
                <w:p w14:paraId="31456599">
                  <w:pPr>
                    <w:pStyle w:val="29"/>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座</w:t>
                  </w:r>
                </w:p>
              </w:tc>
              <w:tc>
                <w:tcPr>
                  <w:tcW w:w="1587" w:type="dxa"/>
                  <w:vAlign w:val="center"/>
                </w:tcPr>
                <w:p w14:paraId="1CDCDECE">
                  <w:pPr>
                    <w:pStyle w:val="29"/>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w:t>
                  </w:r>
                </w:p>
              </w:tc>
            </w:tr>
            <w:tr w14:paraId="30E3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621" w:type="dxa"/>
                  <w:vMerge w:val="restart"/>
                  <w:vAlign w:val="center"/>
                </w:tcPr>
                <w:p w14:paraId="79E38BC6">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279" w:type="dxa"/>
                  <w:vMerge w:val="restart"/>
                  <w:vAlign w:val="center"/>
                </w:tcPr>
                <w:p w14:paraId="7E08167B">
                  <w:pPr>
                    <w:pStyle w:val="29"/>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钻井设备</w:t>
                  </w:r>
                </w:p>
              </w:tc>
              <w:tc>
                <w:tcPr>
                  <w:tcW w:w="3883" w:type="dxa"/>
                  <w:vAlign w:val="center"/>
                </w:tcPr>
                <w:p w14:paraId="6C768A83">
                  <w:pPr>
                    <w:pStyle w:val="29"/>
                    <w:bidi w:val="0"/>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highlight w:val="none"/>
                      <w:lang w:val="en-US" w:eastAsia="zh-CN"/>
                    </w:rPr>
                    <w:t>选用低噪声设备、</w:t>
                  </w:r>
                  <w:r>
                    <w:rPr>
                      <w:rFonts w:hint="default" w:ascii="Times New Roman" w:hAnsi="Times New Roman" w:cs="Times New Roman"/>
                      <w:color w:val="auto"/>
                      <w:sz w:val="21"/>
                      <w:szCs w:val="21"/>
                      <w:highlight w:val="none"/>
                    </w:rPr>
                    <w:t>基础减</w:t>
                  </w:r>
                  <w:r>
                    <w:rPr>
                      <w:rFonts w:hint="eastAsia" w:cs="Times New Roman"/>
                      <w:color w:val="auto"/>
                      <w:sz w:val="21"/>
                      <w:szCs w:val="21"/>
                      <w:highlight w:val="none"/>
                      <w:lang w:val="en-US" w:eastAsia="zh-CN"/>
                    </w:rPr>
                    <w:t>振</w:t>
                  </w:r>
                </w:p>
              </w:tc>
              <w:tc>
                <w:tcPr>
                  <w:tcW w:w="1269" w:type="dxa"/>
                  <w:vAlign w:val="center"/>
                </w:tcPr>
                <w:p w14:paraId="109D9921">
                  <w:pPr>
                    <w:pStyle w:val="29"/>
                    <w:bidi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587" w:type="dxa"/>
                  <w:vAlign w:val="center"/>
                </w:tcPr>
                <w:p w14:paraId="6DC551C0">
                  <w:pPr>
                    <w:pStyle w:val="29"/>
                    <w:bidi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r>
            <w:tr w14:paraId="15E8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621" w:type="dxa"/>
                  <w:vMerge w:val="continue"/>
                  <w:vAlign w:val="center"/>
                </w:tcPr>
                <w:p w14:paraId="2C4FD347">
                  <w:pPr>
                    <w:pStyle w:val="29"/>
                    <w:bidi w:val="0"/>
                    <w:jc w:val="center"/>
                    <w:rPr>
                      <w:rFonts w:hint="default" w:ascii="Times New Roman" w:hAnsi="Times New Roman" w:cs="Times New Roman"/>
                      <w:color w:val="auto"/>
                      <w:sz w:val="21"/>
                      <w:szCs w:val="21"/>
                      <w:lang w:val="en-US" w:eastAsia="zh-CN"/>
                    </w:rPr>
                  </w:pPr>
                </w:p>
              </w:tc>
              <w:tc>
                <w:tcPr>
                  <w:tcW w:w="1279" w:type="dxa"/>
                  <w:vMerge w:val="continue"/>
                  <w:vAlign w:val="center"/>
                </w:tcPr>
                <w:p w14:paraId="2A24E2B3">
                  <w:pPr>
                    <w:pStyle w:val="29"/>
                    <w:bidi w:val="0"/>
                    <w:ind w:firstLine="0" w:firstLineChars="0"/>
                    <w:jc w:val="center"/>
                    <w:rPr>
                      <w:rFonts w:hint="default" w:ascii="Times New Roman" w:hAnsi="Times New Roman" w:cs="Times New Roman"/>
                      <w:color w:val="auto"/>
                      <w:sz w:val="21"/>
                      <w:szCs w:val="21"/>
                      <w:highlight w:val="none"/>
                      <w:lang w:val="en-US" w:eastAsia="zh-CN"/>
                    </w:rPr>
                  </w:pPr>
                </w:p>
              </w:tc>
              <w:tc>
                <w:tcPr>
                  <w:tcW w:w="3883" w:type="dxa"/>
                  <w:vAlign w:val="center"/>
                </w:tcPr>
                <w:p w14:paraId="294FBAE5">
                  <w:pPr>
                    <w:pStyle w:val="29"/>
                    <w:bidi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米107-11M、米107-12M井场厂界设置隔声墙，总长度约为240米</w:t>
                  </w:r>
                </w:p>
              </w:tc>
              <w:tc>
                <w:tcPr>
                  <w:tcW w:w="1269" w:type="dxa"/>
                  <w:vAlign w:val="center"/>
                </w:tcPr>
                <w:p w14:paraId="040A7482">
                  <w:pPr>
                    <w:pStyle w:val="29"/>
                    <w:bidi w:val="0"/>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400米</w:t>
                  </w:r>
                </w:p>
              </w:tc>
              <w:tc>
                <w:tcPr>
                  <w:tcW w:w="1587" w:type="dxa"/>
                  <w:vAlign w:val="center"/>
                </w:tcPr>
                <w:p w14:paraId="6502F3F6">
                  <w:pPr>
                    <w:pStyle w:val="29"/>
                    <w:bidi w:val="0"/>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r>
            <w:tr w14:paraId="7681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restart"/>
                  <w:vAlign w:val="center"/>
                </w:tcPr>
                <w:p w14:paraId="50845E5B">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固体废物</w:t>
                  </w:r>
                </w:p>
              </w:tc>
              <w:tc>
                <w:tcPr>
                  <w:tcW w:w="1279" w:type="dxa"/>
                  <w:vAlign w:val="center"/>
                </w:tcPr>
                <w:p w14:paraId="2851E7D8">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废弃泥浆、</w:t>
                  </w:r>
                </w:p>
                <w:p w14:paraId="3F42BF23">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钻井岩屑</w:t>
                  </w:r>
                </w:p>
              </w:tc>
              <w:tc>
                <w:tcPr>
                  <w:tcW w:w="3883" w:type="dxa"/>
                  <w:vAlign w:val="center"/>
                </w:tcPr>
                <w:p w14:paraId="7D93F7F0">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移动式收集罐</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3</w:t>
                  </w:r>
                </w:p>
              </w:tc>
              <w:tc>
                <w:tcPr>
                  <w:tcW w:w="1269" w:type="dxa"/>
                  <w:vAlign w:val="center"/>
                </w:tcPr>
                <w:p w14:paraId="02546384">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个</w:t>
                  </w:r>
                </w:p>
              </w:tc>
              <w:tc>
                <w:tcPr>
                  <w:tcW w:w="1587" w:type="dxa"/>
                  <w:vAlign w:val="center"/>
                </w:tcPr>
                <w:p w14:paraId="71E1C6AE">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r>
            <w:tr w14:paraId="3412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2D5290EC">
                  <w:pPr>
                    <w:pStyle w:val="29"/>
                    <w:bidi w:val="0"/>
                    <w:jc w:val="center"/>
                    <w:rPr>
                      <w:rFonts w:hint="default" w:ascii="Times New Roman" w:hAnsi="Times New Roman" w:cs="Times New Roman"/>
                      <w:color w:val="auto"/>
                      <w:sz w:val="21"/>
                      <w:szCs w:val="21"/>
                      <w:lang w:val="en-US" w:eastAsia="zh-CN"/>
                    </w:rPr>
                  </w:pPr>
                </w:p>
              </w:tc>
              <w:tc>
                <w:tcPr>
                  <w:tcW w:w="1279" w:type="dxa"/>
                  <w:vAlign w:val="center"/>
                </w:tcPr>
                <w:p w14:paraId="3350DE7D">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泥浆循环罐</w:t>
                  </w:r>
                </w:p>
              </w:tc>
              <w:tc>
                <w:tcPr>
                  <w:tcW w:w="3883" w:type="dxa"/>
                  <w:vAlign w:val="center"/>
                </w:tcPr>
                <w:p w14:paraId="6E1F9C02">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单个井场设置7个50m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泥浆循环罐</w:t>
                  </w:r>
                </w:p>
              </w:tc>
              <w:tc>
                <w:tcPr>
                  <w:tcW w:w="1269" w:type="dxa"/>
                  <w:vAlign w:val="center"/>
                </w:tcPr>
                <w:p w14:paraId="7F6D131B">
                  <w:pPr>
                    <w:pStyle w:val="29"/>
                    <w:bidi w:val="0"/>
                    <w:jc w:val="center"/>
                    <w:rPr>
                      <w:rFonts w:hint="default" w:cs="Times New Roman"/>
                      <w:color w:val="auto"/>
                      <w:sz w:val="21"/>
                      <w:szCs w:val="21"/>
                      <w:lang w:val="en-US" w:eastAsia="zh-CN"/>
                    </w:rPr>
                  </w:pPr>
                  <w:r>
                    <w:rPr>
                      <w:rFonts w:hint="eastAsia" w:cs="Times New Roman"/>
                      <w:color w:val="auto"/>
                      <w:sz w:val="21"/>
                      <w:szCs w:val="21"/>
                      <w:lang w:val="en-US" w:eastAsia="zh-CN"/>
                    </w:rPr>
                    <w:t>21</w:t>
                  </w:r>
                  <w:r>
                    <w:rPr>
                      <w:rFonts w:hint="default" w:ascii="Times New Roman" w:hAnsi="Times New Roman" w:cs="Times New Roman"/>
                      <w:color w:val="auto"/>
                      <w:sz w:val="21"/>
                      <w:szCs w:val="21"/>
                      <w:lang w:val="en-US" w:eastAsia="zh-CN"/>
                    </w:rPr>
                    <w:t>个</w:t>
                  </w:r>
                </w:p>
              </w:tc>
              <w:tc>
                <w:tcPr>
                  <w:tcW w:w="1587" w:type="dxa"/>
                  <w:vAlign w:val="center"/>
                </w:tcPr>
                <w:p w14:paraId="2DBCE946">
                  <w:pPr>
                    <w:pStyle w:val="29"/>
                    <w:bidi w:val="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r>
            <w:tr w14:paraId="701E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5894D94A">
                  <w:pPr>
                    <w:pStyle w:val="29"/>
                    <w:bidi w:val="0"/>
                    <w:jc w:val="center"/>
                    <w:rPr>
                      <w:rFonts w:hint="default" w:ascii="Times New Roman" w:hAnsi="Times New Roman" w:cs="Times New Roman"/>
                      <w:color w:val="auto"/>
                      <w:sz w:val="21"/>
                      <w:szCs w:val="21"/>
                    </w:rPr>
                  </w:pPr>
                </w:p>
              </w:tc>
              <w:tc>
                <w:tcPr>
                  <w:tcW w:w="1279" w:type="dxa"/>
                  <w:vAlign w:val="center"/>
                </w:tcPr>
                <w:p w14:paraId="0949BC1C">
                  <w:pPr>
                    <w:pStyle w:val="29"/>
                    <w:bidi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危险废物</w:t>
                  </w:r>
                </w:p>
              </w:tc>
              <w:tc>
                <w:tcPr>
                  <w:tcW w:w="3883" w:type="dxa"/>
                  <w:vAlign w:val="center"/>
                </w:tcPr>
                <w:p w14:paraId="4EE86FCD">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w:t>
                  </w:r>
                  <w:r>
                    <w:rPr>
                      <w:rFonts w:hint="eastAsia" w:cs="Times New Roman"/>
                      <w:color w:val="auto"/>
                      <w:sz w:val="21"/>
                      <w:szCs w:val="21"/>
                      <w:lang w:val="en-US" w:eastAsia="zh-CN"/>
                    </w:rPr>
                    <w:t>贮存库</w:t>
                  </w:r>
                </w:p>
              </w:tc>
              <w:tc>
                <w:tcPr>
                  <w:tcW w:w="1269" w:type="dxa"/>
                  <w:vAlign w:val="center"/>
                </w:tcPr>
                <w:p w14:paraId="491EEA2A">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个</w:t>
                  </w:r>
                </w:p>
              </w:tc>
              <w:tc>
                <w:tcPr>
                  <w:tcW w:w="1587" w:type="dxa"/>
                  <w:vAlign w:val="center"/>
                </w:tcPr>
                <w:p w14:paraId="7A644B0A">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14:paraId="089E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08A60BB9">
                  <w:pPr>
                    <w:pStyle w:val="29"/>
                    <w:bidi w:val="0"/>
                    <w:jc w:val="center"/>
                    <w:rPr>
                      <w:rFonts w:hint="default" w:ascii="Times New Roman" w:hAnsi="Times New Roman" w:cs="Times New Roman"/>
                      <w:color w:val="auto"/>
                      <w:sz w:val="21"/>
                      <w:szCs w:val="21"/>
                    </w:rPr>
                  </w:pPr>
                </w:p>
              </w:tc>
              <w:tc>
                <w:tcPr>
                  <w:tcW w:w="1279" w:type="dxa"/>
                  <w:vAlign w:val="center"/>
                </w:tcPr>
                <w:p w14:paraId="0656AC02">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3883" w:type="dxa"/>
                  <w:vAlign w:val="center"/>
                </w:tcPr>
                <w:p w14:paraId="797D83A7">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经垃圾桶集中收集后由</w:t>
                  </w:r>
                  <w:r>
                    <w:rPr>
                      <w:rFonts w:hint="default" w:ascii="Times New Roman" w:hAnsi="Times New Roman" w:cs="Times New Roman"/>
                      <w:color w:val="auto"/>
                      <w:sz w:val="21"/>
                      <w:szCs w:val="21"/>
                      <w:lang w:val="en-US" w:eastAsia="zh-CN"/>
                    </w:rPr>
                    <w:t>交由</w:t>
                  </w:r>
                  <w:r>
                    <w:rPr>
                      <w:rFonts w:hint="default" w:ascii="Times New Roman" w:hAnsi="Times New Roman" w:cs="Times New Roman"/>
                      <w:color w:val="auto"/>
                      <w:sz w:val="21"/>
                      <w:szCs w:val="21"/>
                    </w:rPr>
                    <w:t>当地环卫部门集中处置。</w:t>
                  </w:r>
                </w:p>
              </w:tc>
              <w:tc>
                <w:tcPr>
                  <w:tcW w:w="1269" w:type="dxa"/>
                  <w:vAlign w:val="center"/>
                </w:tcPr>
                <w:p w14:paraId="7D9F27D5">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若干</w:t>
                  </w:r>
                </w:p>
              </w:tc>
              <w:tc>
                <w:tcPr>
                  <w:tcW w:w="1587" w:type="dxa"/>
                  <w:vAlign w:val="center"/>
                </w:tcPr>
                <w:p w14:paraId="455FB95D">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w:t>
                  </w:r>
                </w:p>
              </w:tc>
            </w:tr>
            <w:tr w14:paraId="330E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0E532C64">
                  <w:pPr>
                    <w:pStyle w:val="29"/>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地下水污染防治</w:t>
                  </w:r>
                </w:p>
              </w:tc>
              <w:tc>
                <w:tcPr>
                  <w:tcW w:w="3883" w:type="dxa"/>
                  <w:vAlign w:val="center"/>
                </w:tcPr>
                <w:p w14:paraId="596DCF42">
                  <w:pPr>
                    <w:pStyle w:val="29"/>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钻井工作区、泥浆不落地系统区、钻井液材料房、储罐区</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撬装式危废</w:t>
                  </w:r>
                  <w:r>
                    <w:rPr>
                      <w:rFonts w:hint="eastAsia" w:ascii="Times New Roman" w:hAnsi="Times New Roman" w:cs="Times New Roman"/>
                      <w:color w:val="auto"/>
                      <w:sz w:val="21"/>
                      <w:szCs w:val="21"/>
                      <w:lang w:val="en-US" w:eastAsia="zh-CN"/>
                    </w:rPr>
                    <w:t>贮存库</w:t>
                  </w:r>
                  <w:r>
                    <w:rPr>
                      <w:rFonts w:hint="eastAsia" w:cs="Times New Roman"/>
                      <w:color w:val="auto"/>
                      <w:sz w:val="21"/>
                      <w:szCs w:val="21"/>
                      <w:lang w:val="en-US" w:eastAsia="zh-CN"/>
                    </w:rPr>
                    <w:t>内部</w:t>
                  </w:r>
                  <w:r>
                    <w:rPr>
                      <w:rFonts w:hint="default" w:ascii="Times New Roman" w:hAnsi="Times New Roman" w:cs="Times New Roman"/>
                      <w:color w:val="auto"/>
                      <w:sz w:val="21"/>
                      <w:szCs w:val="21"/>
                    </w:rPr>
                    <w:t>、</w:t>
                  </w:r>
                  <w:r>
                    <w:rPr>
                      <w:rFonts w:hint="eastAsia" w:cs="Times New Roman"/>
                      <w:color w:val="auto"/>
                      <w:sz w:val="21"/>
                      <w:szCs w:val="21"/>
                      <w:lang w:eastAsia="zh-CN"/>
                    </w:rPr>
                    <w:t>放喷池</w:t>
                  </w:r>
                  <w:r>
                    <w:rPr>
                      <w:rFonts w:hint="default" w:ascii="Times New Roman" w:hAnsi="Times New Roman" w:cs="Times New Roman"/>
                      <w:color w:val="auto"/>
                      <w:sz w:val="21"/>
                      <w:szCs w:val="21"/>
                    </w:rPr>
                    <w:t>进行重点防渗处理</w:t>
                  </w:r>
                </w:p>
              </w:tc>
              <w:tc>
                <w:tcPr>
                  <w:tcW w:w="1269" w:type="dxa"/>
                  <w:vAlign w:val="center"/>
                </w:tcPr>
                <w:p w14:paraId="21C9F30F">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87" w:type="dxa"/>
                  <w:vAlign w:val="center"/>
                </w:tcPr>
                <w:p w14:paraId="78CE24C1">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w:t>
                  </w:r>
                </w:p>
              </w:tc>
            </w:tr>
            <w:tr w14:paraId="6DA1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2C2BEB13">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w:t>
                  </w:r>
                </w:p>
              </w:tc>
              <w:tc>
                <w:tcPr>
                  <w:tcW w:w="3883" w:type="dxa"/>
                  <w:vAlign w:val="center"/>
                </w:tcPr>
                <w:p w14:paraId="2BCE7CF9">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风险防范措施</w:t>
                  </w:r>
                </w:p>
              </w:tc>
              <w:tc>
                <w:tcPr>
                  <w:tcW w:w="1269" w:type="dxa"/>
                  <w:vAlign w:val="center"/>
                </w:tcPr>
                <w:p w14:paraId="4BDE4C93">
                  <w:pPr>
                    <w:pStyle w:val="2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87" w:type="dxa"/>
                  <w:vAlign w:val="center"/>
                </w:tcPr>
                <w:p w14:paraId="1C73AF11">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r>
            <w:tr w14:paraId="6457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6BBEB69A">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临时占地生态恢复</w:t>
                  </w:r>
                </w:p>
              </w:tc>
              <w:tc>
                <w:tcPr>
                  <w:tcW w:w="3883" w:type="dxa"/>
                  <w:vAlign w:val="center"/>
                </w:tcPr>
                <w:p w14:paraId="5D9CBC63">
                  <w:pPr>
                    <w:pStyle w:val="29"/>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覆土平整、恢复原有使用功能</w:t>
                  </w:r>
                </w:p>
              </w:tc>
              <w:tc>
                <w:tcPr>
                  <w:tcW w:w="1269" w:type="dxa"/>
                  <w:vAlign w:val="center"/>
                </w:tcPr>
                <w:p w14:paraId="4C183D19">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vertAlign w:val="baseline"/>
                      <w:lang w:val="en-US" w:eastAsia="zh-CN"/>
                    </w:rPr>
                    <w:t>67428</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1587" w:type="dxa"/>
                  <w:vAlign w:val="center"/>
                </w:tcPr>
                <w:p w14:paraId="661C118E">
                  <w:pPr>
                    <w:pStyle w:val="29"/>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r>
            <w:tr w14:paraId="3E2A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52" w:type="dxa"/>
                  <w:gridSpan w:val="4"/>
                  <w:vAlign w:val="center"/>
                </w:tcPr>
                <w:p w14:paraId="51AB479D">
                  <w:pPr>
                    <w:pStyle w:val="29"/>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587" w:type="dxa"/>
                  <w:vAlign w:val="center"/>
                </w:tcPr>
                <w:p w14:paraId="2343DF78">
                  <w:pPr>
                    <w:pStyle w:val="29"/>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334.6</w:t>
                  </w:r>
                </w:p>
              </w:tc>
            </w:tr>
          </w:tbl>
          <w:p w14:paraId="037CAB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备注：本项目米107-34M、米107-10MX、米107-12M同一时期施工，施工结束后各类设备分别搬迁至米107-6MX、107-15M、107-11M，各类收集罐、沉淀罐等均重复使用，本次环保投资按照设备的折旧费计算。</w:t>
            </w:r>
          </w:p>
          <w:p w14:paraId="670F58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2671C3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76B9E9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2D92C767">
            <w:pPr>
              <w:pStyle w:val="18"/>
              <w:jc w:val="both"/>
              <w:rPr>
                <w:rFonts w:hint="default" w:ascii="Times New Roman" w:hAnsi="Times New Roman" w:eastAsia="宋体" w:cs="Times New Roman"/>
                <w:b w:val="0"/>
                <w:bCs w:val="0"/>
                <w:color w:val="auto"/>
                <w:sz w:val="21"/>
                <w:szCs w:val="21"/>
                <w:vertAlign w:val="baseline"/>
                <w:lang w:val="en-US" w:eastAsia="zh-CN"/>
              </w:rPr>
            </w:pPr>
          </w:p>
          <w:p w14:paraId="6543C013">
            <w:pPr>
              <w:jc w:val="both"/>
              <w:rPr>
                <w:rFonts w:hint="default" w:ascii="Times New Roman" w:hAnsi="Times New Roman" w:eastAsia="宋体" w:cs="Times New Roman"/>
                <w:b w:val="0"/>
                <w:bCs w:val="0"/>
                <w:color w:val="auto"/>
                <w:sz w:val="21"/>
                <w:szCs w:val="21"/>
                <w:vertAlign w:val="baseline"/>
                <w:lang w:val="en-US" w:eastAsia="zh-CN"/>
              </w:rPr>
            </w:pPr>
          </w:p>
          <w:p w14:paraId="3324DE1B">
            <w:pPr>
              <w:pStyle w:val="18"/>
              <w:jc w:val="both"/>
              <w:rPr>
                <w:rFonts w:hint="default" w:ascii="Times New Roman" w:hAnsi="Times New Roman" w:eastAsia="宋体" w:cs="Times New Roman"/>
                <w:b w:val="0"/>
                <w:bCs w:val="0"/>
                <w:color w:val="auto"/>
                <w:sz w:val="21"/>
                <w:szCs w:val="21"/>
                <w:vertAlign w:val="baseline"/>
                <w:lang w:val="en-US" w:eastAsia="zh-CN"/>
              </w:rPr>
            </w:pPr>
          </w:p>
          <w:p w14:paraId="28206C48">
            <w:pPr>
              <w:jc w:val="both"/>
              <w:rPr>
                <w:rFonts w:hint="default" w:ascii="Times New Roman" w:hAnsi="Times New Roman" w:eastAsia="宋体" w:cs="Times New Roman"/>
                <w:b w:val="0"/>
                <w:bCs w:val="0"/>
                <w:color w:val="auto"/>
                <w:sz w:val="21"/>
                <w:szCs w:val="21"/>
                <w:vertAlign w:val="baseline"/>
                <w:lang w:val="en-US" w:eastAsia="zh-CN"/>
              </w:rPr>
            </w:pPr>
          </w:p>
          <w:p w14:paraId="7023ACDC">
            <w:pPr>
              <w:pStyle w:val="18"/>
              <w:jc w:val="both"/>
              <w:rPr>
                <w:rFonts w:hint="default" w:ascii="Times New Roman" w:hAnsi="Times New Roman" w:eastAsia="宋体" w:cs="Times New Roman"/>
                <w:b w:val="0"/>
                <w:bCs w:val="0"/>
                <w:color w:val="auto"/>
                <w:sz w:val="21"/>
                <w:szCs w:val="21"/>
                <w:vertAlign w:val="baseline"/>
                <w:lang w:val="en-US" w:eastAsia="zh-CN"/>
              </w:rPr>
            </w:pPr>
          </w:p>
          <w:p w14:paraId="3DA5A8AE">
            <w:pPr>
              <w:jc w:val="both"/>
              <w:rPr>
                <w:rFonts w:hint="default" w:ascii="Times New Roman" w:hAnsi="Times New Roman" w:eastAsia="宋体" w:cs="Times New Roman"/>
                <w:b w:val="0"/>
                <w:bCs w:val="0"/>
                <w:color w:val="auto"/>
                <w:sz w:val="21"/>
                <w:szCs w:val="21"/>
                <w:vertAlign w:val="baseline"/>
                <w:lang w:val="en-US" w:eastAsia="zh-CN"/>
              </w:rPr>
            </w:pPr>
          </w:p>
          <w:p w14:paraId="18D93CFA">
            <w:pPr>
              <w:pStyle w:val="18"/>
              <w:jc w:val="both"/>
              <w:rPr>
                <w:rFonts w:hint="default" w:ascii="Times New Roman" w:hAnsi="Times New Roman" w:eastAsia="宋体" w:cs="Times New Roman"/>
                <w:b w:val="0"/>
                <w:bCs w:val="0"/>
                <w:color w:val="auto"/>
                <w:sz w:val="21"/>
                <w:szCs w:val="21"/>
                <w:vertAlign w:val="baseline"/>
                <w:lang w:val="en-US" w:eastAsia="zh-CN"/>
              </w:rPr>
            </w:pPr>
          </w:p>
          <w:p w14:paraId="346F170F">
            <w:pPr>
              <w:jc w:val="both"/>
              <w:rPr>
                <w:rFonts w:hint="default" w:ascii="Times New Roman" w:hAnsi="Times New Roman" w:eastAsia="宋体" w:cs="Times New Roman"/>
                <w:b w:val="0"/>
                <w:bCs w:val="0"/>
                <w:color w:val="auto"/>
                <w:sz w:val="21"/>
                <w:szCs w:val="21"/>
                <w:vertAlign w:val="baseline"/>
                <w:lang w:val="en-US" w:eastAsia="zh-CN"/>
              </w:rPr>
            </w:pPr>
          </w:p>
          <w:p w14:paraId="4731390F">
            <w:pPr>
              <w:pStyle w:val="18"/>
              <w:jc w:val="both"/>
              <w:rPr>
                <w:rFonts w:hint="default" w:ascii="Times New Roman" w:hAnsi="Times New Roman" w:eastAsia="宋体" w:cs="Times New Roman"/>
                <w:b w:val="0"/>
                <w:bCs w:val="0"/>
                <w:color w:val="auto"/>
                <w:sz w:val="21"/>
                <w:szCs w:val="21"/>
                <w:vertAlign w:val="baseline"/>
                <w:lang w:val="en-US" w:eastAsia="zh-CN"/>
              </w:rPr>
            </w:pPr>
          </w:p>
          <w:p w14:paraId="50F8BC4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bl>
    <w:p w14:paraId="1E2028F3">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0660B732">
      <w:pPr>
        <w:numPr>
          <w:ilvl w:val="0"/>
          <w:numId w:val="4"/>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生态环境保护措施监督检查清单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4782"/>
        <w:gridCol w:w="1738"/>
        <w:gridCol w:w="862"/>
        <w:gridCol w:w="642"/>
      </w:tblGrid>
      <w:tr w14:paraId="47FA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1E6B4B8B">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3810</wp:posOffset>
                      </wp:positionV>
                      <wp:extent cx="793115" cy="588645"/>
                      <wp:effectExtent l="3810" t="5080" r="22225" b="15875"/>
                      <wp:wrapNone/>
                      <wp:docPr id="4" name="直接连接符 4"/>
                      <wp:cNvGraphicFramePr/>
                      <a:graphic xmlns:a="http://schemas.openxmlformats.org/drawingml/2006/main">
                        <a:graphicData uri="http://schemas.microsoft.com/office/word/2010/wordprocessingShape">
                          <wps:wsp>
                            <wps:cNvCnPr/>
                            <wps:spPr>
                              <a:xfrm>
                                <a:off x="831215" y="1315720"/>
                                <a:ext cx="793115" cy="5886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0.3pt;height:46.35pt;width:62.45pt;z-index:251660288;mso-width-relative:page;mso-height-relative:page;" filled="f" stroked="t" coordsize="21600,21600" o:gfxdata="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OdeHNYAAAAHAQAADwAAAAAAAAABACAAAAAiAAAAZHJzL2Rvd25yZXYueG1sUEsBAhQA&#10;FAAAAAgAh07iQC7zlXz0AQAAwQMAAA4AAAAAAAAAAQAgAAAAJQEAAGRycy9lMm9Eb2MueG1sUEsF&#10;BgAAAAAGAAYAWQEAAIsFA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rPr>
              <w:t>内容</w:t>
            </w:r>
          </w:p>
          <w:p w14:paraId="0DF14A95">
            <w:pPr>
              <w:numPr>
                <w:ilvl w:val="0"/>
                <w:numId w:val="0"/>
              </w:numPr>
              <w:jc w:val="both"/>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要素</w:t>
            </w:r>
          </w:p>
        </w:tc>
        <w:tc>
          <w:tcPr>
            <w:tcW w:w="6520" w:type="dxa"/>
            <w:gridSpan w:val="2"/>
            <w:vAlign w:val="center"/>
          </w:tcPr>
          <w:p w14:paraId="19937743">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施工期</w:t>
            </w:r>
          </w:p>
        </w:tc>
        <w:tc>
          <w:tcPr>
            <w:tcW w:w="1504" w:type="dxa"/>
            <w:gridSpan w:val="2"/>
            <w:vAlign w:val="center"/>
          </w:tcPr>
          <w:p w14:paraId="0A54388E">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营运期</w:t>
            </w:r>
          </w:p>
        </w:tc>
      </w:tr>
      <w:tr w14:paraId="2057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32F2C0">
            <w:pPr>
              <w:numPr>
                <w:ilvl w:val="0"/>
                <w:numId w:val="0"/>
              </w:numPr>
              <w:jc w:val="center"/>
              <w:rPr>
                <w:rFonts w:hint="default" w:ascii="Times New Roman" w:hAnsi="Times New Roman" w:eastAsia="宋体" w:cs="Times New Roman"/>
                <w:b/>
                <w:bCs/>
                <w:color w:val="auto"/>
                <w:sz w:val="21"/>
                <w:szCs w:val="21"/>
                <w:vertAlign w:val="baseline"/>
                <w:lang w:val="en-US" w:eastAsia="zh-CN"/>
              </w:rPr>
            </w:pPr>
          </w:p>
        </w:tc>
        <w:tc>
          <w:tcPr>
            <w:tcW w:w="4782" w:type="dxa"/>
            <w:vAlign w:val="center"/>
          </w:tcPr>
          <w:p w14:paraId="15FD63BC">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1738" w:type="dxa"/>
            <w:vAlign w:val="center"/>
          </w:tcPr>
          <w:p w14:paraId="46738352">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c>
          <w:tcPr>
            <w:tcW w:w="862" w:type="dxa"/>
            <w:vAlign w:val="center"/>
          </w:tcPr>
          <w:p w14:paraId="7008D869">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642" w:type="dxa"/>
            <w:vAlign w:val="center"/>
          </w:tcPr>
          <w:p w14:paraId="0A50942F">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r>
      <w:tr w14:paraId="1625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32A74E6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陆生生态</w:t>
            </w:r>
          </w:p>
        </w:tc>
        <w:tc>
          <w:tcPr>
            <w:tcW w:w="4782" w:type="dxa"/>
            <w:vAlign w:val="center"/>
          </w:tcPr>
          <w:p w14:paraId="73B765C3">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施工期：</w:t>
            </w:r>
          </w:p>
          <w:p w14:paraId="3352E1E7">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合理布置井场及钻井设备，减少井场占地面积；合理安排施工时间；禁止废水、废弃泥浆、岩屑以及其他废物流失和乱排放；完井后回收各种废料；施工结束后，除生产井所需的面积外，对其余占地覆土恢复植被种植。</w:t>
            </w:r>
          </w:p>
          <w:p w14:paraId="4523B605">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封井期：拆除场地地面设施，进行井场清理，耕地交由农户进行复垦，草地恢复为草地，林地恢复为林地，并辅以草地搭配，园地种植原有果树。</w:t>
            </w:r>
          </w:p>
        </w:tc>
        <w:tc>
          <w:tcPr>
            <w:tcW w:w="1738" w:type="dxa"/>
            <w:vAlign w:val="center"/>
          </w:tcPr>
          <w:p w14:paraId="43EEE83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生态环境质量不降低</w:t>
            </w:r>
          </w:p>
        </w:tc>
        <w:tc>
          <w:tcPr>
            <w:tcW w:w="862" w:type="dxa"/>
            <w:vAlign w:val="center"/>
          </w:tcPr>
          <w:p w14:paraId="2741EBE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549DAD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8C0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72DB9E2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水生生态</w:t>
            </w:r>
          </w:p>
        </w:tc>
        <w:tc>
          <w:tcPr>
            <w:tcW w:w="4782" w:type="dxa"/>
            <w:vAlign w:val="center"/>
          </w:tcPr>
          <w:p w14:paraId="14D159D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361459A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489137E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4FD294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C5E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47F9786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地表水环境</w:t>
            </w:r>
          </w:p>
        </w:tc>
        <w:tc>
          <w:tcPr>
            <w:tcW w:w="4782" w:type="dxa"/>
            <w:vAlign w:val="center"/>
          </w:tcPr>
          <w:p w14:paraId="3ADB10D3">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rPr>
              <w:t>钻井废水：项目钻井废水经泥浆水循环系统处理后优先作为钻井液配水回用，钻井结束后，</w:t>
            </w:r>
            <w:r>
              <w:rPr>
                <w:rFonts w:hint="eastAsia" w:ascii="宋体" w:hAnsi="宋体" w:eastAsia="宋体" w:cs="宋体"/>
                <w:color w:val="auto"/>
                <w:sz w:val="21"/>
                <w:szCs w:val="21"/>
              </w:rPr>
              <w:t>不能回用的钻井废水委托</w:t>
            </w:r>
            <w:r>
              <w:rPr>
                <w:rFonts w:hint="default" w:ascii="宋体" w:hAnsi="宋体" w:eastAsia="宋体" w:cs="宋体"/>
                <w:color w:val="auto"/>
                <w:sz w:val="21"/>
                <w:szCs w:val="21"/>
                <w:lang w:eastAsia="zh-CN"/>
              </w:rPr>
              <w:t>陕西</w:t>
            </w:r>
            <w:r>
              <w:rPr>
                <w:rFonts w:hint="eastAsia" w:ascii="宋体" w:hAnsi="宋体" w:eastAsia="宋体" w:cs="宋体"/>
                <w:color w:val="auto"/>
                <w:sz w:val="21"/>
                <w:szCs w:val="21"/>
                <w:lang w:val="en-US" w:eastAsia="zh-CN"/>
              </w:rPr>
              <w:t>榆佳环保科技</w:t>
            </w:r>
            <w:r>
              <w:rPr>
                <w:rFonts w:hint="default" w:ascii="宋体" w:hAnsi="宋体" w:eastAsia="宋体" w:cs="宋体"/>
                <w:color w:val="auto"/>
                <w:sz w:val="21"/>
                <w:szCs w:val="21"/>
                <w:lang w:eastAsia="zh-CN"/>
              </w:rPr>
              <w:t>有限公司</w:t>
            </w:r>
            <w:r>
              <w:rPr>
                <w:rFonts w:hint="eastAsia" w:ascii="宋体" w:hAnsi="宋体" w:eastAsia="宋体" w:cs="宋体"/>
                <w:color w:val="auto"/>
                <w:sz w:val="21"/>
                <w:szCs w:val="21"/>
              </w:rPr>
              <w:t>外运处理。</w:t>
            </w:r>
          </w:p>
        </w:tc>
        <w:tc>
          <w:tcPr>
            <w:tcW w:w="1738" w:type="dxa"/>
            <w:vMerge w:val="restart"/>
            <w:vAlign w:val="center"/>
          </w:tcPr>
          <w:p w14:paraId="03EF5F9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废水妥善处置，不外排</w:t>
            </w:r>
          </w:p>
        </w:tc>
        <w:tc>
          <w:tcPr>
            <w:tcW w:w="862" w:type="dxa"/>
            <w:vAlign w:val="center"/>
          </w:tcPr>
          <w:p w14:paraId="7E19861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9E5B72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121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323CEBB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30AAF5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rPr>
              <w:t>洗井废水：由专用收集罐临时收集</w:t>
            </w:r>
            <w:r>
              <w:rPr>
                <w:rFonts w:hint="default" w:ascii="宋体" w:hAnsi="宋体" w:eastAsia="宋体" w:cs="宋体"/>
                <w:color w:val="auto"/>
                <w:sz w:val="21"/>
                <w:szCs w:val="21"/>
                <w:lang w:eastAsia="zh-CN"/>
              </w:rPr>
              <w:t>，</w:t>
            </w:r>
            <w:r>
              <w:rPr>
                <w:rFonts w:hint="default" w:ascii="宋体" w:hAnsi="宋体" w:eastAsia="宋体" w:cs="宋体"/>
                <w:color w:val="auto"/>
                <w:sz w:val="21"/>
                <w:szCs w:val="21"/>
              </w:rPr>
              <w:t>钻井结束后，</w:t>
            </w:r>
            <w:r>
              <w:rPr>
                <w:rFonts w:hint="eastAsia" w:ascii="宋体" w:hAnsi="宋体" w:eastAsia="宋体" w:cs="宋体"/>
                <w:color w:val="auto"/>
                <w:sz w:val="21"/>
                <w:szCs w:val="21"/>
              </w:rPr>
              <w:t>不能回用的钻井废水委托</w:t>
            </w:r>
            <w:r>
              <w:rPr>
                <w:rFonts w:hint="default" w:ascii="宋体" w:hAnsi="宋体" w:eastAsia="宋体" w:cs="宋体"/>
                <w:color w:val="auto"/>
                <w:sz w:val="21"/>
                <w:szCs w:val="21"/>
                <w:lang w:eastAsia="zh-CN"/>
              </w:rPr>
              <w:t>陕西</w:t>
            </w:r>
            <w:r>
              <w:rPr>
                <w:rFonts w:hint="eastAsia" w:ascii="宋体" w:hAnsi="宋体" w:eastAsia="宋体" w:cs="宋体"/>
                <w:color w:val="auto"/>
                <w:sz w:val="21"/>
                <w:szCs w:val="21"/>
                <w:lang w:val="en-US" w:eastAsia="zh-CN"/>
              </w:rPr>
              <w:t>榆佳环保科技</w:t>
            </w:r>
            <w:r>
              <w:rPr>
                <w:rFonts w:hint="default" w:ascii="宋体" w:hAnsi="宋体" w:eastAsia="宋体" w:cs="宋体"/>
                <w:color w:val="auto"/>
                <w:sz w:val="21"/>
                <w:szCs w:val="21"/>
                <w:lang w:eastAsia="zh-CN"/>
              </w:rPr>
              <w:t>有限公司</w:t>
            </w:r>
            <w:r>
              <w:rPr>
                <w:rFonts w:hint="eastAsia" w:ascii="宋体" w:hAnsi="宋体" w:eastAsia="宋体" w:cs="宋体"/>
                <w:color w:val="auto"/>
                <w:sz w:val="21"/>
                <w:szCs w:val="21"/>
              </w:rPr>
              <w:t>外运处理。</w:t>
            </w:r>
          </w:p>
        </w:tc>
        <w:tc>
          <w:tcPr>
            <w:tcW w:w="1738" w:type="dxa"/>
            <w:vMerge w:val="continue"/>
            <w:vAlign w:val="center"/>
          </w:tcPr>
          <w:p w14:paraId="51EE03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73F869E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6D9B5A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F01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5AB4AF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450ADA70">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rPr>
              <w:t>压裂返排液：本项目压裂返排液临时收集贮存于专用收集罐，钻井结束后剩余压裂返排液用专用收集罐收集，</w:t>
            </w:r>
            <w:r>
              <w:rPr>
                <w:rFonts w:hint="eastAsia" w:ascii="宋体" w:hAnsi="宋体" w:eastAsia="宋体" w:cs="宋体"/>
                <w:color w:val="auto"/>
                <w:sz w:val="21"/>
                <w:szCs w:val="21"/>
              </w:rPr>
              <w:t>委托</w:t>
            </w:r>
            <w:r>
              <w:rPr>
                <w:rFonts w:hint="default" w:ascii="宋体" w:hAnsi="宋体" w:eastAsia="宋体" w:cs="宋体"/>
                <w:color w:val="auto"/>
                <w:sz w:val="21"/>
                <w:szCs w:val="21"/>
                <w:lang w:eastAsia="zh-CN"/>
              </w:rPr>
              <w:t>陕西</w:t>
            </w:r>
            <w:r>
              <w:rPr>
                <w:rFonts w:hint="eastAsia" w:ascii="宋体" w:hAnsi="宋体" w:eastAsia="宋体" w:cs="宋体"/>
                <w:color w:val="auto"/>
                <w:sz w:val="21"/>
                <w:szCs w:val="21"/>
                <w:lang w:val="en-US" w:eastAsia="zh-CN"/>
              </w:rPr>
              <w:t>榆佳环保科技</w:t>
            </w:r>
            <w:r>
              <w:rPr>
                <w:rFonts w:hint="default" w:ascii="宋体" w:hAnsi="宋体" w:eastAsia="宋体" w:cs="宋体"/>
                <w:color w:val="auto"/>
                <w:sz w:val="21"/>
                <w:szCs w:val="21"/>
                <w:lang w:eastAsia="zh-CN"/>
              </w:rPr>
              <w:t>有限公司</w:t>
            </w:r>
            <w:r>
              <w:rPr>
                <w:rFonts w:hint="eastAsia" w:ascii="宋体" w:hAnsi="宋体" w:eastAsia="宋体" w:cs="宋体"/>
                <w:color w:val="auto"/>
                <w:sz w:val="21"/>
                <w:szCs w:val="21"/>
              </w:rPr>
              <w:t>外运处理。</w:t>
            </w:r>
          </w:p>
        </w:tc>
        <w:tc>
          <w:tcPr>
            <w:tcW w:w="1738" w:type="dxa"/>
            <w:vMerge w:val="continue"/>
            <w:vAlign w:val="center"/>
          </w:tcPr>
          <w:p w14:paraId="05565B0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2DDAC90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BDBA5D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118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673A69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47C9ABE7">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生活污水：场区设移动式防渗</w:t>
            </w:r>
            <w:r>
              <w:rPr>
                <w:rFonts w:hint="eastAsia" w:ascii="Times New Roman" w:hAnsi="Times New Roman" w:eastAsia="宋体" w:cs="Times New Roman"/>
                <w:color w:val="auto"/>
                <w:sz w:val="21"/>
                <w:szCs w:val="24"/>
                <w:lang w:val="en-US" w:eastAsia="zh-CN"/>
              </w:rPr>
              <w:t>卫生</w:t>
            </w:r>
            <w:r>
              <w:rPr>
                <w:rFonts w:hint="default" w:ascii="Times New Roman" w:hAnsi="Times New Roman" w:eastAsia="宋体" w:cs="Times New Roman"/>
                <w:color w:val="auto"/>
                <w:sz w:val="21"/>
                <w:szCs w:val="24"/>
              </w:rPr>
              <w:t>旱厕，定期清掏用作周边农田堆肥。</w:t>
            </w:r>
          </w:p>
        </w:tc>
        <w:tc>
          <w:tcPr>
            <w:tcW w:w="1738" w:type="dxa"/>
            <w:vMerge w:val="continue"/>
            <w:vAlign w:val="center"/>
          </w:tcPr>
          <w:p w14:paraId="639DC65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124EC2E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DA80E8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8C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04AC8BD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地下水及土壤环境</w:t>
            </w:r>
          </w:p>
        </w:tc>
        <w:tc>
          <w:tcPr>
            <w:tcW w:w="4782" w:type="dxa"/>
            <w:vAlign w:val="center"/>
          </w:tcPr>
          <w:p w14:paraId="07131BC5">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重</w:t>
            </w:r>
            <w:r>
              <w:rPr>
                <w:rFonts w:hint="default" w:ascii="Times New Roman" w:hAnsi="Times New Roman" w:eastAsia="宋体" w:cs="Times New Roman"/>
                <w:b w:val="0"/>
                <w:bCs w:val="0"/>
                <w:color w:val="auto"/>
                <w:sz w:val="21"/>
                <w:szCs w:val="21"/>
                <w:vertAlign w:val="baseline"/>
                <w:lang w:val="en-US" w:eastAsia="zh-CN"/>
              </w:rPr>
              <w:t>点防渗区地面底部利用机械将衬层压实，四周用土堆成简易围堰，围堰内地面连同四周的土围堰整体铺设防渗材料（HDPE膜</w:t>
            </w:r>
            <w:r>
              <w:rPr>
                <w:rFonts w:hint="eastAsia" w:ascii="Times New Roman" w:hAnsi="Times New Roman" w:eastAsia="宋体" w:cs="Times New Roman"/>
                <w:b w:val="0"/>
                <w:bCs w:val="0"/>
                <w:color w:val="auto"/>
                <w:sz w:val="21"/>
                <w:szCs w:val="21"/>
                <w:vertAlign w:val="baseline"/>
                <w:lang w:val="en-US" w:eastAsia="zh-CN"/>
              </w:rPr>
              <w:t>，双层</w:t>
            </w:r>
            <w:r>
              <w:rPr>
                <w:rFonts w:hint="default" w:ascii="Times New Roman" w:hAnsi="Times New Roman" w:eastAsia="宋体" w:cs="Times New Roman"/>
                <w:b w:val="0"/>
                <w:bCs w:val="0"/>
                <w:color w:val="auto"/>
                <w:sz w:val="21"/>
                <w:szCs w:val="21"/>
                <w:vertAlign w:val="baseline"/>
                <w:lang w:val="en-US" w:eastAsia="zh-CN"/>
              </w:rPr>
              <w:t>），等效黏土防渗层Mb≥6.0m，K≤1×10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cm/s，HDPE膜敷设面积应适当扩大，覆盖围堰区外延1.0m范围；</w:t>
            </w:r>
            <w:r>
              <w:rPr>
                <w:rFonts w:hint="eastAsia" w:ascii="Times New Roman" w:hAnsi="Times New Roman" w:eastAsia="宋体" w:cs="Times New Roman"/>
                <w:b w:val="0"/>
                <w:bCs w:val="0"/>
                <w:color w:val="auto"/>
                <w:sz w:val="21"/>
                <w:szCs w:val="21"/>
                <w:vertAlign w:val="baseline"/>
                <w:lang w:val="en-US" w:eastAsia="zh-CN"/>
              </w:rPr>
              <w:t>放喷池</w:t>
            </w:r>
            <w:r>
              <w:rPr>
                <w:rFonts w:hint="default" w:ascii="Times New Roman" w:hAnsi="Times New Roman" w:eastAsia="宋体" w:cs="Times New Roman"/>
                <w:b w:val="0"/>
                <w:bCs w:val="0"/>
                <w:color w:val="auto"/>
                <w:sz w:val="21"/>
                <w:szCs w:val="21"/>
                <w:vertAlign w:val="baseline"/>
                <w:lang w:val="en-US" w:eastAsia="zh-CN"/>
              </w:rPr>
              <w:t>防渗措施：</w:t>
            </w:r>
            <w:r>
              <w:rPr>
                <w:rFonts w:hint="eastAsia" w:ascii="Times New Roman" w:hAnsi="Times New Roman" w:eastAsia="宋体" w:cs="Times New Roman"/>
                <w:b w:val="0"/>
                <w:bCs w:val="0"/>
                <w:color w:val="auto"/>
                <w:sz w:val="21"/>
                <w:szCs w:val="21"/>
                <w:vertAlign w:val="baseline"/>
                <w:lang w:val="en-US" w:eastAsia="zh-CN"/>
              </w:rPr>
              <w:t>罐</w:t>
            </w:r>
            <w:r>
              <w:rPr>
                <w:rFonts w:hint="default" w:ascii="Times New Roman" w:hAnsi="Times New Roman" w:eastAsia="宋体" w:cs="Times New Roman"/>
                <w:b w:val="0"/>
                <w:bCs w:val="0"/>
                <w:color w:val="auto"/>
                <w:sz w:val="21"/>
                <w:szCs w:val="21"/>
                <w:vertAlign w:val="baseline"/>
                <w:lang w:val="en-US" w:eastAsia="zh-CN"/>
              </w:rPr>
              <w:t>底填筑一定厚度的土壤后压实，</w:t>
            </w:r>
            <w:r>
              <w:rPr>
                <w:rFonts w:hint="eastAsia" w:ascii="Times New Roman" w:hAnsi="Times New Roman" w:eastAsia="宋体" w:cs="Times New Roman"/>
                <w:b w:val="0"/>
                <w:bCs w:val="0"/>
                <w:color w:val="auto"/>
                <w:sz w:val="21"/>
                <w:szCs w:val="21"/>
                <w:vertAlign w:val="baseline"/>
                <w:lang w:val="en-US" w:eastAsia="zh-CN"/>
              </w:rPr>
              <w:t>罐</w:t>
            </w:r>
            <w:r>
              <w:rPr>
                <w:rFonts w:hint="default" w:ascii="Times New Roman" w:hAnsi="Times New Roman" w:eastAsia="宋体" w:cs="Times New Roman"/>
                <w:b w:val="0"/>
                <w:bCs w:val="0"/>
                <w:color w:val="auto"/>
                <w:sz w:val="21"/>
                <w:szCs w:val="21"/>
                <w:vertAlign w:val="baseline"/>
                <w:lang w:val="en-US" w:eastAsia="zh-CN"/>
              </w:rPr>
              <w:t>底及四周铺设</w:t>
            </w:r>
            <w:r>
              <w:rPr>
                <w:rFonts w:hint="eastAsia" w:ascii="Times New Roman" w:hAnsi="Times New Roman" w:eastAsia="宋体" w:cs="Times New Roman"/>
                <w:b w:val="0"/>
                <w:bCs w:val="0"/>
                <w:color w:val="auto"/>
                <w:sz w:val="21"/>
                <w:szCs w:val="21"/>
                <w:vertAlign w:val="baseline"/>
                <w:lang w:val="en-US" w:eastAsia="zh-CN"/>
              </w:rPr>
              <w:t>防渗膜</w:t>
            </w:r>
            <w:r>
              <w:rPr>
                <w:rFonts w:hint="default" w:ascii="Times New Roman" w:hAnsi="Times New Roman" w:eastAsia="宋体" w:cs="Times New Roman"/>
                <w:b w:val="0"/>
                <w:bCs w:val="0"/>
                <w:color w:val="auto"/>
                <w:sz w:val="21"/>
                <w:szCs w:val="21"/>
                <w:vertAlign w:val="baseline"/>
                <w:lang w:val="en-US" w:eastAsia="zh-CN"/>
              </w:rPr>
              <w:t>作防渗漏处理，</w:t>
            </w:r>
            <w:r>
              <w:rPr>
                <w:rFonts w:hint="eastAsia" w:ascii="Times New Roman" w:hAnsi="Times New Roman" w:eastAsia="宋体" w:cs="Times New Roman"/>
                <w:b w:val="0"/>
                <w:bCs w:val="0"/>
                <w:color w:val="auto"/>
                <w:sz w:val="21"/>
                <w:szCs w:val="21"/>
                <w:vertAlign w:val="baseline"/>
                <w:lang w:val="en-US" w:eastAsia="zh-CN"/>
              </w:rPr>
              <w:t>防渗膜</w:t>
            </w:r>
            <w:r>
              <w:rPr>
                <w:rFonts w:hint="default" w:ascii="Times New Roman" w:hAnsi="Times New Roman" w:eastAsia="宋体" w:cs="Times New Roman"/>
                <w:b w:val="0"/>
                <w:bCs w:val="0"/>
                <w:color w:val="auto"/>
                <w:sz w:val="21"/>
                <w:szCs w:val="21"/>
                <w:vertAlign w:val="baseline"/>
                <w:lang w:val="en-US" w:eastAsia="zh-CN"/>
              </w:rPr>
              <w:t>搭接长度不小于300mm，等效黏土防渗层Mb≥6.0m，K≤1×10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cm/s；危废</w:t>
            </w:r>
            <w:r>
              <w:rPr>
                <w:rFonts w:hint="eastAsia" w:ascii="Times New Roman" w:hAnsi="Times New Roman" w:eastAsia="宋体" w:cs="Times New Roman"/>
                <w:b w:val="0"/>
                <w:bCs w:val="0"/>
                <w:color w:val="auto"/>
                <w:sz w:val="21"/>
                <w:szCs w:val="21"/>
                <w:vertAlign w:val="baseline"/>
                <w:lang w:val="en-US" w:eastAsia="zh-CN"/>
              </w:rPr>
              <w:t>贮存库</w:t>
            </w:r>
            <w:r>
              <w:rPr>
                <w:rFonts w:hint="default" w:ascii="Times New Roman" w:hAnsi="Times New Roman" w:eastAsia="宋体" w:cs="Times New Roman"/>
                <w:b w:val="0"/>
                <w:bCs w:val="0"/>
                <w:color w:val="auto"/>
                <w:sz w:val="21"/>
                <w:szCs w:val="21"/>
                <w:vertAlign w:val="baseline"/>
                <w:lang w:val="en-US" w:eastAsia="zh-CN"/>
              </w:rPr>
              <w:t>防渗措施：采用撬装式危废</w:t>
            </w:r>
            <w:r>
              <w:rPr>
                <w:rFonts w:hint="eastAsia" w:ascii="Times New Roman" w:hAnsi="Times New Roman" w:eastAsia="宋体" w:cs="Times New Roman"/>
                <w:b w:val="0"/>
                <w:bCs w:val="0"/>
                <w:color w:val="auto"/>
                <w:sz w:val="21"/>
                <w:szCs w:val="21"/>
                <w:vertAlign w:val="baseline"/>
                <w:lang w:val="en-US" w:eastAsia="zh-CN"/>
              </w:rPr>
              <w:t>贮存库</w:t>
            </w:r>
            <w:r>
              <w:rPr>
                <w:rFonts w:hint="default" w:ascii="Times New Roman" w:hAnsi="Times New Roman" w:eastAsia="宋体" w:cs="Times New Roman"/>
                <w:b w:val="0"/>
                <w:bCs w:val="0"/>
                <w:color w:val="auto"/>
                <w:sz w:val="21"/>
                <w:szCs w:val="21"/>
                <w:vertAlign w:val="baseline"/>
                <w:lang w:val="en-US" w:eastAsia="zh-CN"/>
              </w:rPr>
              <w:t>，防渗同时可满足《危险废物贮存污染控制标准》(GB18597-2023)的相关要求，防渗层渗透系数小于1×10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w:t>
            </w:r>
          </w:p>
        </w:tc>
        <w:tc>
          <w:tcPr>
            <w:tcW w:w="1738" w:type="dxa"/>
            <w:vAlign w:val="center"/>
          </w:tcPr>
          <w:p w14:paraId="5A8DD908">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施工现场无遗留废水、固体废物等可能对地下水及土壤环境造成影响的污染物；污染物均得到妥善处置</w:t>
            </w:r>
          </w:p>
        </w:tc>
        <w:tc>
          <w:tcPr>
            <w:tcW w:w="862" w:type="dxa"/>
            <w:vAlign w:val="center"/>
          </w:tcPr>
          <w:p w14:paraId="2F7B391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446826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2E18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041E89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声环境</w:t>
            </w:r>
          </w:p>
        </w:tc>
        <w:tc>
          <w:tcPr>
            <w:tcW w:w="4782" w:type="dxa"/>
            <w:vAlign w:val="center"/>
          </w:tcPr>
          <w:p w14:paraId="032668C5">
            <w:pPr>
              <w:spacing w:beforeLines="0" w:afterLines="0"/>
              <w:jc w:val="left"/>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采用符合国家规定的设备；严格控制高噪声设备运行时间段，加强施工管理；泥浆泵加衬弹性垫料，管理和作业过程中平稳操作，避免特种作业时产生非正常的噪声；</w:t>
            </w:r>
            <w:r>
              <w:rPr>
                <w:rFonts w:hint="eastAsia" w:ascii="Times New Roman" w:hAnsi="Times New Roman" w:eastAsia="宋体" w:cs="Times New Roman"/>
                <w:color w:val="auto"/>
                <w:sz w:val="21"/>
                <w:szCs w:val="24"/>
                <w:lang w:val="en-US" w:eastAsia="zh-CN"/>
              </w:rPr>
              <w:t>压裂车设置隔声设备，仅在白天运行</w:t>
            </w:r>
            <w:r>
              <w:rPr>
                <w:rFonts w:hint="default" w:ascii="Times New Roman" w:hAnsi="Times New Roman" w:eastAsia="宋体" w:cs="Times New Roman"/>
                <w:color w:val="auto"/>
                <w:sz w:val="21"/>
                <w:szCs w:val="24"/>
              </w:rPr>
              <w:t>等</w:t>
            </w:r>
          </w:p>
        </w:tc>
        <w:tc>
          <w:tcPr>
            <w:tcW w:w="1738" w:type="dxa"/>
            <w:vAlign w:val="center"/>
          </w:tcPr>
          <w:p w14:paraId="4457214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满足《建筑施工场界环境噪声排放标准》（</w:t>
            </w:r>
            <w:r>
              <w:rPr>
                <w:rFonts w:hint="default" w:ascii="Times New Roman" w:hAnsi="Times New Roman" w:eastAsia="TimesNewRomanPSMT" w:cs="Times New Roman"/>
                <w:color w:val="auto"/>
                <w:sz w:val="21"/>
                <w:szCs w:val="24"/>
              </w:rPr>
              <w:t>GB12523-2011</w:t>
            </w:r>
            <w:r>
              <w:rPr>
                <w:rFonts w:hint="default" w:ascii="Times New Roman" w:hAnsi="Times New Roman" w:eastAsia="宋体" w:cs="Times New Roman"/>
                <w:color w:val="auto"/>
                <w:sz w:val="21"/>
                <w:szCs w:val="24"/>
              </w:rPr>
              <w:t>）中限值要求</w:t>
            </w:r>
          </w:p>
        </w:tc>
        <w:tc>
          <w:tcPr>
            <w:tcW w:w="862" w:type="dxa"/>
            <w:vAlign w:val="center"/>
          </w:tcPr>
          <w:p w14:paraId="28F75C5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622B86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FCE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E15345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振动</w:t>
            </w:r>
          </w:p>
        </w:tc>
        <w:tc>
          <w:tcPr>
            <w:tcW w:w="4782" w:type="dxa"/>
            <w:vAlign w:val="center"/>
          </w:tcPr>
          <w:p w14:paraId="7818B9C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4EDEBCB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759B584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7EE877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2C0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4A7F9E5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大气环境</w:t>
            </w:r>
          </w:p>
        </w:tc>
        <w:tc>
          <w:tcPr>
            <w:tcW w:w="4782" w:type="dxa"/>
            <w:vAlign w:val="center"/>
          </w:tcPr>
          <w:p w14:paraId="2F65841C">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施工扬尘：施工场地围挡、物料堆放覆盖、洒水降尘、土方开挖湿法作业；利用现有道路运输；重污染天气严禁开挖等作业；禁止就地焚烧固体废弃物等。</w:t>
            </w:r>
          </w:p>
        </w:tc>
        <w:tc>
          <w:tcPr>
            <w:tcW w:w="1738" w:type="dxa"/>
            <w:vAlign w:val="center"/>
          </w:tcPr>
          <w:p w14:paraId="154DB63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达到《施工场界扬尘排放限值》（</w:t>
            </w:r>
            <w:r>
              <w:rPr>
                <w:rFonts w:hint="default" w:ascii="Times New Roman" w:hAnsi="Times New Roman" w:eastAsia="TimesNewRomanPSMT" w:cs="Times New Roman"/>
                <w:color w:val="auto"/>
                <w:sz w:val="21"/>
                <w:szCs w:val="24"/>
              </w:rPr>
              <w:t>DB61/1078-2017</w:t>
            </w:r>
            <w:r>
              <w:rPr>
                <w:rFonts w:hint="default" w:ascii="Times New Roman" w:hAnsi="Times New Roman" w:eastAsia="宋体" w:cs="Times New Roman"/>
                <w:color w:val="auto"/>
                <w:sz w:val="21"/>
                <w:szCs w:val="24"/>
              </w:rPr>
              <w:t>）的相关要求</w:t>
            </w:r>
          </w:p>
        </w:tc>
        <w:tc>
          <w:tcPr>
            <w:tcW w:w="862" w:type="dxa"/>
            <w:vAlign w:val="center"/>
          </w:tcPr>
          <w:p w14:paraId="78B8C71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A0E82D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235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58C5C43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4782" w:type="dxa"/>
            <w:vAlign w:val="center"/>
          </w:tcPr>
          <w:p w14:paraId="0F26BDB5">
            <w:pPr>
              <w:adjustRightInd w:val="0"/>
              <w:snapToGrid w:val="0"/>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4"/>
                <w:lang w:val="en-US" w:eastAsia="zh-CN"/>
              </w:rPr>
              <w:t>泥饼</w:t>
            </w:r>
            <w:r>
              <w:rPr>
                <w:rFonts w:hint="default" w:ascii="Times New Roman" w:hAnsi="Times New Roman" w:eastAsia="宋体" w:cs="Times New Roman"/>
                <w:color w:val="auto"/>
                <w:sz w:val="21"/>
                <w:szCs w:val="24"/>
              </w:rPr>
              <w:t>、岩屑：</w:t>
            </w:r>
            <w:r>
              <w:rPr>
                <w:rFonts w:hint="eastAsia" w:ascii="Times New Roman" w:hAnsi="Times New Roman" w:eastAsia="宋体" w:cs="宋体"/>
                <w:color w:val="auto"/>
                <w:sz w:val="21"/>
                <w:szCs w:val="21"/>
              </w:rPr>
              <w:t>由移动式收集罐统一收集，</w:t>
            </w:r>
            <w:r>
              <w:rPr>
                <w:rFonts w:hint="default" w:ascii="Times New Roman" w:hAnsi="Times New Roman" w:cs="Times New Roman"/>
                <w:color w:val="auto"/>
                <w:sz w:val="21"/>
                <w:szCs w:val="21"/>
                <w:lang w:val="en-US" w:eastAsia="zh-CN"/>
              </w:rPr>
              <w:t>委托</w:t>
            </w:r>
            <w:r>
              <w:rPr>
                <w:rFonts w:hint="eastAsia" w:ascii="Times New Roman" w:hAnsi="Times New Roman" w:cs="Times New Roman"/>
                <w:color w:val="auto"/>
                <w:sz w:val="21"/>
                <w:szCs w:val="21"/>
                <w:lang w:val="en-US" w:eastAsia="zh-CN"/>
              </w:rPr>
              <w:t>陕西德禾鑫盛环保科技有限公司</w:t>
            </w:r>
            <w:r>
              <w:rPr>
                <w:rFonts w:hint="default" w:ascii="Times New Roman" w:hAnsi="Times New Roman" w:cs="Times New Roman"/>
                <w:color w:val="auto"/>
                <w:sz w:val="21"/>
                <w:szCs w:val="21"/>
                <w:lang w:val="en-US" w:eastAsia="zh-CN"/>
              </w:rPr>
              <w:t>外运处置</w:t>
            </w:r>
            <w:r>
              <w:rPr>
                <w:rFonts w:hint="default" w:ascii="Times New Roman" w:hAnsi="Times New Roman" w:cs="Times New Roman"/>
                <w:color w:val="auto"/>
                <w:sz w:val="21"/>
                <w:szCs w:val="21"/>
                <w:lang w:eastAsia="zh-CN"/>
              </w:rPr>
              <w:t>；</w:t>
            </w:r>
          </w:p>
        </w:tc>
        <w:tc>
          <w:tcPr>
            <w:tcW w:w="1738" w:type="dxa"/>
            <w:vMerge w:val="restart"/>
            <w:vAlign w:val="center"/>
          </w:tcPr>
          <w:p w14:paraId="03D3627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合理妥善处置；施工现场无遗留固体废弃物</w:t>
            </w:r>
          </w:p>
        </w:tc>
        <w:tc>
          <w:tcPr>
            <w:tcW w:w="862" w:type="dxa"/>
            <w:vAlign w:val="center"/>
          </w:tcPr>
          <w:p w14:paraId="654B895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C881D1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1D4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62F3F38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6AD65CE">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废机油、沾染危险废物的废防渗膜：暂存于</w:t>
            </w:r>
            <w:r>
              <w:rPr>
                <w:rFonts w:hint="eastAsia" w:ascii="Times New Roman" w:hAnsi="Times New Roman" w:eastAsia="宋体" w:cs="Times New Roman"/>
                <w:color w:val="auto"/>
                <w:sz w:val="21"/>
                <w:szCs w:val="24"/>
                <w:lang w:val="en-US" w:eastAsia="zh-CN"/>
              </w:rPr>
              <w:t>危废贮存库</w:t>
            </w:r>
            <w:r>
              <w:rPr>
                <w:rFonts w:hint="default" w:ascii="Times New Roman" w:hAnsi="Times New Roman" w:eastAsia="宋体" w:cs="Times New Roman"/>
                <w:color w:val="auto"/>
                <w:sz w:val="21"/>
                <w:szCs w:val="24"/>
              </w:rPr>
              <w:t>，委托有资质单位处置。</w:t>
            </w:r>
          </w:p>
        </w:tc>
        <w:tc>
          <w:tcPr>
            <w:tcW w:w="1738" w:type="dxa"/>
            <w:vMerge w:val="continue"/>
            <w:vAlign w:val="center"/>
          </w:tcPr>
          <w:p w14:paraId="304839F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68304D7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C65EFB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817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830EC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3D0119C6">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生活垃圾：集中收集，委托当地环卫部门清运处置</w:t>
            </w:r>
          </w:p>
        </w:tc>
        <w:tc>
          <w:tcPr>
            <w:tcW w:w="1738" w:type="dxa"/>
            <w:vMerge w:val="continue"/>
            <w:vAlign w:val="center"/>
          </w:tcPr>
          <w:p w14:paraId="21F8FE1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29AAFC6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A1E505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02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116A6AF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Merge w:val="restart"/>
            <w:vAlign w:val="center"/>
          </w:tcPr>
          <w:p w14:paraId="249247C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废包装袋、废防渗膜（一般固废）：集中收集后交由物资回收公司回收处置</w:t>
            </w:r>
          </w:p>
        </w:tc>
        <w:tc>
          <w:tcPr>
            <w:tcW w:w="1738" w:type="dxa"/>
            <w:vMerge w:val="continue"/>
            <w:vAlign w:val="center"/>
          </w:tcPr>
          <w:p w14:paraId="35477D0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30EA489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EB4BE6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285B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60E191C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Merge w:val="continue"/>
            <w:vAlign w:val="center"/>
          </w:tcPr>
          <w:p w14:paraId="639274F7">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p>
        </w:tc>
        <w:tc>
          <w:tcPr>
            <w:tcW w:w="1738" w:type="dxa"/>
            <w:vMerge w:val="continue"/>
            <w:vAlign w:val="center"/>
          </w:tcPr>
          <w:p w14:paraId="4A2B92D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680C82A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517A4D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1B4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2DD943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电磁环境</w:t>
            </w:r>
          </w:p>
        </w:tc>
        <w:tc>
          <w:tcPr>
            <w:tcW w:w="4782" w:type="dxa"/>
            <w:vAlign w:val="center"/>
          </w:tcPr>
          <w:p w14:paraId="635DE0F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35D8617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12D12C8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B4CA6C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25E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F2DE41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w:t>
            </w:r>
          </w:p>
        </w:tc>
        <w:tc>
          <w:tcPr>
            <w:tcW w:w="4782" w:type="dxa"/>
            <w:vAlign w:val="center"/>
          </w:tcPr>
          <w:p w14:paraId="72CFFAE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井口安装防喷器和控制装置，定期检查与维护；对废水罐区、泥浆不落地装置区、原辅料存放区、</w:t>
            </w:r>
            <w:r>
              <w:rPr>
                <w:rFonts w:hint="eastAsia" w:ascii="Times New Roman" w:hAnsi="Times New Roman" w:eastAsia="宋体" w:cs="Times New Roman"/>
                <w:color w:val="auto"/>
                <w:sz w:val="21"/>
                <w:szCs w:val="24"/>
                <w:lang w:val="en-US" w:eastAsia="zh-CN"/>
              </w:rPr>
              <w:t>危废贮存库</w:t>
            </w:r>
            <w:r>
              <w:rPr>
                <w:rFonts w:hint="default" w:ascii="Times New Roman" w:hAnsi="Times New Roman" w:eastAsia="宋体" w:cs="Times New Roman"/>
                <w:color w:val="auto"/>
                <w:sz w:val="21"/>
                <w:szCs w:val="24"/>
              </w:rPr>
              <w:t>进行重点防渗处理，采取基础黏土防渗</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双层防渗布的措施，并定期巡查。</w:t>
            </w:r>
          </w:p>
        </w:tc>
        <w:tc>
          <w:tcPr>
            <w:tcW w:w="1738" w:type="dxa"/>
            <w:vAlign w:val="center"/>
          </w:tcPr>
          <w:p w14:paraId="14FC8BF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环境风险可控</w:t>
            </w:r>
          </w:p>
        </w:tc>
        <w:tc>
          <w:tcPr>
            <w:tcW w:w="862" w:type="dxa"/>
            <w:vAlign w:val="center"/>
          </w:tcPr>
          <w:p w14:paraId="3301A9C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C053C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A33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5931009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环境监测</w:t>
            </w:r>
          </w:p>
        </w:tc>
        <w:tc>
          <w:tcPr>
            <w:tcW w:w="4782" w:type="dxa"/>
            <w:vAlign w:val="center"/>
          </w:tcPr>
          <w:p w14:paraId="4C6E583D">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根据监测计划进行监测</w:t>
            </w:r>
          </w:p>
        </w:tc>
        <w:tc>
          <w:tcPr>
            <w:tcW w:w="1738" w:type="dxa"/>
            <w:vAlign w:val="center"/>
          </w:tcPr>
          <w:p w14:paraId="6FE19ED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满足相关标准要求</w:t>
            </w:r>
          </w:p>
        </w:tc>
        <w:tc>
          <w:tcPr>
            <w:tcW w:w="862" w:type="dxa"/>
            <w:vAlign w:val="center"/>
          </w:tcPr>
          <w:p w14:paraId="1B45156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83C8FF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B33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A04B33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4782" w:type="dxa"/>
            <w:vAlign w:val="center"/>
          </w:tcPr>
          <w:p w14:paraId="3B95E2D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加强施工管理，合理利用场地，严格控制施工范围，尽可能减少临时占地，严格执行《石油天然气钻井井控技术规范》，加强安全管理措施等。</w:t>
            </w:r>
          </w:p>
        </w:tc>
        <w:tc>
          <w:tcPr>
            <w:tcW w:w="1738" w:type="dxa"/>
            <w:vAlign w:val="center"/>
          </w:tcPr>
          <w:p w14:paraId="63153C4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6A24F46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32E02B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bl>
    <w:p w14:paraId="634D13CE">
      <w:pPr>
        <w:numPr>
          <w:ilvl w:val="0"/>
          <w:numId w:val="0"/>
        </w:numPr>
        <w:ind w:leftChars="0"/>
        <w:jc w:val="both"/>
        <w:rPr>
          <w:rFonts w:hint="default" w:ascii="Times New Roman" w:hAnsi="Times New Roman" w:eastAsia="黑体" w:cs="Times New Roman"/>
          <w:b w:val="0"/>
          <w:bCs w:val="0"/>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5C8ACAB4">
      <w:pPr>
        <w:numPr>
          <w:ilvl w:val="0"/>
          <w:numId w:val="4"/>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结论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466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14:paraId="71A487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color w:val="auto"/>
                <w:sz w:val="24"/>
                <w:szCs w:val="24"/>
              </w:rPr>
              <w:t>本项目</w:t>
            </w:r>
            <w:r>
              <w:rPr>
                <w:rFonts w:hint="eastAsia" w:ascii="Times New Roman" w:hAnsi="Times New Roman" w:eastAsia="宋体" w:cs="Times New Roman"/>
                <w:color w:val="auto"/>
                <w:sz w:val="24"/>
                <w:szCs w:val="24"/>
                <w:lang w:val="en-US" w:eastAsia="zh-CN"/>
              </w:rPr>
              <w:t>各井场</w:t>
            </w:r>
            <w:r>
              <w:rPr>
                <w:rFonts w:hint="eastAsia"/>
                <w:color w:val="auto"/>
                <w:sz w:val="24"/>
                <w:szCs w:val="24"/>
              </w:rPr>
              <w:t>建设符合国家产业政策和相关法规、技术规范、政策要求，选址合理，项目建设环境影响主要集中在施工期，在严格执行本评价提出的各项污染防治措施、生态保护措施和风险防范措施后，项目建设对环境影响较小。从环境保护角度</w:t>
            </w:r>
            <w:r>
              <w:rPr>
                <w:rFonts w:hint="eastAsia"/>
                <w:color w:val="auto"/>
                <w:sz w:val="24"/>
                <w:szCs w:val="24"/>
                <w:lang w:val="en-US" w:eastAsia="zh-CN"/>
              </w:rPr>
              <w:t>分析</w:t>
            </w:r>
            <w:r>
              <w:rPr>
                <w:rFonts w:hint="eastAsia"/>
                <w:color w:val="auto"/>
                <w:sz w:val="24"/>
                <w:szCs w:val="24"/>
              </w:rPr>
              <w:t>，项目建设环境影响可行</w:t>
            </w:r>
            <w:r>
              <w:rPr>
                <w:rFonts w:hint="eastAsia"/>
                <w:color w:val="auto"/>
                <w:sz w:val="24"/>
                <w:szCs w:val="24"/>
                <w:lang w:eastAsia="zh-CN"/>
              </w:rPr>
              <w:t>。</w:t>
            </w:r>
          </w:p>
          <w:p w14:paraId="4FF7F78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8DAE2D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3A6A10B3">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45A746F">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00416841">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4CD3469A">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7984097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9B2A3B9">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EACB00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055DA0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40692AA">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FD314BD">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DC4AD7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E08B8E6">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51FBB4D">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1A06687">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488CC6E">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tc>
      </w:tr>
    </w:tbl>
    <w:p w14:paraId="53565F8F">
      <w:pPr>
        <w:numPr>
          <w:ilvl w:val="0"/>
          <w:numId w:val="0"/>
        </w:numPr>
        <w:ind w:leftChars="0"/>
        <w:jc w:val="both"/>
        <w:rPr>
          <w:rFonts w:hint="default" w:ascii="Times New Roman" w:hAnsi="Times New Roman" w:eastAsia="黑体" w:cs="Times New Roman"/>
          <w:b w:val="0"/>
          <w:bCs w:val="0"/>
          <w:color w:val="auto"/>
          <w:sz w:val="28"/>
          <w:szCs w:val="28"/>
          <w:lang w:val="en-US" w:eastAsia="zh-CN"/>
        </w:rPr>
      </w:pPr>
    </w:p>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altName w:val="Arial Unicode MS"/>
    <w:panose1 w:val="02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AF40">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1D50E">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91D50E">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CFF8B"/>
    <w:multiLevelType w:val="multilevel"/>
    <w:tmpl w:val="8D4CFF8B"/>
    <w:lvl w:ilvl="0" w:tentative="0">
      <w:start w:val="1"/>
      <w:numFmt w:val="decimal"/>
      <w:pStyle w:val="4"/>
      <w:lvlText w:val="%1."/>
      <w:lvlJc w:val="left"/>
      <w:pPr>
        <w:ind w:left="0" w:leftChars="0" w:firstLine="0" w:firstLineChars="0"/>
      </w:pPr>
      <w:rPr>
        <w:rFonts w:hint="default"/>
      </w:rPr>
    </w:lvl>
    <w:lvl w:ilvl="1" w:tentative="0">
      <w:start w:val="1"/>
      <w:numFmt w:val="decimal"/>
      <w:lvlText w:val="%1.%2."/>
      <w:lvlJc w:val="left"/>
      <w:pPr>
        <w:ind w:left="0" w:leftChars="0" w:firstLine="0" w:firstLineChars="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DB9B55F"/>
    <w:multiLevelType w:val="singleLevel"/>
    <w:tmpl w:val="ADB9B55F"/>
    <w:lvl w:ilvl="0" w:tentative="0">
      <w:start w:val="5"/>
      <w:numFmt w:val="chineseCounting"/>
      <w:suff w:val="nothing"/>
      <w:lvlText w:val="%1、"/>
      <w:lvlJc w:val="left"/>
      <w:rPr>
        <w:rFonts w:hint="eastAsia"/>
      </w:rPr>
    </w:lvl>
  </w:abstractNum>
  <w:abstractNum w:abstractNumId="2">
    <w:nsid w:val="B41C1ECA"/>
    <w:multiLevelType w:val="singleLevel"/>
    <w:tmpl w:val="B41C1ECA"/>
    <w:lvl w:ilvl="0" w:tentative="0">
      <w:start w:val="2"/>
      <w:numFmt w:val="chineseCounting"/>
      <w:suff w:val="nothing"/>
      <w:lvlText w:val="%1、"/>
      <w:lvlJc w:val="left"/>
      <w:rPr>
        <w:rFonts w:hint="eastAsia"/>
      </w:rPr>
    </w:lvl>
  </w:abstractNum>
  <w:abstractNum w:abstractNumId="3">
    <w:nsid w:val="32149D62"/>
    <w:multiLevelType w:val="singleLevel"/>
    <w:tmpl w:val="32149D62"/>
    <w:lvl w:ilvl="0" w:tentative="0">
      <w:start w:val="1"/>
      <w:numFmt w:val="chineseCounting"/>
      <w:suff w:val="nothing"/>
      <w:lvlText w:val="%1、"/>
      <w:lvlJc w:val="left"/>
      <w:rPr>
        <w:rFonts w:hint="eastAsia"/>
      </w:rPr>
    </w:lvl>
  </w:abstractNum>
  <w:abstractNum w:abstractNumId="4">
    <w:nsid w:val="49C5845D"/>
    <w:multiLevelType w:val="singleLevel"/>
    <w:tmpl w:val="49C5845D"/>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ZTUyNGQwZTBkNDhlZGFiNDgwNzBmZjUyMWUyZTIifQ=="/>
  </w:docVars>
  <w:rsids>
    <w:rsidRoot w:val="00172A27"/>
    <w:rsid w:val="00134CA1"/>
    <w:rsid w:val="00B2494E"/>
    <w:rsid w:val="01DF79C5"/>
    <w:rsid w:val="039B791C"/>
    <w:rsid w:val="03CA6453"/>
    <w:rsid w:val="0492426A"/>
    <w:rsid w:val="04D20BB8"/>
    <w:rsid w:val="052120A3"/>
    <w:rsid w:val="0526590B"/>
    <w:rsid w:val="05D004D8"/>
    <w:rsid w:val="05D33832"/>
    <w:rsid w:val="067F5E7A"/>
    <w:rsid w:val="06840C61"/>
    <w:rsid w:val="075F6E84"/>
    <w:rsid w:val="07BB2A7D"/>
    <w:rsid w:val="09242161"/>
    <w:rsid w:val="092D1B82"/>
    <w:rsid w:val="09320F56"/>
    <w:rsid w:val="09523907"/>
    <w:rsid w:val="099512B1"/>
    <w:rsid w:val="09980DDF"/>
    <w:rsid w:val="09A3577C"/>
    <w:rsid w:val="0A67286C"/>
    <w:rsid w:val="0ACE6829"/>
    <w:rsid w:val="0BFA514F"/>
    <w:rsid w:val="0E2B79A6"/>
    <w:rsid w:val="0E63372C"/>
    <w:rsid w:val="0EB26C85"/>
    <w:rsid w:val="0FA6506E"/>
    <w:rsid w:val="103F3D25"/>
    <w:rsid w:val="1068018E"/>
    <w:rsid w:val="10DF55BC"/>
    <w:rsid w:val="11601843"/>
    <w:rsid w:val="119431BD"/>
    <w:rsid w:val="11A20BBD"/>
    <w:rsid w:val="136E0C91"/>
    <w:rsid w:val="14151024"/>
    <w:rsid w:val="15813FCC"/>
    <w:rsid w:val="1743234C"/>
    <w:rsid w:val="17E37E5C"/>
    <w:rsid w:val="17F03118"/>
    <w:rsid w:val="18D3065E"/>
    <w:rsid w:val="190D676E"/>
    <w:rsid w:val="198B05F8"/>
    <w:rsid w:val="1AA33E7F"/>
    <w:rsid w:val="1B841906"/>
    <w:rsid w:val="1C8F582E"/>
    <w:rsid w:val="1D0504A8"/>
    <w:rsid w:val="1DC422F3"/>
    <w:rsid w:val="1F35288E"/>
    <w:rsid w:val="1FEC0668"/>
    <w:rsid w:val="20992FDD"/>
    <w:rsid w:val="20C333D4"/>
    <w:rsid w:val="21D73DBD"/>
    <w:rsid w:val="23B1063E"/>
    <w:rsid w:val="24C85C3F"/>
    <w:rsid w:val="25070584"/>
    <w:rsid w:val="254E0DAA"/>
    <w:rsid w:val="25EA16C0"/>
    <w:rsid w:val="2648502F"/>
    <w:rsid w:val="2677791D"/>
    <w:rsid w:val="26807A16"/>
    <w:rsid w:val="26C62652"/>
    <w:rsid w:val="26CA6C62"/>
    <w:rsid w:val="2733555C"/>
    <w:rsid w:val="27EC0DA0"/>
    <w:rsid w:val="288640AE"/>
    <w:rsid w:val="29011EFD"/>
    <w:rsid w:val="2926268A"/>
    <w:rsid w:val="298A5BB9"/>
    <w:rsid w:val="2A052684"/>
    <w:rsid w:val="2A954815"/>
    <w:rsid w:val="2A9A62D0"/>
    <w:rsid w:val="2D923BDF"/>
    <w:rsid w:val="2D9B0395"/>
    <w:rsid w:val="2DD13DB6"/>
    <w:rsid w:val="2E9A27D5"/>
    <w:rsid w:val="2EA414CB"/>
    <w:rsid w:val="2F3E6E64"/>
    <w:rsid w:val="2F511653"/>
    <w:rsid w:val="2FD85BE8"/>
    <w:rsid w:val="31B41A25"/>
    <w:rsid w:val="32214117"/>
    <w:rsid w:val="33A91C24"/>
    <w:rsid w:val="342F604B"/>
    <w:rsid w:val="3499449E"/>
    <w:rsid w:val="34A55C73"/>
    <w:rsid w:val="35073B58"/>
    <w:rsid w:val="352252DB"/>
    <w:rsid w:val="388365F5"/>
    <w:rsid w:val="38A500E9"/>
    <w:rsid w:val="38D806EF"/>
    <w:rsid w:val="394F0285"/>
    <w:rsid w:val="39507C97"/>
    <w:rsid w:val="39C85156"/>
    <w:rsid w:val="39DB7D7F"/>
    <w:rsid w:val="3A4309FB"/>
    <w:rsid w:val="3AA4715B"/>
    <w:rsid w:val="3AAD1707"/>
    <w:rsid w:val="3B5A210C"/>
    <w:rsid w:val="3C174336"/>
    <w:rsid w:val="3C873B3D"/>
    <w:rsid w:val="3CD13DD3"/>
    <w:rsid w:val="3D912B7A"/>
    <w:rsid w:val="3DAC214A"/>
    <w:rsid w:val="3F2635C5"/>
    <w:rsid w:val="3F822925"/>
    <w:rsid w:val="401B0B1C"/>
    <w:rsid w:val="40A310F4"/>
    <w:rsid w:val="436846ED"/>
    <w:rsid w:val="448F7F10"/>
    <w:rsid w:val="4517259F"/>
    <w:rsid w:val="45466091"/>
    <w:rsid w:val="45B92F84"/>
    <w:rsid w:val="461B1C1B"/>
    <w:rsid w:val="469D381F"/>
    <w:rsid w:val="486A02C1"/>
    <w:rsid w:val="4C6027D4"/>
    <w:rsid w:val="4C7E2F03"/>
    <w:rsid w:val="4CFE5DF2"/>
    <w:rsid w:val="4D1715FC"/>
    <w:rsid w:val="4DE4323A"/>
    <w:rsid w:val="4EB40496"/>
    <w:rsid w:val="4EC46E09"/>
    <w:rsid w:val="4F07644B"/>
    <w:rsid w:val="50450848"/>
    <w:rsid w:val="50493828"/>
    <w:rsid w:val="50C8506E"/>
    <w:rsid w:val="514D507A"/>
    <w:rsid w:val="51A80D1E"/>
    <w:rsid w:val="51DB4B16"/>
    <w:rsid w:val="51FD48CA"/>
    <w:rsid w:val="520E65E0"/>
    <w:rsid w:val="52595FA5"/>
    <w:rsid w:val="5292555D"/>
    <w:rsid w:val="53A476F3"/>
    <w:rsid w:val="559952EE"/>
    <w:rsid w:val="56916930"/>
    <w:rsid w:val="572A43B4"/>
    <w:rsid w:val="583B5BA2"/>
    <w:rsid w:val="588C6BE2"/>
    <w:rsid w:val="594F68E5"/>
    <w:rsid w:val="59586497"/>
    <w:rsid w:val="597050CF"/>
    <w:rsid w:val="59BE107D"/>
    <w:rsid w:val="5A36150B"/>
    <w:rsid w:val="5A53372E"/>
    <w:rsid w:val="5AC16DDD"/>
    <w:rsid w:val="5AFC7E15"/>
    <w:rsid w:val="5B7B7A99"/>
    <w:rsid w:val="5B8B17A8"/>
    <w:rsid w:val="5BB95B5E"/>
    <w:rsid w:val="5C2421EB"/>
    <w:rsid w:val="5C7659A5"/>
    <w:rsid w:val="5C9C18B0"/>
    <w:rsid w:val="5CD86660"/>
    <w:rsid w:val="5D665A1A"/>
    <w:rsid w:val="5D8521D0"/>
    <w:rsid w:val="5EC827F1"/>
    <w:rsid w:val="5F47182F"/>
    <w:rsid w:val="606A584F"/>
    <w:rsid w:val="60BD68DC"/>
    <w:rsid w:val="61271964"/>
    <w:rsid w:val="61491BEA"/>
    <w:rsid w:val="6292325C"/>
    <w:rsid w:val="62E55633"/>
    <w:rsid w:val="63275C4B"/>
    <w:rsid w:val="64BD54F9"/>
    <w:rsid w:val="64CD212B"/>
    <w:rsid w:val="64F86911"/>
    <w:rsid w:val="64F8789F"/>
    <w:rsid w:val="64FC1CAA"/>
    <w:rsid w:val="657C76E0"/>
    <w:rsid w:val="678C42CF"/>
    <w:rsid w:val="68C40C08"/>
    <w:rsid w:val="69133BB1"/>
    <w:rsid w:val="69A77F23"/>
    <w:rsid w:val="6A445335"/>
    <w:rsid w:val="6AF879B8"/>
    <w:rsid w:val="6B273C29"/>
    <w:rsid w:val="6C240F7A"/>
    <w:rsid w:val="6DC522E8"/>
    <w:rsid w:val="6E0B6B0F"/>
    <w:rsid w:val="6E1D3ED3"/>
    <w:rsid w:val="6E682450"/>
    <w:rsid w:val="6E8757F0"/>
    <w:rsid w:val="6E954194"/>
    <w:rsid w:val="6F215C44"/>
    <w:rsid w:val="6FBB1E58"/>
    <w:rsid w:val="6FC36F6D"/>
    <w:rsid w:val="701A7094"/>
    <w:rsid w:val="70F0197B"/>
    <w:rsid w:val="71252A22"/>
    <w:rsid w:val="71CB5099"/>
    <w:rsid w:val="720862FD"/>
    <w:rsid w:val="72FC2D25"/>
    <w:rsid w:val="73374CC4"/>
    <w:rsid w:val="7352461E"/>
    <w:rsid w:val="73641F97"/>
    <w:rsid w:val="73D44D08"/>
    <w:rsid w:val="73E244CE"/>
    <w:rsid w:val="746F1B5E"/>
    <w:rsid w:val="7491461F"/>
    <w:rsid w:val="74E966B4"/>
    <w:rsid w:val="753524B9"/>
    <w:rsid w:val="75C512CB"/>
    <w:rsid w:val="76026A27"/>
    <w:rsid w:val="7679100F"/>
    <w:rsid w:val="76E063E5"/>
    <w:rsid w:val="77BA09E4"/>
    <w:rsid w:val="77FC08B8"/>
    <w:rsid w:val="7862209E"/>
    <w:rsid w:val="79256331"/>
    <w:rsid w:val="7A766BBA"/>
    <w:rsid w:val="7A9E639B"/>
    <w:rsid w:val="7B7F7F7B"/>
    <w:rsid w:val="7C5A4544"/>
    <w:rsid w:val="7C6548D1"/>
    <w:rsid w:val="7CAF2AE1"/>
    <w:rsid w:val="7CF908DC"/>
    <w:rsid w:val="7D3D3869"/>
    <w:rsid w:val="7E162C72"/>
    <w:rsid w:val="7E8152D9"/>
    <w:rsid w:val="7EFB6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3">
    <w:name w:val="heading 1"/>
    <w:basedOn w:val="1"/>
    <w:next w:val="1"/>
    <w:unhideWhenUsed/>
    <w:qFormat/>
    <w:uiPriority w:val="99"/>
    <w:pPr>
      <w:keepNext/>
      <w:overflowPunct w:val="0"/>
      <w:snapToGrid w:val="0"/>
      <w:spacing w:before="120" w:after="160" w:line="259" w:lineRule="auto"/>
      <w:ind w:left="432" w:hanging="432"/>
      <w:outlineLvl w:val="0"/>
    </w:pPr>
    <w:rPr>
      <w:rFonts w:hint="eastAsia"/>
      <w:b/>
      <w:color w:val="000000"/>
      <w:kern w:val="44"/>
      <w:sz w:val="30"/>
      <w:szCs w:val="24"/>
    </w:rPr>
  </w:style>
  <w:style w:type="paragraph" w:styleId="4">
    <w:name w:val="heading 2"/>
    <w:basedOn w:val="1"/>
    <w:next w:val="1"/>
    <w:semiHidden/>
    <w:unhideWhenUsed/>
    <w:qFormat/>
    <w:uiPriority w:val="0"/>
    <w:pPr>
      <w:numPr>
        <w:ilvl w:val="0"/>
        <w:numId w:val="1"/>
      </w:numPr>
      <w:spacing w:beforeAutospacing="1" w:after="0" w:afterAutospacing="1"/>
      <w:ind w:firstLine="0" w:firstLineChars="0"/>
      <w:jc w:val="left"/>
      <w:outlineLvl w:val="1"/>
    </w:pPr>
    <w:rPr>
      <w:rFonts w:hint="eastAsia" w:ascii="Times New Roman" w:hAnsi="Times New Roman" w:eastAsia="宋体" w:cs="宋体"/>
      <w:b/>
      <w:bCs/>
      <w:sz w:val="30"/>
      <w:szCs w:val="36"/>
      <w:lang w:eastAsia="zh-CN" w:bidi="ar"/>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2"/>
    <w:basedOn w:val="1"/>
    <w:next w:val="1"/>
    <w:unhideWhenUsed/>
    <w:qFormat/>
    <w:uiPriority w:val="99"/>
    <w:pPr>
      <w:spacing w:after="120" w:afterLines="0" w:afterAutospacing="0" w:line="480" w:lineRule="auto"/>
    </w:pPr>
  </w:style>
  <w:style w:type="paragraph" w:styleId="5">
    <w:name w:val="Normal Indent"/>
    <w:basedOn w:val="1"/>
    <w:qFormat/>
    <w:uiPriority w:val="0"/>
    <w:pPr>
      <w:ind w:firstLine="420"/>
    </w:pPr>
    <w:rPr>
      <w:szCs w:val="20"/>
    </w:rPr>
  </w:style>
  <w:style w:type="paragraph" w:styleId="6">
    <w:name w:val="caption"/>
    <w:basedOn w:val="1"/>
    <w:next w:val="1"/>
    <w:unhideWhenUsed/>
    <w:qFormat/>
    <w:uiPriority w:val="0"/>
    <w:pPr>
      <w:jc w:val="center"/>
    </w:pPr>
    <w:rPr>
      <w:b/>
      <w:sz w:val="24"/>
    </w:rPr>
  </w:style>
  <w:style w:type="paragraph" w:styleId="7">
    <w:name w:val="annotation text"/>
    <w:basedOn w:val="1"/>
    <w:qFormat/>
    <w:uiPriority w:val="0"/>
    <w:pPr>
      <w:jc w:val="left"/>
    </w:p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customStyle="1" w:styleId="9">
    <w:name w:val="正文部分"/>
    <w:basedOn w:val="1"/>
    <w:qFormat/>
    <w:uiPriority w:val="99"/>
    <w:pPr>
      <w:adjustRightInd w:val="0"/>
      <w:snapToGrid w:val="0"/>
      <w:spacing w:line="460" w:lineRule="exact"/>
      <w:textAlignment w:val="baseline"/>
    </w:pPr>
    <w:rPr>
      <w:rFonts w:ascii="宋体" w:hAnsi="宋体"/>
      <w:kern w:val="0"/>
      <w:sz w:val="30"/>
      <w:szCs w:val="20"/>
    </w:rPr>
  </w:style>
  <w:style w:type="paragraph" w:styleId="10">
    <w:name w:val="Body Text Indent"/>
    <w:basedOn w:val="1"/>
    <w:qFormat/>
    <w:uiPriority w:val="0"/>
    <w:pPr>
      <w:spacing w:line="360" w:lineRule="auto"/>
      <w:ind w:firstLine="480"/>
    </w:pPr>
    <w:rPr>
      <w:sz w:val="24"/>
    </w:rPr>
  </w:style>
  <w:style w:type="paragraph" w:styleId="11">
    <w:name w:val="Plain Text"/>
    <w:basedOn w:val="1"/>
    <w:next w:val="12"/>
    <w:qFormat/>
    <w:uiPriority w:val="0"/>
    <w:rPr>
      <w:rFonts w:ascii="宋体" w:hAnsi="Courier New" w:cs="Courier New"/>
      <w:sz w:val="21"/>
      <w:szCs w:val="21"/>
    </w:rPr>
  </w:style>
  <w:style w:type="paragraph" w:styleId="12">
    <w:name w:val="toc 9"/>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Body Text Indent 2"/>
    <w:basedOn w:val="1"/>
    <w:next w:val="14"/>
    <w:qFormat/>
    <w:uiPriority w:val="0"/>
    <w:pPr>
      <w:spacing w:after="120" w:afterLines="0" w:line="480" w:lineRule="auto"/>
      <w:ind w:left="420" w:leftChars="200"/>
    </w:pPr>
    <w:rPr>
      <w:sz w:val="21"/>
      <w:szCs w:val="24"/>
    </w:rPr>
  </w:style>
  <w:style w:type="paragraph" w:styleId="14">
    <w:name w:val="Body Text First Indent 2"/>
    <w:basedOn w:val="10"/>
    <w:next w:val="15"/>
    <w:unhideWhenUsed/>
    <w:qFormat/>
    <w:uiPriority w:val="0"/>
    <w:pPr>
      <w:widowControl/>
      <w:spacing w:before="60" w:line="240" w:lineRule="auto"/>
      <w:ind w:firstLine="420"/>
    </w:pPr>
    <w:rPr>
      <w:rFonts w:ascii="宋体" w:hAnsi="宋体" w:eastAsia="宋体"/>
      <w:color w:val="000000"/>
      <w:szCs w:val="24"/>
    </w:rPr>
  </w:style>
  <w:style w:type="paragraph" w:styleId="15">
    <w:name w:val="Body Text First Indent"/>
    <w:basedOn w:val="8"/>
    <w:next w:val="1"/>
    <w:qFormat/>
    <w:uiPriority w:val="0"/>
    <w:pPr>
      <w:ind w:firstLine="420" w:firstLineChars="100"/>
    </w:p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semiHidden/>
    <w:unhideWhenUsed/>
    <w:qFormat/>
    <w:uiPriority w:val="39"/>
  </w:style>
  <w:style w:type="paragraph" w:styleId="19">
    <w:name w:val="List"/>
    <w:basedOn w:val="1"/>
    <w:qFormat/>
    <w:uiPriority w:val="0"/>
    <w:pPr>
      <w:ind w:left="420" w:hanging="420"/>
    </w:pPr>
    <w:rPr>
      <w:rFonts w:ascii="宋体"/>
      <w:b/>
      <w:snapToGrid w:val="0"/>
      <w:kern w:val="0"/>
      <w:sz w:val="44"/>
    </w:rPr>
  </w:style>
  <w:style w:type="paragraph" w:styleId="20">
    <w:name w:val="table of figures"/>
    <w:basedOn w:val="1"/>
    <w:next w:val="1"/>
    <w:unhideWhenUsed/>
    <w:qFormat/>
    <w:uiPriority w:val="99"/>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表格"/>
    <w:basedOn w:val="19"/>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25">
    <w:name w:val="Default"/>
    <w:basedOn w:val="26"/>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
    <w:name w:val="纯文本1"/>
    <w:basedOn w:val="1"/>
    <w:qFormat/>
    <w:uiPriority w:val="0"/>
    <w:pPr>
      <w:autoSpaceDE w:val="0"/>
      <w:autoSpaceDN w:val="0"/>
      <w:adjustRightInd w:val="0"/>
      <w:textAlignment w:val="baseline"/>
    </w:pPr>
    <w:rPr>
      <w:rFonts w:ascii="Courier New" w:hAnsi="Courier New"/>
      <w:sz w:val="15"/>
    </w:rPr>
  </w:style>
  <w:style w:type="paragraph" w:customStyle="1" w:styleId="27">
    <w:name w:val="Table Paragraph"/>
    <w:basedOn w:val="1"/>
    <w:qFormat/>
    <w:uiPriority w:val="1"/>
    <w:rPr>
      <w:rFonts w:ascii="宋体" w:hAnsi="宋体" w:eastAsia="宋体" w:cs="宋体"/>
      <w:lang w:val="zh-CN" w:eastAsia="zh-CN" w:bidi="zh-CN"/>
    </w:rPr>
  </w:style>
  <w:style w:type="paragraph" w:customStyle="1" w:styleId="28">
    <w:name w:val="报告正文"/>
    <w:basedOn w:val="1"/>
    <w:qFormat/>
    <w:uiPriority w:val="0"/>
    <w:pPr>
      <w:adjustRightInd w:val="0"/>
      <w:snapToGrid w:val="0"/>
      <w:spacing w:line="360" w:lineRule="auto"/>
      <w:ind w:firstLine="720" w:firstLineChars="200"/>
      <w:jc w:val="both"/>
    </w:pPr>
    <w:rPr>
      <w:rFonts w:cs="宋体"/>
      <w:kern w:val="0"/>
      <w:sz w:val="24"/>
      <w:szCs w:val="21"/>
    </w:rPr>
  </w:style>
  <w:style w:type="paragraph" w:customStyle="1" w:styleId="29">
    <w:name w:val="表格文字"/>
    <w:basedOn w:val="1"/>
    <w:qFormat/>
    <w:uiPriority w:val="0"/>
    <w:pPr>
      <w:adjustRightInd w:val="0"/>
      <w:snapToGrid w:val="0"/>
      <w:spacing w:line="240" w:lineRule="auto"/>
      <w:ind w:firstLine="0" w:firstLineChars="0"/>
      <w:jc w:val="center"/>
      <w:textAlignment w:val="center"/>
    </w:pPr>
    <w:rPr>
      <w:rFonts w:ascii="Times New Roman" w:hAnsi="Times New Roman" w:eastAsia="宋体" w:cs="宋体"/>
      <w:kern w:val="0"/>
      <w:szCs w:val="21"/>
    </w:rPr>
  </w:style>
  <w:style w:type="paragraph" w:customStyle="1" w:styleId="30">
    <w:name w:val="表格内容"/>
    <w:basedOn w:val="1"/>
    <w:qFormat/>
    <w:uiPriority w:val="0"/>
    <w:pPr>
      <w:adjustRightInd w:val="0"/>
      <w:snapToGrid w:val="0"/>
      <w:spacing w:line="240" w:lineRule="auto"/>
      <w:ind w:firstLine="0" w:firstLineChars="0"/>
      <w:jc w:val="center"/>
    </w:pPr>
    <w:rPr>
      <w:sz w:val="21"/>
    </w:rPr>
  </w:style>
  <w:style w:type="table" w:customStyle="1" w:styleId="31">
    <w:name w:val="网格型1"/>
    <w:basedOn w:val="21"/>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正文格式"/>
    <w:basedOn w:val="1"/>
    <w:qFormat/>
    <w:uiPriority w:val="0"/>
    <w:pPr>
      <w:spacing w:line="360" w:lineRule="auto"/>
      <w:ind w:firstLine="482"/>
    </w:pPr>
    <w:rPr>
      <w:rFonts w:ascii="宋体" w:cs="宋体"/>
      <w:color w:val="000000"/>
      <w:sz w:val="24"/>
      <w:lang w:bidi="ar-SA"/>
    </w:rPr>
  </w:style>
  <w:style w:type="character" w:customStyle="1" w:styleId="33">
    <w:name w:val="font31"/>
    <w:basedOn w:val="23"/>
    <w:qFormat/>
    <w:uiPriority w:val="0"/>
    <w:rPr>
      <w:rFonts w:ascii="宋体" w:hAnsi="宋体" w:eastAsia="宋体" w:cs="宋体"/>
      <w:color w:val="000000"/>
      <w:sz w:val="14"/>
      <w:szCs w:val="14"/>
      <w:u w:val="none"/>
    </w:rPr>
  </w:style>
  <w:style w:type="character" w:customStyle="1" w:styleId="34">
    <w:name w:val="font21"/>
    <w:basedOn w:val="23"/>
    <w:qFormat/>
    <w:uiPriority w:val="0"/>
    <w:rPr>
      <w:rFonts w:ascii="宋体" w:hAnsi="宋体" w:eastAsia="宋体" w:cs="宋体"/>
      <w:color w:val="000096"/>
      <w:sz w:val="14"/>
      <w:szCs w:val="14"/>
      <w:u w:val="none"/>
    </w:rPr>
  </w:style>
  <w:style w:type="character" w:customStyle="1" w:styleId="35">
    <w:name w:val="font41"/>
    <w:basedOn w:val="23"/>
    <w:qFormat/>
    <w:uiPriority w:val="0"/>
    <w:rPr>
      <w:rFonts w:ascii="宋体" w:hAnsi="宋体" w:eastAsia="宋体" w:cs="宋体"/>
      <w:color w:val="000000"/>
      <w:sz w:val="18"/>
      <w:szCs w:val="18"/>
      <w:u w:val="none"/>
    </w:rPr>
  </w:style>
  <w:style w:type="character" w:customStyle="1" w:styleId="36">
    <w:name w:val="font11"/>
    <w:basedOn w:val="23"/>
    <w:qFormat/>
    <w:uiPriority w:val="0"/>
    <w:rPr>
      <w:rFonts w:hint="eastAsia" w:ascii="宋体" w:hAnsi="宋体" w:eastAsia="宋体" w:cs="宋体"/>
      <w:color w:val="404040"/>
      <w:sz w:val="20"/>
      <w:szCs w:val="20"/>
      <w:u w:val="none"/>
    </w:rPr>
  </w:style>
  <w:style w:type="paragraph" w:customStyle="1" w:styleId="37">
    <w:name w:val="表格正文"/>
    <w:basedOn w:val="1"/>
    <w:qFormat/>
    <w:uiPriority w:val="0"/>
    <w:pPr>
      <w:adjustRightInd w:val="0"/>
      <w:snapToGrid w:val="0"/>
      <w:spacing w:line="360" w:lineRule="auto"/>
      <w:ind w:firstLine="200" w:firstLineChars="200"/>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8.emf"/><Relationship Id="rId28" Type="http://schemas.openxmlformats.org/officeDocument/2006/relationships/oleObject" Target="embeddings/oleObject5.bin"/><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3.bin"/><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15479</Words>
  <Characters>16617</Characters>
  <Lines>0</Lines>
  <Paragraphs>0</Paragraphs>
  <TotalTime>22</TotalTime>
  <ScaleCrop>false</ScaleCrop>
  <LinksUpToDate>false</LinksUpToDate>
  <CharactersWithSpaces>16717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2024-06-24T06:35:00Z</dcterms:created>
  <dc:creator>甜梦中大白兔粘牙</dc:creator>
  <cp:lastModifiedBy>WPS_1723712096</cp:lastModifiedBy>
  <dcterms:modified xsi:type="dcterms:W3CDTF">2025-05-22T01:44:47Z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A660BCD387AF47278453B983E32FCC14_13</vt:lpwstr>
  </property>
  <property fmtid="{D5CDD505-2E9C-101B-9397-08002B2CF9AE}" pid="4" name="KSOTemplateDocerSaveRecord">
    <vt:lpwstr>eyJoZGlkIjoiYTEzZTUyNGQwZTBkNDhlZGFiNDgwNzBmZjUyMWUyZTIiLCJ1c2VySWQiOiIxNjIyMTI3ODEyIn0=</vt:lpwstr>
  </property>
</Properties>
</file>