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98BA05">
      <w:pPr>
        <w:spacing w:before="0" w:line="240" w:lineRule="auto"/>
        <w:rPr>
          <w:rFonts w:hint="default" w:ascii="Times New Roman" w:hAnsi="Times New Roman" w:eastAsia="Times New Roman" w:cs="Times New Roman"/>
          <w:color w:val="000000" w:themeColor="text1"/>
          <w:sz w:val="20"/>
          <w:szCs w:val="20"/>
          <w14:textFill>
            <w14:solidFill>
              <w14:schemeClr w14:val="tx1"/>
            </w14:solidFill>
          </w14:textFill>
        </w:rPr>
      </w:pPr>
    </w:p>
    <w:p w14:paraId="6EE0877B">
      <w:pPr>
        <w:spacing w:before="0" w:line="240" w:lineRule="auto"/>
        <w:rPr>
          <w:rFonts w:hint="default" w:ascii="Times New Roman" w:hAnsi="Times New Roman" w:eastAsia="Times New Roman" w:cs="Times New Roman"/>
          <w:color w:val="000000" w:themeColor="text1"/>
          <w:sz w:val="20"/>
          <w:szCs w:val="20"/>
          <w14:textFill>
            <w14:solidFill>
              <w14:schemeClr w14:val="tx1"/>
            </w14:solidFill>
          </w14:textFill>
        </w:rPr>
      </w:pPr>
    </w:p>
    <w:p w14:paraId="210C376B">
      <w:pPr>
        <w:spacing w:before="0" w:line="240" w:lineRule="auto"/>
        <w:rPr>
          <w:rFonts w:hint="default" w:ascii="Times New Roman" w:hAnsi="Times New Roman" w:eastAsia="Times New Roman" w:cs="Times New Roman"/>
          <w:color w:val="000000" w:themeColor="text1"/>
          <w:sz w:val="20"/>
          <w:szCs w:val="20"/>
          <w14:textFill>
            <w14:solidFill>
              <w14:schemeClr w14:val="tx1"/>
            </w14:solidFill>
          </w14:textFill>
        </w:rPr>
      </w:pPr>
    </w:p>
    <w:p w14:paraId="38F4156F">
      <w:pPr>
        <w:spacing w:before="0" w:line="240" w:lineRule="auto"/>
        <w:rPr>
          <w:rFonts w:hint="default" w:ascii="Times New Roman" w:hAnsi="Times New Roman" w:eastAsia="Times New Roman" w:cs="Times New Roman"/>
          <w:color w:val="000000" w:themeColor="text1"/>
          <w:sz w:val="20"/>
          <w:szCs w:val="20"/>
          <w14:textFill>
            <w14:solidFill>
              <w14:schemeClr w14:val="tx1"/>
            </w14:solidFill>
          </w14:textFill>
        </w:rPr>
      </w:pPr>
    </w:p>
    <w:p w14:paraId="721E4E86">
      <w:pPr>
        <w:spacing w:before="0" w:line="240" w:lineRule="auto"/>
        <w:rPr>
          <w:rFonts w:hint="default" w:ascii="Times New Roman" w:hAnsi="Times New Roman" w:eastAsia="Times New Roman" w:cs="Times New Roman"/>
          <w:color w:val="000000" w:themeColor="text1"/>
          <w:sz w:val="20"/>
          <w:szCs w:val="20"/>
          <w14:textFill>
            <w14:solidFill>
              <w14:schemeClr w14:val="tx1"/>
            </w14:solidFill>
          </w14:textFill>
        </w:rPr>
      </w:pPr>
    </w:p>
    <w:p w14:paraId="3407CC2F">
      <w:pPr>
        <w:spacing w:before="0" w:line="240" w:lineRule="auto"/>
        <w:rPr>
          <w:rFonts w:hint="default" w:ascii="Times New Roman" w:hAnsi="Times New Roman" w:eastAsia="Times New Roman" w:cs="Times New Roman"/>
          <w:color w:val="000000" w:themeColor="text1"/>
          <w:sz w:val="20"/>
          <w:szCs w:val="20"/>
          <w14:textFill>
            <w14:solidFill>
              <w14:schemeClr w14:val="tx1"/>
            </w14:solidFill>
          </w14:textFill>
        </w:rPr>
      </w:pPr>
    </w:p>
    <w:p w14:paraId="4BA8663B">
      <w:pPr>
        <w:spacing w:before="0" w:line="240" w:lineRule="auto"/>
        <w:rPr>
          <w:rFonts w:hint="default" w:ascii="Times New Roman" w:hAnsi="Times New Roman" w:eastAsia="Times New Roman" w:cs="Times New Roman"/>
          <w:color w:val="000000" w:themeColor="text1"/>
          <w:sz w:val="20"/>
          <w:szCs w:val="20"/>
          <w14:textFill>
            <w14:solidFill>
              <w14:schemeClr w14:val="tx1"/>
            </w14:solidFill>
          </w14:textFill>
        </w:rPr>
      </w:pPr>
    </w:p>
    <w:p w14:paraId="11578261">
      <w:pPr>
        <w:spacing w:before="0" w:line="240" w:lineRule="auto"/>
        <w:rPr>
          <w:rFonts w:hint="default" w:ascii="Times New Roman" w:hAnsi="Times New Roman" w:eastAsia="Times New Roman" w:cs="Times New Roman"/>
          <w:color w:val="000000" w:themeColor="text1"/>
          <w:sz w:val="20"/>
          <w:szCs w:val="20"/>
          <w14:textFill>
            <w14:solidFill>
              <w14:schemeClr w14:val="tx1"/>
            </w14:solidFill>
          </w14:textFill>
        </w:rPr>
      </w:pPr>
    </w:p>
    <w:p w14:paraId="4CAC5E45">
      <w:pPr>
        <w:spacing w:before="0" w:line="240" w:lineRule="auto"/>
        <w:rPr>
          <w:rFonts w:hint="default" w:ascii="Times New Roman" w:hAnsi="Times New Roman" w:eastAsia="Times New Roman" w:cs="Times New Roman"/>
          <w:color w:val="000000" w:themeColor="text1"/>
          <w:sz w:val="20"/>
          <w:szCs w:val="20"/>
          <w14:textFill>
            <w14:solidFill>
              <w14:schemeClr w14:val="tx1"/>
            </w14:solidFill>
          </w14:textFill>
        </w:rPr>
      </w:pPr>
    </w:p>
    <w:p w14:paraId="3E4DBF26">
      <w:pPr>
        <w:spacing w:before="0" w:line="993" w:lineRule="exact"/>
        <w:ind w:left="552" w:right="294" w:firstLine="0"/>
        <w:jc w:val="center"/>
        <w:rPr>
          <w:rFonts w:hint="default" w:ascii="Times New Roman" w:hAnsi="Times New Roman" w:eastAsia="微软雅黑" w:cs="Times New Roman"/>
          <w:color w:val="000000" w:themeColor="text1"/>
          <w:sz w:val="72"/>
          <w:szCs w:val="72"/>
          <w14:textFill>
            <w14:solidFill>
              <w14:schemeClr w14:val="tx1"/>
            </w14:solidFill>
          </w14:textFill>
        </w:rPr>
      </w:pPr>
      <w:bookmarkStart w:id="0" w:name="建设项目环境影响报告表"/>
      <w:bookmarkEnd w:id="0"/>
      <w:r>
        <w:rPr>
          <w:rFonts w:hint="default" w:ascii="Times New Roman" w:hAnsi="Times New Roman" w:eastAsia="方正小标宋_GBK" w:cs="Times New Roman"/>
          <w:bCs/>
          <w:color w:val="000000" w:themeColor="text1"/>
          <w:sz w:val="72"/>
          <w:szCs w:val="72"/>
          <w14:textFill>
            <w14:solidFill>
              <w14:schemeClr w14:val="tx1"/>
            </w14:solidFill>
          </w14:textFill>
        </w:rPr>
        <w:t>建设项目环境影响报告表</w:t>
      </w:r>
    </w:p>
    <w:p w14:paraId="71D16A97">
      <w:pPr>
        <w:spacing w:before="256"/>
        <w:ind w:left="552" w:right="294" w:firstLine="0"/>
        <w:jc w:val="center"/>
        <w:rPr>
          <w:rFonts w:hint="default" w:ascii="Times New Roman" w:hAnsi="Times New Roman" w:eastAsia="楷体" w:cs="Times New Roman"/>
          <w:color w:val="000000" w:themeColor="text1"/>
          <w:sz w:val="48"/>
          <w:szCs w:val="48"/>
          <w14:textFill>
            <w14:solidFill>
              <w14:schemeClr w14:val="tx1"/>
            </w14:solidFill>
          </w14:textFill>
        </w:rPr>
      </w:pPr>
      <w:r>
        <w:rPr>
          <w:rFonts w:hint="default" w:ascii="Times New Roman" w:hAnsi="Times New Roman" w:eastAsia="楷体" w:cs="Times New Roman"/>
          <w:color w:val="000000" w:themeColor="text1"/>
          <w:sz w:val="48"/>
          <w:szCs w:val="48"/>
          <w14:textFill>
            <w14:solidFill>
              <w14:schemeClr w14:val="tx1"/>
            </w14:solidFill>
          </w14:textFill>
        </w:rPr>
        <w:t>（生态影响类）</w:t>
      </w:r>
    </w:p>
    <w:p w14:paraId="3B7913EA">
      <w:pPr>
        <w:spacing w:before="0" w:line="240" w:lineRule="auto"/>
        <w:rPr>
          <w:rFonts w:hint="default" w:ascii="Times New Roman" w:hAnsi="Times New Roman" w:eastAsia="楷体" w:cs="Times New Roman"/>
          <w:color w:val="000000" w:themeColor="text1"/>
          <w:sz w:val="48"/>
          <w:szCs w:val="48"/>
          <w14:textFill>
            <w14:solidFill>
              <w14:schemeClr w14:val="tx1"/>
            </w14:solidFill>
          </w14:textFill>
        </w:rPr>
      </w:pPr>
    </w:p>
    <w:p w14:paraId="3AB901C5">
      <w:pPr>
        <w:spacing w:before="0" w:line="240" w:lineRule="auto"/>
        <w:rPr>
          <w:rFonts w:hint="default" w:ascii="Times New Roman" w:hAnsi="Times New Roman" w:eastAsia="楷体" w:cs="Times New Roman"/>
          <w:color w:val="000000" w:themeColor="text1"/>
          <w:sz w:val="48"/>
          <w:szCs w:val="48"/>
          <w14:textFill>
            <w14:solidFill>
              <w14:schemeClr w14:val="tx1"/>
            </w14:solidFill>
          </w14:textFill>
        </w:rPr>
      </w:pPr>
    </w:p>
    <w:p w14:paraId="3BC55853">
      <w:pPr>
        <w:spacing w:before="10" w:line="240" w:lineRule="auto"/>
        <w:rPr>
          <w:rFonts w:hint="default" w:ascii="Times New Roman" w:hAnsi="Times New Roman" w:eastAsia="楷体" w:cs="Times New Roman"/>
          <w:color w:val="000000" w:themeColor="text1"/>
          <w:sz w:val="61"/>
          <w:szCs w:val="61"/>
          <w14:textFill>
            <w14:solidFill>
              <w14:schemeClr w14:val="tx1"/>
            </w14:solidFill>
          </w14:textFill>
        </w:rPr>
      </w:pPr>
    </w:p>
    <w:p w14:paraId="7A63DA36">
      <w:pPr>
        <w:tabs>
          <w:tab w:val="left" w:pos="2271"/>
          <w:tab w:val="left" w:pos="8569"/>
        </w:tabs>
        <w:spacing w:before="0"/>
        <w:ind w:left="1784" w:leftChars="160" w:right="0" w:hanging="1432" w:hangingChars="400"/>
        <w:jc w:val="both"/>
        <w:rPr>
          <w:rFonts w:hint="default" w:ascii="Times New Roman" w:hAnsi="Times New Roman" w:eastAsia="仿宋" w:cs="Times New Roman"/>
          <w:color w:val="000000" w:themeColor="text1"/>
          <w:spacing w:val="-1"/>
          <w:sz w:val="36"/>
          <w:szCs w:val="36"/>
          <w:u w:val="single"/>
          <w:lang w:val="en-US" w:eastAsia="zh-CN"/>
          <w14:textFill>
            <w14:solidFill>
              <w14:schemeClr w14:val="tx1"/>
            </w14:solidFill>
          </w14:textFill>
        </w:rPr>
      </w:pPr>
      <w:r>
        <w:rPr>
          <w:rFonts w:hint="default" w:ascii="Times New Roman" w:hAnsi="Times New Roman" w:eastAsia="仿宋" w:cs="Times New Roman"/>
          <w:color w:val="000000" w:themeColor="text1"/>
          <w:spacing w:val="-1"/>
          <w:sz w:val="36"/>
          <w:szCs w:val="36"/>
          <w14:textFill>
            <w14:solidFill>
              <w14:schemeClr w14:val="tx1"/>
            </w14:solidFill>
          </w14:textFill>
        </w:rPr>
        <w:t>项目名称：</w:t>
      </w:r>
      <w:r>
        <w:rPr>
          <w:rFonts w:hint="default" w:ascii="Times New Roman" w:hAnsi="Times New Roman" w:eastAsia="仿宋" w:cs="Times New Roman"/>
          <w:color w:val="000000" w:themeColor="text1"/>
          <w:spacing w:val="-1"/>
          <w:sz w:val="36"/>
          <w:szCs w:val="36"/>
          <w:u w:val="single"/>
          <w:lang w:val="en-US" w:eastAsia="zh-CN"/>
          <w14:textFill>
            <w14:solidFill>
              <w14:schemeClr w14:val="tx1"/>
            </w14:solidFill>
          </w14:textFill>
        </w:rPr>
        <w:t>宁榆天然气评价项目组米172-08</w:t>
      </w:r>
      <w:r>
        <w:rPr>
          <w:rFonts w:hint="eastAsia" w:ascii="Times New Roman" w:hAnsi="Times New Roman" w:eastAsia="仿宋" w:cs="Times New Roman"/>
          <w:color w:val="000000" w:themeColor="text1"/>
          <w:spacing w:val="-1"/>
          <w:sz w:val="36"/>
          <w:szCs w:val="36"/>
          <w:u w:val="single"/>
          <w:lang w:val="en-US" w:eastAsia="zh-CN"/>
          <w14:textFill>
            <w14:solidFill>
              <w14:schemeClr w14:val="tx1"/>
            </w14:solidFill>
          </w14:textFill>
        </w:rPr>
        <w:t>等4</w:t>
      </w:r>
      <w:r>
        <w:rPr>
          <w:rFonts w:hint="default" w:ascii="Times New Roman" w:hAnsi="Times New Roman" w:eastAsia="仿宋" w:cs="Times New Roman"/>
          <w:color w:val="000000" w:themeColor="text1"/>
          <w:spacing w:val="-1"/>
          <w:sz w:val="36"/>
          <w:szCs w:val="36"/>
          <w:u w:val="single"/>
          <w:lang w:val="en-US" w:eastAsia="zh-CN"/>
          <w14:textFill>
            <w14:solidFill>
              <w14:schemeClr w14:val="tx1"/>
            </w14:solidFill>
          </w14:textFill>
        </w:rPr>
        <w:t>口</w:t>
      </w:r>
    </w:p>
    <w:p w14:paraId="36F544E1">
      <w:pPr>
        <w:tabs>
          <w:tab w:val="left" w:pos="2271"/>
          <w:tab w:val="left" w:pos="8569"/>
        </w:tabs>
        <w:spacing w:before="0"/>
        <w:ind w:left="1790" w:right="0" w:hanging="1790" w:hangingChars="500"/>
        <w:jc w:val="center"/>
        <w:rPr>
          <w:rFonts w:hint="default" w:ascii="Times New Roman" w:hAnsi="Times New Roman" w:eastAsia="仿宋" w:cs="Times New Roman"/>
          <w:color w:val="000000" w:themeColor="text1"/>
          <w:spacing w:val="-1"/>
          <w:sz w:val="36"/>
          <w:szCs w:val="36"/>
          <w:u w:val="single"/>
          <w:lang w:val="en-US" w:eastAsia="zh-CN"/>
          <w14:textFill>
            <w14:solidFill>
              <w14:schemeClr w14:val="tx1"/>
            </w14:solidFill>
          </w14:textFill>
        </w:rPr>
      </w:pPr>
      <w:r>
        <w:rPr>
          <w:rFonts w:hint="default" w:ascii="Times New Roman" w:hAnsi="Times New Roman" w:eastAsia="仿宋" w:cs="Times New Roman"/>
          <w:color w:val="000000" w:themeColor="text1"/>
          <w:spacing w:val="-1"/>
          <w:sz w:val="36"/>
          <w:szCs w:val="36"/>
          <w:u w:val="single"/>
          <w:lang w:val="en-US" w:eastAsia="zh-CN"/>
          <w14:textFill>
            <w14:solidFill>
              <w14:schemeClr w14:val="tx1"/>
            </w14:solidFill>
          </w14:textFill>
        </w:rPr>
        <w:t>评价井建设项目</w:t>
      </w:r>
    </w:p>
    <w:p w14:paraId="38E1F6E8">
      <w:pPr>
        <w:tabs>
          <w:tab w:val="left" w:pos="8480"/>
        </w:tabs>
        <w:spacing w:before="90"/>
        <w:ind w:left="111" w:right="0" w:firstLine="0"/>
        <w:jc w:val="left"/>
        <w:rPr>
          <w:rFonts w:hint="default" w:ascii="Times New Roman" w:hAnsi="Times New Roman" w:eastAsia="仿宋" w:cs="Times New Roman"/>
          <w:color w:val="000000" w:themeColor="text1"/>
          <w:spacing w:val="-1"/>
          <w:sz w:val="36"/>
          <w:szCs w:val="36"/>
          <w:u w:val="single"/>
          <w:lang w:val="en-US" w:eastAsia="zh-CN"/>
          <w14:textFill>
            <w14:solidFill>
              <w14:schemeClr w14:val="tx1"/>
            </w14:solidFill>
          </w14:textFill>
        </w:rPr>
      </w:pPr>
      <w:r>
        <w:rPr>
          <w:rFonts w:hint="default" w:ascii="Times New Roman" w:hAnsi="Times New Roman" w:eastAsia="仿宋" w:cs="Times New Roman"/>
          <w:color w:val="000000" w:themeColor="text1"/>
          <w:sz w:val="36"/>
          <w:szCs w:val="36"/>
          <w14:textFill>
            <w14:solidFill>
              <w14:schemeClr w14:val="tx1"/>
            </w14:solidFill>
          </w14:textFill>
        </w:rPr>
        <w:t>建设单位（盖章）：</w:t>
      </w:r>
      <w:r>
        <w:rPr>
          <w:rFonts w:hint="default" w:ascii="Times New Roman" w:hAnsi="Times New Roman" w:eastAsia="仿宋" w:cs="Times New Roman"/>
          <w:color w:val="000000" w:themeColor="text1"/>
          <w:spacing w:val="-1"/>
          <w:sz w:val="36"/>
          <w:szCs w:val="36"/>
          <w:u w:val="single"/>
          <w:lang w:val="en-US" w:eastAsia="zh-CN"/>
          <w14:textFill>
            <w14:solidFill>
              <w14:schemeClr w14:val="tx1"/>
            </w14:solidFill>
          </w14:textFill>
        </w:rPr>
        <w:t xml:space="preserve"> </w:t>
      </w:r>
      <w:r>
        <w:rPr>
          <w:rFonts w:hint="eastAsia" w:ascii="Times New Roman" w:hAnsi="Times New Roman" w:eastAsia="仿宋" w:cs="Times New Roman"/>
          <w:color w:val="000000" w:themeColor="text1"/>
          <w:spacing w:val="-1"/>
          <w:sz w:val="36"/>
          <w:szCs w:val="36"/>
          <w:u w:val="single"/>
          <w:lang w:val="en-US" w:eastAsia="zh-CN"/>
          <w14:textFill>
            <w14:solidFill>
              <w14:schemeClr w14:val="tx1"/>
            </w14:solidFill>
          </w14:textFill>
        </w:rPr>
        <w:t xml:space="preserve"> </w:t>
      </w:r>
      <w:r>
        <w:rPr>
          <w:rFonts w:hint="default" w:ascii="Times New Roman" w:hAnsi="Times New Roman" w:eastAsia="仿宋" w:cs="Times New Roman"/>
          <w:color w:val="000000" w:themeColor="text1"/>
          <w:spacing w:val="-1"/>
          <w:sz w:val="36"/>
          <w:szCs w:val="36"/>
          <w:u w:val="single"/>
          <w:lang w:val="en-US" w:eastAsia="zh-CN"/>
          <w14:textFill>
            <w14:solidFill>
              <w14:schemeClr w14:val="tx1"/>
            </w14:solidFill>
          </w14:textFill>
        </w:rPr>
        <w:t xml:space="preserve">中国石油天然气股份有限公司  </w:t>
      </w:r>
    </w:p>
    <w:p w14:paraId="652C93E3">
      <w:pPr>
        <w:tabs>
          <w:tab w:val="left" w:pos="2991"/>
          <w:tab w:val="left" w:pos="8480"/>
        </w:tabs>
        <w:spacing w:before="88"/>
        <w:ind w:left="3346" w:leftChars="1521" w:right="0" w:firstLine="0" w:firstLineChars="0"/>
        <w:jc w:val="left"/>
        <w:rPr>
          <w:rFonts w:hint="default" w:ascii="Times New Roman" w:hAnsi="Times New Roman" w:eastAsia="Times New Roman" w:cs="Times New Roman"/>
          <w:color w:val="000000" w:themeColor="text1"/>
          <w:sz w:val="36"/>
          <w:szCs w:val="36"/>
          <w:lang w:val="en-US"/>
          <w14:textFill>
            <w14:solidFill>
              <w14:schemeClr w14:val="tx1"/>
            </w14:solidFill>
          </w14:textFill>
        </w:rPr>
      </w:pPr>
      <w:r>
        <w:rPr>
          <w:rFonts w:hint="default" w:ascii="Times New Roman" w:hAnsi="Times New Roman" w:eastAsia="仿宋" w:cs="Times New Roman"/>
          <w:color w:val="000000" w:themeColor="text1"/>
          <w:sz w:val="36"/>
          <w:szCs w:val="36"/>
          <w:u w:val="single" w:color="000000"/>
          <w14:textFill>
            <w14:solidFill>
              <w14:schemeClr w14:val="tx1"/>
            </w14:solidFill>
          </w14:textFill>
        </w:rPr>
        <w:t>长庆油田分公司</w:t>
      </w:r>
      <w:r>
        <w:rPr>
          <w:rFonts w:hint="default" w:ascii="Times New Roman" w:hAnsi="Times New Roman" w:eastAsia="仿宋" w:cs="Times New Roman"/>
          <w:color w:val="000000" w:themeColor="text1"/>
          <w:sz w:val="36"/>
          <w:szCs w:val="36"/>
          <w:u w:val="single" w:color="000000"/>
          <w:lang w:val="en-US" w:eastAsia="zh-CN"/>
          <w14:textFill>
            <w14:solidFill>
              <w14:schemeClr w14:val="tx1"/>
            </w14:solidFill>
          </w14:textFill>
        </w:rPr>
        <w:t xml:space="preserve">天然气评价项目部宁榆天然气评价项目组          </w:t>
      </w:r>
    </w:p>
    <w:p w14:paraId="0A308787">
      <w:pPr>
        <w:tabs>
          <w:tab w:val="left" w:pos="4071"/>
        </w:tabs>
        <w:spacing w:before="88"/>
        <w:ind w:left="111" w:right="0" w:firstLine="0"/>
        <w:jc w:val="left"/>
        <w:rPr>
          <w:rFonts w:hint="default" w:ascii="Times New Roman" w:hAnsi="Times New Roman" w:eastAsia="仿宋" w:cs="Times New Roman"/>
          <w:color w:val="000000" w:themeColor="text1"/>
          <w:sz w:val="36"/>
          <w:szCs w:val="36"/>
          <w:lang w:val="en-US" w:eastAsia="zh-CN"/>
          <w14:textFill>
            <w14:solidFill>
              <w14:schemeClr w14:val="tx1"/>
            </w14:solidFill>
          </w14:textFill>
        </w:rPr>
      </w:pPr>
      <w:r>
        <w:rPr>
          <w:rFonts w:hint="default" w:ascii="Times New Roman" w:hAnsi="Times New Roman" w:eastAsia="仿宋" w:cs="Times New Roman"/>
          <w:color w:val="000000" w:themeColor="text1"/>
          <w:sz w:val="36"/>
          <w:szCs w:val="36"/>
          <w14:textFill>
            <w14:solidFill>
              <w14:schemeClr w14:val="tx1"/>
            </w14:solidFill>
          </w14:textFill>
        </w:rPr>
        <w:t>编制日期：</w:t>
      </w:r>
      <w:r>
        <w:rPr>
          <w:rFonts w:hint="default" w:ascii="Times New Roman" w:hAnsi="Times New Roman" w:eastAsia="仿宋" w:cs="Times New Roman"/>
          <w:color w:val="000000" w:themeColor="text1"/>
          <w:sz w:val="36"/>
          <w:szCs w:val="36"/>
          <w:u w:val="single"/>
          <w:lang w:val="en-US" w:eastAsia="zh-CN"/>
          <w14:textFill>
            <w14:solidFill>
              <w14:schemeClr w14:val="tx1"/>
            </w14:solidFill>
          </w14:textFill>
        </w:rPr>
        <w:t xml:space="preserve">            202</w:t>
      </w:r>
      <w:r>
        <w:rPr>
          <w:rFonts w:hint="eastAsia" w:ascii="Times New Roman" w:hAnsi="Times New Roman" w:eastAsia="仿宋" w:cs="Times New Roman"/>
          <w:color w:val="000000" w:themeColor="text1"/>
          <w:sz w:val="36"/>
          <w:szCs w:val="36"/>
          <w:u w:val="single"/>
          <w:lang w:val="en-US" w:eastAsia="zh-CN"/>
          <w14:textFill>
            <w14:solidFill>
              <w14:schemeClr w14:val="tx1"/>
            </w14:solidFill>
          </w14:textFill>
        </w:rPr>
        <w:t>5</w:t>
      </w:r>
      <w:r>
        <w:rPr>
          <w:rFonts w:hint="default" w:ascii="Times New Roman" w:hAnsi="Times New Roman" w:eastAsia="仿宋" w:cs="Times New Roman"/>
          <w:color w:val="000000" w:themeColor="text1"/>
          <w:sz w:val="36"/>
          <w:szCs w:val="36"/>
          <w:u w:val="single"/>
          <w:lang w:val="en-US" w:eastAsia="zh-CN"/>
          <w14:textFill>
            <w14:solidFill>
              <w14:schemeClr w14:val="tx1"/>
            </w14:solidFill>
          </w14:textFill>
        </w:rPr>
        <w:t>年</w:t>
      </w:r>
      <w:r>
        <w:rPr>
          <w:rFonts w:hint="eastAsia" w:ascii="Times New Roman" w:hAnsi="Times New Roman" w:eastAsia="仿宋" w:cs="Times New Roman"/>
          <w:color w:val="000000" w:themeColor="text1"/>
          <w:sz w:val="36"/>
          <w:szCs w:val="36"/>
          <w:u w:val="single"/>
          <w:lang w:val="en-US" w:eastAsia="zh-CN"/>
          <w14:textFill>
            <w14:solidFill>
              <w14:schemeClr w14:val="tx1"/>
            </w14:solidFill>
          </w14:textFill>
        </w:rPr>
        <w:t>5</w:t>
      </w:r>
      <w:r>
        <w:rPr>
          <w:rFonts w:hint="default" w:ascii="Times New Roman" w:hAnsi="Times New Roman" w:eastAsia="仿宋" w:cs="Times New Roman"/>
          <w:color w:val="000000" w:themeColor="text1"/>
          <w:sz w:val="36"/>
          <w:szCs w:val="36"/>
          <w:u w:val="single"/>
          <w:lang w:val="en-US" w:eastAsia="zh-CN"/>
          <w14:textFill>
            <w14:solidFill>
              <w14:schemeClr w14:val="tx1"/>
            </w14:solidFill>
          </w14:textFill>
        </w:rPr>
        <w:t xml:space="preserve">月                </w:t>
      </w:r>
    </w:p>
    <w:p w14:paraId="29784C16">
      <w:pPr>
        <w:spacing w:line="20" w:lineRule="exact"/>
        <w:ind w:left="1902" w:right="0" w:firstLine="0"/>
        <w:rPr>
          <w:rFonts w:hint="default" w:ascii="Times New Roman" w:hAnsi="Times New Roman" w:eastAsia="仿宋" w:cs="Times New Roman"/>
          <w:color w:val="000000" w:themeColor="text1"/>
          <w:sz w:val="2"/>
          <w:szCs w:val="2"/>
          <w14:textFill>
            <w14:solidFill>
              <w14:schemeClr w14:val="tx1"/>
            </w14:solidFill>
          </w14:textFill>
        </w:rPr>
      </w:pPr>
    </w:p>
    <w:p w14:paraId="0EC6CA94">
      <w:pPr>
        <w:spacing w:before="0" w:line="240" w:lineRule="auto"/>
        <w:rPr>
          <w:rFonts w:hint="default" w:ascii="Times New Roman" w:hAnsi="Times New Roman" w:eastAsia="仿宋" w:cs="Times New Roman"/>
          <w:color w:val="000000" w:themeColor="text1"/>
          <w:sz w:val="20"/>
          <w:szCs w:val="20"/>
          <w14:textFill>
            <w14:solidFill>
              <w14:schemeClr w14:val="tx1"/>
            </w14:solidFill>
          </w14:textFill>
        </w:rPr>
      </w:pPr>
    </w:p>
    <w:p w14:paraId="7B360AE0">
      <w:pPr>
        <w:spacing w:before="0" w:line="240" w:lineRule="auto"/>
        <w:rPr>
          <w:rFonts w:hint="default" w:ascii="Times New Roman" w:hAnsi="Times New Roman" w:eastAsia="仿宋" w:cs="Times New Roman"/>
          <w:color w:val="000000" w:themeColor="text1"/>
          <w:sz w:val="20"/>
          <w:szCs w:val="20"/>
          <w14:textFill>
            <w14:solidFill>
              <w14:schemeClr w14:val="tx1"/>
            </w14:solidFill>
          </w14:textFill>
        </w:rPr>
      </w:pPr>
    </w:p>
    <w:p w14:paraId="42363B11">
      <w:pPr>
        <w:spacing w:before="0" w:line="240" w:lineRule="auto"/>
        <w:rPr>
          <w:rFonts w:hint="default" w:ascii="Times New Roman" w:hAnsi="Times New Roman" w:eastAsia="仿宋" w:cs="Times New Roman"/>
          <w:color w:val="000000" w:themeColor="text1"/>
          <w:sz w:val="20"/>
          <w:szCs w:val="20"/>
          <w14:textFill>
            <w14:solidFill>
              <w14:schemeClr w14:val="tx1"/>
            </w14:solidFill>
          </w14:textFill>
        </w:rPr>
      </w:pPr>
    </w:p>
    <w:p w14:paraId="51CC8BAF">
      <w:pPr>
        <w:spacing w:before="0" w:line="240" w:lineRule="auto"/>
        <w:rPr>
          <w:rFonts w:hint="default" w:ascii="Times New Roman" w:hAnsi="Times New Roman" w:eastAsia="仿宋" w:cs="Times New Roman"/>
          <w:color w:val="000000" w:themeColor="text1"/>
          <w:sz w:val="20"/>
          <w:szCs w:val="20"/>
          <w14:textFill>
            <w14:solidFill>
              <w14:schemeClr w14:val="tx1"/>
            </w14:solidFill>
          </w14:textFill>
        </w:rPr>
      </w:pPr>
    </w:p>
    <w:p w14:paraId="1CB1F4BC">
      <w:pPr>
        <w:spacing w:before="0" w:line="240" w:lineRule="auto"/>
        <w:rPr>
          <w:rFonts w:hint="default" w:ascii="Times New Roman" w:hAnsi="Times New Roman" w:eastAsia="仿宋" w:cs="Times New Roman"/>
          <w:color w:val="000000" w:themeColor="text1"/>
          <w:sz w:val="20"/>
          <w:szCs w:val="20"/>
          <w14:textFill>
            <w14:solidFill>
              <w14:schemeClr w14:val="tx1"/>
            </w14:solidFill>
          </w14:textFill>
        </w:rPr>
      </w:pPr>
    </w:p>
    <w:p w14:paraId="1B6BA599">
      <w:pPr>
        <w:spacing w:before="0" w:line="240" w:lineRule="auto"/>
        <w:rPr>
          <w:rFonts w:hint="default" w:ascii="Times New Roman" w:hAnsi="Times New Roman" w:eastAsia="仿宋" w:cs="Times New Roman"/>
          <w:color w:val="000000" w:themeColor="text1"/>
          <w:sz w:val="20"/>
          <w:szCs w:val="20"/>
          <w14:textFill>
            <w14:solidFill>
              <w14:schemeClr w14:val="tx1"/>
            </w14:solidFill>
          </w14:textFill>
        </w:rPr>
      </w:pPr>
    </w:p>
    <w:p w14:paraId="127D4DB4">
      <w:pPr>
        <w:jc w:val="center"/>
        <w:rPr>
          <w:rFonts w:hint="default" w:ascii="Times New Roman" w:hAnsi="Times New Roman" w:eastAsia="楷体" w:cs="Times New Roman"/>
          <w:color w:val="000000" w:themeColor="text1"/>
          <w:sz w:val="36"/>
          <w:szCs w:val="36"/>
          <w14:textFill>
            <w14:solidFill>
              <w14:schemeClr w14:val="tx1"/>
            </w14:solidFill>
          </w14:textFill>
        </w:rPr>
      </w:pPr>
      <w:r>
        <w:rPr>
          <w:rFonts w:hint="default" w:ascii="Times New Roman" w:hAnsi="Times New Roman" w:eastAsia="楷体" w:cs="Times New Roman"/>
          <w:color w:val="000000" w:themeColor="text1"/>
          <w:sz w:val="36"/>
          <w:szCs w:val="36"/>
          <w14:textFill>
            <w14:solidFill>
              <w14:schemeClr w14:val="tx1"/>
            </w14:solidFill>
          </w14:textFill>
        </w:rPr>
        <w:t>中华人民共和国生态环境部制</w:t>
      </w:r>
    </w:p>
    <w:p w14:paraId="3C38A892">
      <w:pPr>
        <w:jc w:val="center"/>
        <w:rPr>
          <w:rFonts w:hint="default" w:ascii="Times New Roman" w:hAnsi="Times New Roman" w:eastAsia="楷体" w:cs="Times New Roman"/>
          <w:color w:val="000000" w:themeColor="text1"/>
          <w:sz w:val="36"/>
          <w:szCs w:val="36"/>
          <w14:textFill>
            <w14:solidFill>
              <w14:schemeClr w14:val="tx1"/>
            </w14:solidFill>
          </w14:textFill>
        </w:rPr>
      </w:pPr>
    </w:p>
    <w:p w14:paraId="01348EAF">
      <w:pPr>
        <w:jc w:val="center"/>
        <w:rPr>
          <w:rFonts w:hint="default" w:ascii="Times New Roman" w:hAnsi="Times New Roman" w:eastAsia="楷体" w:cs="Times New Roman"/>
          <w:color w:val="000000" w:themeColor="text1"/>
          <w:sz w:val="36"/>
          <w:szCs w:val="36"/>
          <w14:textFill>
            <w14:solidFill>
              <w14:schemeClr w14:val="tx1"/>
            </w14:solidFill>
          </w14:textFill>
        </w:rPr>
      </w:pPr>
    </w:p>
    <w:p w14:paraId="2C3D3783">
      <w:pPr>
        <w:jc w:val="center"/>
        <w:rPr>
          <w:rFonts w:hint="default" w:ascii="Times New Roman" w:hAnsi="Times New Roman" w:eastAsia="楷体" w:cs="Times New Roman"/>
          <w:color w:val="000000" w:themeColor="text1"/>
          <w:sz w:val="36"/>
          <w:szCs w:val="36"/>
          <w14:textFill>
            <w14:solidFill>
              <w14:schemeClr w14:val="tx1"/>
            </w14:solidFill>
          </w14:textFill>
        </w:rPr>
      </w:pPr>
    </w:p>
    <w:p w14:paraId="6F41A48E">
      <w:pPr>
        <w:jc w:val="center"/>
        <w:rPr>
          <w:rFonts w:hint="default" w:ascii="Times New Roman" w:hAnsi="Times New Roman" w:eastAsia="楷体" w:cs="Times New Roman"/>
          <w:color w:val="000000" w:themeColor="text1"/>
          <w:sz w:val="36"/>
          <w:szCs w:val="36"/>
          <w14:textFill>
            <w14:solidFill>
              <w14:schemeClr w14:val="tx1"/>
            </w14:solidFill>
          </w14:textFill>
        </w:rPr>
      </w:pPr>
    </w:p>
    <w:p w14:paraId="35763B49">
      <w:pPr>
        <w:jc w:val="center"/>
        <w:rPr>
          <w:rFonts w:hint="default" w:ascii="Times New Roman" w:hAnsi="Times New Roman" w:eastAsia="楷体" w:cs="Times New Roman"/>
          <w:color w:val="000000" w:themeColor="text1"/>
          <w:sz w:val="36"/>
          <w:szCs w:val="36"/>
          <w14:textFill>
            <w14:solidFill>
              <w14:schemeClr w14:val="tx1"/>
            </w14:solidFill>
          </w14:textFill>
        </w:rPr>
      </w:pPr>
    </w:p>
    <w:p w14:paraId="6C27868C">
      <w:pPr>
        <w:jc w:val="center"/>
        <w:rPr>
          <w:rFonts w:hint="default" w:ascii="Times New Roman" w:hAnsi="Times New Roman" w:eastAsia="楷体" w:cs="Times New Roman"/>
          <w:color w:val="000000" w:themeColor="text1"/>
          <w:sz w:val="36"/>
          <w:szCs w:val="36"/>
          <w14:textFill>
            <w14:solidFill>
              <w14:schemeClr w14:val="tx1"/>
            </w14:solidFill>
          </w14:textFill>
        </w:rPr>
      </w:pPr>
    </w:p>
    <w:p w14:paraId="23B37C77">
      <w:pPr>
        <w:jc w:val="center"/>
        <w:rPr>
          <w:rFonts w:hint="default" w:ascii="Times New Roman" w:hAnsi="Times New Roman" w:eastAsia="楷体" w:cs="Times New Roman"/>
          <w:color w:val="000000" w:themeColor="text1"/>
          <w:sz w:val="36"/>
          <w:szCs w:val="36"/>
          <w14:textFill>
            <w14:solidFill>
              <w14:schemeClr w14:val="tx1"/>
            </w14:solidFill>
          </w14:textFill>
        </w:rPr>
      </w:pPr>
    </w:p>
    <w:p w14:paraId="331C576A">
      <w:pPr>
        <w:jc w:val="center"/>
        <w:rPr>
          <w:rFonts w:hint="default" w:ascii="Times New Roman" w:hAnsi="Times New Roman" w:eastAsia="楷体" w:cs="Times New Roman"/>
          <w:color w:val="000000" w:themeColor="text1"/>
          <w:sz w:val="36"/>
          <w:szCs w:val="36"/>
          <w14:textFill>
            <w14:solidFill>
              <w14:schemeClr w14:val="tx1"/>
            </w14:solidFill>
          </w14:textFill>
        </w:rPr>
      </w:pPr>
    </w:p>
    <w:p w14:paraId="25FF0ED2">
      <w:pPr>
        <w:jc w:val="center"/>
        <w:rPr>
          <w:rFonts w:hint="default" w:ascii="Times New Roman" w:hAnsi="Times New Roman" w:eastAsia="楷体" w:cs="Times New Roman"/>
          <w:color w:val="000000" w:themeColor="text1"/>
          <w:sz w:val="36"/>
          <w:szCs w:val="36"/>
          <w14:textFill>
            <w14:solidFill>
              <w14:schemeClr w14:val="tx1"/>
            </w14:solidFill>
          </w14:textFill>
        </w:rPr>
      </w:pPr>
    </w:p>
    <w:p w14:paraId="0612BD3D">
      <w:pPr>
        <w:jc w:val="center"/>
        <w:rPr>
          <w:rFonts w:hint="default" w:ascii="Times New Roman" w:hAnsi="Times New Roman" w:eastAsia="楷体" w:cs="Times New Roman"/>
          <w:color w:val="000000" w:themeColor="text1"/>
          <w:sz w:val="36"/>
          <w:szCs w:val="36"/>
          <w14:textFill>
            <w14:solidFill>
              <w14:schemeClr w14:val="tx1"/>
            </w14:solidFill>
          </w14:textFill>
        </w:rPr>
      </w:pPr>
    </w:p>
    <w:p w14:paraId="7C10ECE0">
      <w:pPr>
        <w:jc w:val="center"/>
        <w:rPr>
          <w:rFonts w:hint="default" w:ascii="Times New Roman" w:hAnsi="Times New Roman" w:eastAsia="楷体" w:cs="Times New Roman"/>
          <w:color w:val="000000" w:themeColor="text1"/>
          <w:sz w:val="36"/>
          <w:szCs w:val="36"/>
          <w14:textFill>
            <w14:solidFill>
              <w14:schemeClr w14:val="tx1"/>
            </w14:solidFill>
          </w14:textFill>
        </w:rPr>
      </w:pPr>
    </w:p>
    <w:p w14:paraId="366A1B0F">
      <w:pPr>
        <w:jc w:val="center"/>
        <w:rPr>
          <w:rFonts w:hint="default" w:ascii="Times New Roman" w:hAnsi="Times New Roman" w:eastAsia="楷体" w:cs="Times New Roman"/>
          <w:color w:val="000000" w:themeColor="text1"/>
          <w:sz w:val="36"/>
          <w:szCs w:val="36"/>
          <w14:textFill>
            <w14:solidFill>
              <w14:schemeClr w14:val="tx1"/>
            </w14:solidFill>
          </w14:textFill>
        </w:rPr>
      </w:pPr>
    </w:p>
    <w:p w14:paraId="646083F6">
      <w:pPr>
        <w:jc w:val="center"/>
        <w:rPr>
          <w:rFonts w:hint="default" w:ascii="Times New Roman" w:hAnsi="Times New Roman" w:eastAsia="楷体" w:cs="Times New Roman"/>
          <w:color w:val="000000" w:themeColor="text1"/>
          <w:sz w:val="36"/>
          <w:szCs w:val="36"/>
          <w14:textFill>
            <w14:solidFill>
              <w14:schemeClr w14:val="tx1"/>
            </w14:solidFill>
          </w14:textFill>
        </w:rPr>
      </w:pPr>
    </w:p>
    <w:p w14:paraId="48177AEC">
      <w:pPr>
        <w:jc w:val="center"/>
        <w:rPr>
          <w:rFonts w:hint="default" w:ascii="Times New Roman" w:hAnsi="Times New Roman" w:eastAsia="楷体" w:cs="Times New Roman"/>
          <w:color w:val="000000" w:themeColor="text1"/>
          <w:sz w:val="36"/>
          <w:szCs w:val="36"/>
          <w14:textFill>
            <w14:solidFill>
              <w14:schemeClr w14:val="tx1"/>
            </w14:solidFill>
          </w14:textFill>
        </w:rPr>
      </w:pPr>
    </w:p>
    <w:p w14:paraId="66CB7378">
      <w:pPr>
        <w:jc w:val="center"/>
        <w:rPr>
          <w:rFonts w:hint="default" w:ascii="Times New Roman" w:hAnsi="Times New Roman" w:eastAsia="楷体" w:cs="Times New Roman"/>
          <w:color w:val="000000" w:themeColor="text1"/>
          <w:sz w:val="36"/>
          <w:szCs w:val="36"/>
          <w14:textFill>
            <w14:solidFill>
              <w14:schemeClr w14:val="tx1"/>
            </w14:solidFill>
          </w14:textFill>
        </w:rPr>
      </w:pPr>
    </w:p>
    <w:p w14:paraId="2DF9D5CF">
      <w:pPr>
        <w:jc w:val="center"/>
        <w:rPr>
          <w:rFonts w:hint="default" w:ascii="Times New Roman" w:hAnsi="Times New Roman" w:eastAsia="楷体" w:cs="Times New Roman"/>
          <w:color w:val="000000" w:themeColor="text1"/>
          <w:sz w:val="36"/>
          <w:szCs w:val="36"/>
          <w14:textFill>
            <w14:solidFill>
              <w14:schemeClr w14:val="tx1"/>
            </w14:solidFill>
          </w14:textFill>
        </w:rPr>
      </w:pPr>
    </w:p>
    <w:p w14:paraId="27483ABA">
      <w:pPr>
        <w:jc w:val="center"/>
        <w:rPr>
          <w:rFonts w:hint="default" w:ascii="Times New Roman" w:hAnsi="Times New Roman" w:eastAsia="楷体" w:cs="Times New Roman"/>
          <w:color w:val="000000" w:themeColor="text1"/>
          <w:sz w:val="36"/>
          <w:szCs w:val="36"/>
          <w14:textFill>
            <w14:solidFill>
              <w14:schemeClr w14:val="tx1"/>
            </w14:solidFill>
          </w14:textFill>
        </w:rPr>
      </w:pPr>
    </w:p>
    <w:p w14:paraId="466DAA50">
      <w:pPr>
        <w:jc w:val="center"/>
        <w:rPr>
          <w:rFonts w:hint="default" w:ascii="Times New Roman" w:hAnsi="Times New Roman" w:eastAsia="楷体" w:cs="Times New Roman"/>
          <w:color w:val="000000" w:themeColor="text1"/>
          <w:sz w:val="36"/>
          <w:szCs w:val="36"/>
          <w14:textFill>
            <w14:solidFill>
              <w14:schemeClr w14:val="tx1"/>
            </w14:solidFill>
          </w14:textFill>
        </w:rPr>
      </w:pPr>
    </w:p>
    <w:p w14:paraId="73850243">
      <w:pPr>
        <w:jc w:val="center"/>
        <w:rPr>
          <w:rFonts w:hint="default" w:ascii="Times New Roman" w:hAnsi="Times New Roman" w:eastAsia="楷体" w:cs="Times New Roman"/>
          <w:color w:val="000000" w:themeColor="text1"/>
          <w:sz w:val="36"/>
          <w:szCs w:val="36"/>
          <w14:textFill>
            <w14:solidFill>
              <w14:schemeClr w14:val="tx1"/>
            </w14:solidFill>
          </w14:textFill>
        </w:rPr>
      </w:pPr>
    </w:p>
    <w:p w14:paraId="160B0B19">
      <w:pPr>
        <w:jc w:val="center"/>
        <w:rPr>
          <w:rFonts w:hint="default" w:ascii="Times New Roman" w:hAnsi="Times New Roman" w:eastAsia="楷体" w:cs="Times New Roman"/>
          <w:color w:val="000000" w:themeColor="text1"/>
          <w:sz w:val="36"/>
          <w:szCs w:val="36"/>
          <w14:textFill>
            <w14:solidFill>
              <w14:schemeClr w14:val="tx1"/>
            </w14:solidFill>
          </w14:textFill>
        </w:rPr>
      </w:pPr>
    </w:p>
    <w:p w14:paraId="4A51F52B">
      <w:pPr>
        <w:jc w:val="both"/>
        <w:rPr>
          <w:rFonts w:hint="default" w:ascii="Times New Roman" w:hAnsi="Times New Roman" w:eastAsia="楷体" w:cs="Times New Roman"/>
          <w:color w:val="000000" w:themeColor="text1"/>
          <w:sz w:val="36"/>
          <w:szCs w:val="36"/>
          <w14:textFill>
            <w14:solidFill>
              <w14:schemeClr w14:val="tx1"/>
            </w14:solidFill>
          </w14:textFill>
        </w:rPr>
      </w:pPr>
    </w:p>
    <w:p w14:paraId="23A455BF">
      <w:pPr>
        <w:jc w:val="center"/>
        <w:rPr>
          <w:rFonts w:hint="default" w:ascii="Times New Roman" w:hAnsi="Times New Roman" w:eastAsia="楷体" w:cs="Times New Roman"/>
          <w:color w:val="000000" w:themeColor="text1"/>
          <w:sz w:val="36"/>
          <w:szCs w:val="36"/>
          <w14:textFill>
            <w14:solidFill>
              <w14:schemeClr w14:val="tx1"/>
            </w14:solidFill>
          </w14:textFill>
        </w:rPr>
      </w:pPr>
    </w:p>
    <w:p w14:paraId="350C9640">
      <w:pPr>
        <w:jc w:val="center"/>
        <w:rPr>
          <w:rFonts w:hint="default" w:ascii="Times New Roman" w:hAnsi="Times New Roman" w:eastAsia="黑体" w:cs="Times New Roman"/>
          <w:color w:val="000000" w:themeColor="text1"/>
          <w:sz w:val="28"/>
          <w:szCs w:val="28"/>
          <w:lang w:val="en-US" w:eastAsia="zh-CN"/>
          <w14:textFill>
            <w14:solidFill>
              <w14:schemeClr w14:val="tx1"/>
            </w14:solidFill>
          </w14:textFill>
        </w:rPr>
        <w:sectPr>
          <w:pgSz w:w="11906" w:h="16838"/>
          <w:pgMar w:top="1417" w:right="1417" w:bottom="1417" w:left="1417" w:header="992" w:footer="896" w:gutter="0"/>
          <w:pgBorders>
            <w:top w:val="none" w:sz="0" w:space="0"/>
            <w:left w:val="none" w:sz="0" w:space="0"/>
            <w:bottom w:val="none" w:sz="0" w:space="0"/>
            <w:right w:val="none" w:sz="0" w:space="0"/>
          </w:pgBorders>
          <w:pgNumType w:fmt="decimal"/>
          <w:cols w:space="0" w:num="1"/>
          <w:rtlGutter w:val="0"/>
          <w:docGrid w:type="lines" w:linePitch="318" w:charSpace="0"/>
        </w:sectPr>
      </w:pPr>
    </w:p>
    <w:p w14:paraId="38BF72A1">
      <w:pPr>
        <w:jc w:val="center"/>
        <w:rPr>
          <w:rFonts w:hint="default" w:ascii="Times New Roman" w:hAnsi="Times New Roman" w:eastAsia="黑体" w:cs="Times New Roman"/>
          <w:color w:val="000000" w:themeColor="text1"/>
          <w:sz w:val="28"/>
          <w:szCs w:val="28"/>
          <w:lang w:val="en-US" w:eastAsia="zh-CN"/>
          <w14:textFill>
            <w14:solidFill>
              <w14:schemeClr w14:val="tx1"/>
            </w14:solidFill>
          </w14:textFill>
        </w:rPr>
      </w:pPr>
      <w:r>
        <w:rPr>
          <w:rFonts w:hint="default" w:ascii="Times New Roman" w:hAnsi="Times New Roman" w:eastAsia="黑体" w:cs="Times New Roman"/>
          <w:color w:val="000000" w:themeColor="text1"/>
          <w:sz w:val="28"/>
          <w:szCs w:val="28"/>
          <w:lang w:val="en-US" w:eastAsia="zh-CN"/>
          <w14:textFill>
            <w14:solidFill>
              <w14:schemeClr w14:val="tx1"/>
            </w14:solidFill>
          </w14:textFill>
        </w:rPr>
        <w:t>一、建设项目基本情况</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2839"/>
        <w:gridCol w:w="2229"/>
        <w:gridCol w:w="2973"/>
      </w:tblGrid>
      <w:tr w14:paraId="3752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1154CD6E">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建设项目名称</w:t>
            </w:r>
          </w:p>
        </w:tc>
        <w:tc>
          <w:tcPr>
            <w:tcW w:w="8041" w:type="dxa"/>
            <w:gridSpan w:val="3"/>
            <w:vAlign w:val="center"/>
          </w:tcPr>
          <w:p w14:paraId="6A1E9C70">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宁榆天然气评价项目组米172-08等</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口评价井建设项目</w:t>
            </w:r>
          </w:p>
        </w:tc>
      </w:tr>
      <w:tr w14:paraId="6F84E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247" w:type="dxa"/>
            <w:vAlign w:val="center"/>
          </w:tcPr>
          <w:p w14:paraId="0816FD00">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项目代码</w:t>
            </w:r>
          </w:p>
        </w:tc>
        <w:tc>
          <w:tcPr>
            <w:tcW w:w="8041" w:type="dxa"/>
            <w:gridSpan w:val="3"/>
            <w:vAlign w:val="center"/>
          </w:tcPr>
          <w:p w14:paraId="5880BDAC">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14:paraId="41158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5B176C6A">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建设单位联系人</w:t>
            </w:r>
          </w:p>
        </w:tc>
        <w:tc>
          <w:tcPr>
            <w:tcW w:w="2839" w:type="dxa"/>
            <w:vAlign w:val="center"/>
          </w:tcPr>
          <w:p w14:paraId="794C1992">
            <w:pPr>
              <w:jc w:val="center"/>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宋斌</w:t>
            </w:r>
          </w:p>
        </w:tc>
        <w:tc>
          <w:tcPr>
            <w:tcW w:w="2229" w:type="dxa"/>
            <w:vAlign w:val="center"/>
          </w:tcPr>
          <w:p w14:paraId="51E01FB1">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联系方式</w:t>
            </w:r>
          </w:p>
        </w:tc>
        <w:tc>
          <w:tcPr>
            <w:tcW w:w="2973" w:type="dxa"/>
            <w:vAlign w:val="center"/>
          </w:tcPr>
          <w:p w14:paraId="76BC104B">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14:textFill>
                  <w14:solidFill>
                    <w14:schemeClr w14:val="tx1"/>
                  </w14:solidFill>
                </w14:textFill>
              </w:rPr>
              <w:t>13629575890</w:t>
            </w:r>
          </w:p>
        </w:tc>
      </w:tr>
      <w:tr w14:paraId="1B9A6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44697D39">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建设地点</w:t>
            </w:r>
          </w:p>
        </w:tc>
        <w:tc>
          <w:tcPr>
            <w:tcW w:w="8041" w:type="dxa"/>
            <w:gridSpan w:val="3"/>
            <w:vAlign w:val="top"/>
          </w:tcPr>
          <w:p w14:paraId="6942BB34">
            <w:pPr>
              <w:jc w:val="cente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米172-08：陕西省榆林市佳县方塌镇曹新庄村</w:t>
            </w:r>
          </w:p>
          <w:p w14:paraId="31DE18D4">
            <w:pPr>
              <w:jc w:val="cente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米37-14M：陕西省榆林市佳县方塌镇方楣村</w:t>
            </w:r>
          </w:p>
          <w:p w14:paraId="57ACE9A4">
            <w:pPr>
              <w:jc w:val="cente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米172-06：陕西省榆林市佳县方塌镇折家畔村</w:t>
            </w:r>
          </w:p>
          <w:p w14:paraId="1BD7C3ED">
            <w:pPr>
              <w:jc w:val="center"/>
              <w:rPr>
                <w:rFonts w:hint="default"/>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米172-07：陕西省榆林市佳县方塌镇马能峁村</w:t>
            </w:r>
          </w:p>
        </w:tc>
      </w:tr>
      <w:tr w14:paraId="1C926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0E9400ED">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地理坐标</w:t>
            </w:r>
          </w:p>
        </w:tc>
        <w:tc>
          <w:tcPr>
            <w:tcW w:w="8041" w:type="dxa"/>
            <w:gridSpan w:val="3"/>
            <w:vAlign w:val="top"/>
          </w:tcPr>
          <w:p w14:paraId="5DA593C9">
            <w:pPr>
              <w:jc w:val="cente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米172-08：东经：110°7′24.305″,北纬：38°13′10.033″</w:t>
            </w:r>
          </w:p>
          <w:p w14:paraId="3C6C67C5">
            <w:pPr>
              <w:jc w:val="cente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米37-14M：东经：110°6′42.109″,北纬：38°16′8.568″</w:t>
            </w:r>
          </w:p>
          <w:p w14:paraId="14626E2F">
            <w:pPr>
              <w:jc w:val="cente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米172-06：东经：110°3′33.505″,北纬：38°12′21.425″</w:t>
            </w:r>
          </w:p>
          <w:p w14:paraId="149CE1D2">
            <w:pPr>
              <w:jc w:val="cente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米172-07：东经：110°4′55.367″,北纬：38°13′32.296″</w:t>
            </w:r>
          </w:p>
          <w:p w14:paraId="097A0868">
            <w:pPr>
              <w:jc w:val="center"/>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环评中具体坐标以榆林市投资项目选址“</w:t>
            </w: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一</w:t>
            </w:r>
            <w: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张图”控制线检测报告中的坐标点位为</w:t>
            </w: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准</w:t>
            </w:r>
          </w:p>
        </w:tc>
      </w:tr>
      <w:tr w14:paraId="077B6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33481E6A">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建设项目类别</w:t>
            </w:r>
          </w:p>
        </w:tc>
        <w:tc>
          <w:tcPr>
            <w:tcW w:w="2839" w:type="dxa"/>
            <w:vAlign w:val="top"/>
          </w:tcPr>
          <w:p w14:paraId="02C66636">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四十六、专业技术服务-99、陆地矿产资源地质勘察（含油气资源勘探）-全部</w:t>
            </w:r>
          </w:p>
        </w:tc>
        <w:tc>
          <w:tcPr>
            <w:tcW w:w="2229" w:type="dxa"/>
            <w:vAlign w:val="center"/>
          </w:tcPr>
          <w:p w14:paraId="76E23274">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用地（用海）面积（m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）/长度（km）</w:t>
            </w:r>
          </w:p>
        </w:tc>
        <w:tc>
          <w:tcPr>
            <w:tcW w:w="2973" w:type="dxa"/>
            <w:vAlign w:val="center"/>
          </w:tcPr>
          <w:p w14:paraId="7A6F3B56">
            <w:pPr>
              <w:jc w:val="center"/>
              <w:rPr>
                <w:rFonts w:hint="default"/>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46940（临时用地）</w:t>
            </w:r>
          </w:p>
        </w:tc>
      </w:tr>
      <w:tr w14:paraId="53399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61A6AE78">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建设性质</w:t>
            </w:r>
          </w:p>
        </w:tc>
        <w:tc>
          <w:tcPr>
            <w:tcW w:w="2839" w:type="dxa"/>
            <w:vAlign w:val="center"/>
          </w:tcPr>
          <w:p w14:paraId="00D92047">
            <w:pPr>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sym w:font="Wingdings" w:char="00FE"/>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新建（迁建）</w:t>
            </w:r>
          </w:p>
          <w:p w14:paraId="152E4797">
            <w:pPr>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sym w:font="Wingdings" w:char="00A8"/>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改建</w:t>
            </w:r>
          </w:p>
          <w:p w14:paraId="787D8663">
            <w:pPr>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sym w:font="Wingdings" w:char="00A8"/>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扩建</w:t>
            </w:r>
          </w:p>
          <w:p w14:paraId="3F731B92">
            <w:pPr>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sym w:font="Wingdings" w:char="00A8"/>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技术改造</w:t>
            </w:r>
          </w:p>
        </w:tc>
        <w:tc>
          <w:tcPr>
            <w:tcW w:w="2229" w:type="dxa"/>
            <w:vAlign w:val="center"/>
          </w:tcPr>
          <w:p w14:paraId="5B949BFD">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建设项目</w:t>
            </w:r>
          </w:p>
          <w:p w14:paraId="3709A2C0">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申报情形</w:t>
            </w:r>
          </w:p>
        </w:tc>
        <w:tc>
          <w:tcPr>
            <w:tcW w:w="2973" w:type="dxa"/>
            <w:vAlign w:val="top"/>
          </w:tcPr>
          <w:p w14:paraId="6B2BA492">
            <w:pPr>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sym w:font="Wingdings" w:char="00FE"/>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首次申报项目</w:t>
            </w:r>
          </w:p>
          <w:p w14:paraId="2AB7F42A">
            <w:pPr>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sym w:font="Wingdings" w:char="00A8"/>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不予批准后再次申报项目</w:t>
            </w:r>
          </w:p>
          <w:p w14:paraId="59FE85C1">
            <w:pPr>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sym w:font="Wingdings" w:char="00A8"/>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超过五年重新审核项目</w:t>
            </w:r>
          </w:p>
          <w:p w14:paraId="08173230">
            <w:pPr>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sym w:font="Wingdings" w:char="00A8"/>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重大变动重新报批项目</w:t>
            </w:r>
          </w:p>
        </w:tc>
      </w:tr>
      <w:tr w14:paraId="6CDD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7" w:type="dxa"/>
            <w:vAlign w:val="top"/>
          </w:tcPr>
          <w:p w14:paraId="6A6C6F7E">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项目审批（核准/备案）部门（选填）</w:t>
            </w:r>
          </w:p>
        </w:tc>
        <w:tc>
          <w:tcPr>
            <w:tcW w:w="2839" w:type="dxa"/>
            <w:vAlign w:val="center"/>
          </w:tcPr>
          <w:p w14:paraId="7255AF79">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229" w:type="dxa"/>
            <w:vAlign w:val="center"/>
          </w:tcPr>
          <w:p w14:paraId="3C3CAB57">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项目审批（核准/备案）文号（选填）</w:t>
            </w:r>
          </w:p>
        </w:tc>
        <w:tc>
          <w:tcPr>
            <w:tcW w:w="2973" w:type="dxa"/>
            <w:vAlign w:val="center"/>
          </w:tcPr>
          <w:p w14:paraId="19BE676E">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14:paraId="33F7E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19F0B6CF">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总投资（万元）</w:t>
            </w:r>
          </w:p>
        </w:tc>
        <w:tc>
          <w:tcPr>
            <w:tcW w:w="2839" w:type="dxa"/>
            <w:vAlign w:val="center"/>
          </w:tcPr>
          <w:p w14:paraId="660FBA3E">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2000</w:t>
            </w:r>
          </w:p>
        </w:tc>
        <w:tc>
          <w:tcPr>
            <w:tcW w:w="2229" w:type="dxa"/>
            <w:vAlign w:val="center"/>
          </w:tcPr>
          <w:p w14:paraId="1B1DD3BE">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环保投资（万元）</w:t>
            </w:r>
          </w:p>
        </w:tc>
        <w:tc>
          <w:tcPr>
            <w:tcW w:w="2973" w:type="dxa"/>
            <w:vAlign w:val="center"/>
          </w:tcPr>
          <w:p w14:paraId="41F18650">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224.2</w:t>
            </w:r>
          </w:p>
        </w:tc>
      </w:tr>
      <w:tr w14:paraId="3596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2FA79D2F">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环保投资占比（%）</w:t>
            </w:r>
          </w:p>
        </w:tc>
        <w:tc>
          <w:tcPr>
            <w:tcW w:w="2839" w:type="dxa"/>
            <w:vAlign w:val="center"/>
          </w:tcPr>
          <w:p w14:paraId="1B3C30D9">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11.21</w:t>
            </w:r>
          </w:p>
        </w:tc>
        <w:tc>
          <w:tcPr>
            <w:tcW w:w="2229" w:type="dxa"/>
            <w:vAlign w:val="center"/>
          </w:tcPr>
          <w:p w14:paraId="1BE678A5">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施工工期</w:t>
            </w:r>
          </w:p>
        </w:tc>
        <w:tc>
          <w:tcPr>
            <w:tcW w:w="2973" w:type="dxa"/>
            <w:vAlign w:val="center"/>
          </w:tcPr>
          <w:p w14:paraId="18481F93">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100</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天</w:t>
            </w:r>
          </w:p>
        </w:tc>
      </w:tr>
      <w:tr w14:paraId="7C95B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top"/>
          </w:tcPr>
          <w:p w14:paraId="75F70A3F">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是否开工建设</w:t>
            </w:r>
          </w:p>
        </w:tc>
        <w:tc>
          <w:tcPr>
            <w:tcW w:w="8041" w:type="dxa"/>
            <w:gridSpan w:val="3"/>
            <w:vAlign w:val="top"/>
          </w:tcPr>
          <w:p w14:paraId="08FC6D4F">
            <w:pPr>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sym w:font="Wingdings" w:char="00FE"/>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否</w:t>
            </w:r>
          </w:p>
          <w:p w14:paraId="2DEDA711">
            <w:pPr>
              <w:jc w:val="both"/>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sym w:font="Wingdings" w:char="00A8"/>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是：</w:t>
            </w:r>
            <w:r>
              <w:rPr>
                <w:rFonts w:hint="default" w:ascii="Times New Roman" w:hAnsi="Times New Roman" w:eastAsia="宋体" w:cs="Times New Roman"/>
                <w:color w:val="000000" w:themeColor="text1"/>
                <w:sz w:val="21"/>
                <w:szCs w:val="21"/>
                <w:u w:val="single"/>
                <w:vertAlign w:val="baseline"/>
                <w:lang w:val="en-US" w:eastAsia="zh-CN"/>
                <w14:textFill>
                  <w14:solidFill>
                    <w14:schemeClr w14:val="tx1"/>
                  </w14:solidFill>
                </w14:textFill>
              </w:rPr>
              <w:t xml:space="preserve">                          </w:t>
            </w:r>
          </w:p>
        </w:tc>
      </w:tr>
      <w:tr w14:paraId="6FDBC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top"/>
          </w:tcPr>
          <w:p w14:paraId="6A04BCE1">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专项评价设置情况</w:t>
            </w:r>
          </w:p>
        </w:tc>
        <w:tc>
          <w:tcPr>
            <w:tcW w:w="8041" w:type="dxa"/>
            <w:gridSpan w:val="3"/>
            <w:vAlign w:val="top"/>
          </w:tcPr>
          <w:p w14:paraId="2C50EF79">
            <w:pPr>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表1-1   专项评价设置情况表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3634"/>
              <w:gridCol w:w="2205"/>
              <w:gridCol w:w="788"/>
            </w:tblGrid>
            <w:tr w14:paraId="59D0C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48060D5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专项评价的类别</w:t>
                  </w:r>
                </w:p>
              </w:tc>
              <w:tc>
                <w:tcPr>
                  <w:tcW w:w="2325" w:type="pct"/>
                  <w:vAlign w:val="center"/>
                </w:tcPr>
                <w:p w14:paraId="056E6CA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涉及项目类别</w:t>
                  </w:r>
                </w:p>
              </w:tc>
              <w:tc>
                <w:tcPr>
                  <w:tcW w:w="1411" w:type="pct"/>
                  <w:vAlign w:val="center"/>
                </w:tcPr>
                <w:p w14:paraId="5740629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本项目</w:t>
                  </w:r>
                </w:p>
              </w:tc>
              <w:tc>
                <w:tcPr>
                  <w:tcW w:w="504" w:type="pct"/>
                  <w:vAlign w:val="center"/>
                </w:tcPr>
                <w:p w14:paraId="78FF949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vertAlign w:val="baseline"/>
                      <w:lang w:val="en-US" w:eastAsia="zh-CN"/>
                      <w14:textFill>
                        <w14:solidFill>
                          <w14:schemeClr w14:val="tx1"/>
                        </w14:solidFill>
                      </w14:textFill>
                    </w:rPr>
                    <w:t>是否设置</w:t>
                  </w:r>
                </w:p>
              </w:tc>
            </w:tr>
            <w:tr w14:paraId="3856F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47F478F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地表水</w:t>
                  </w:r>
                </w:p>
              </w:tc>
              <w:tc>
                <w:tcPr>
                  <w:tcW w:w="2325" w:type="pct"/>
                  <w:vAlign w:val="center"/>
                </w:tcPr>
                <w:p w14:paraId="1717265C">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水利发电：引水式发电、涉及调峰发电的项目；</w:t>
                  </w:r>
                </w:p>
                <w:p w14:paraId="37B6F1F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人工湖、人工湿地：全部；</w:t>
                  </w:r>
                </w:p>
                <w:p w14:paraId="4D1C06B9">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水库：全部；</w:t>
                  </w:r>
                </w:p>
                <w:p w14:paraId="4B6A3DBE">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引水工程：全部（配套的管线工程等除外）；</w:t>
                  </w:r>
                </w:p>
                <w:p w14:paraId="59EF00B6">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防洪除涝工程：包含水库的项目</w:t>
                  </w:r>
                </w:p>
                <w:p w14:paraId="24B2451A">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河湖整治：涉及清淤且底泥存在重金属污染的项目</w:t>
                  </w:r>
                </w:p>
              </w:tc>
              <w:tc>
                <w:tcPr>
                  <w:tcW w:w="1411" w:type="pct"/>
                  <w:vAlign w:val="center"/>
                </w:tcPr>
                <w:p w14:paraId="308B7A30">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本项目为天然气资源勘探井工程，不需开展地表水专项评价</w:t>
                  </w: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w:t>
                  </w:r>
                </w:p>
              </w:tc>
              <w:tc>
                <w:tcPr>
                  <w:tcW w:w="504" w:type="pct"/>
                  <w:vAlign w:val="center"/>
                </w:tcPr>
                <w:p w14:paraId="1E6D80F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否</w:t>
                  </w:r>
                </w:p>
              </w:tc>
            </w:tr>
            <w:tr w14:paraId="237CA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650D2F4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地下水</w:t>
                  </w:r>
                </w:p>
              </w:tc>
              <w:tc>
                <w:tcPr>
                  <w:tcW w:w="2325" w:type="pct"/>
                  <w:vAlign w:val="center"/>
                </w:tcPr>
                <w:p w14:paraId="075EC928">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陆地石油和天然气开采：全部；</w:t>
                  </w:r>
                </w:p>
                <w:p w14:paraId="031A8FE3">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地下水（含矿泉水）开采：全部；</w:t>
                  </w:r>
                </w:p>
                <w:p w14:paraId="4E83341E">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水利、水电、交通等：含穿越可溶岩地层隧道的项目</w:t>
                  </w:r>
                </w:p>
              </w:tc>
              <w:tc>
                <w:tcPr>
                  <w:tcW w:w="1411" w:type="pct"/>
                  <w:vAlign w:val="center"/>
                </w:tcPr>
                <w:p w14:paraId="1505B969">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本项目为天然气资源勘探井工程，不属于天然气开采，无需开展地下水专项评价</w:t>
                  </w: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w:t>
                  </w:r>
                </w:p>
              </w:tc>
              <w:tc>
                <w:tcPr>
                  <w:tcW w:w="504" w:type="pct"/>
                  <w:vAlign w:val="center"/>
                </w:tcPr>
                <w:p w14:paraId="53D4DA3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否</w:t>
                  </w:r>
                </w:p>
              </w:tc>
            </w:tr>
            <w:tr w14:paraId="23BCF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4F85063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生态</w:t>
                  </w:r>
                </w:p>
              </w:tc>
              <w:tc>
                <w:tcPr>
                  <w:tcW w:w="2325" w:type="pct"/>
                  <w:vAlign w:val="center"/>
                </w:tcPr>
                <w:p w14:paraId="6E084700">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涉及环境敏感区（不包括饮用水水源保护区，以居住、医疗卫生、文化教育、科研、行政办公为主要功能的区域，以及文物保护单位）的项目</w:t>
                  </w:r>
                </w:p>
              </w:tc>
              <w:tc>
                <w:tcPr>
                  <w:tcW w:w="1411" w:type="pct"/>
                  <w:vAlign w:val="center"/>
                </w:tcPr>
                <w:p w14:paraId="6A1C4F39">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本项目为天然气资源勘探井工程，《建设项目环境影响评价分类管理名录》中针对该类项目无“敏感区”要求，同时本项目环境影响范围</w:t>
                  </w: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内</w:t>
                  </w: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无以居住、医疗卫生、文化教育、科研、行政办公为主要功能的区域，以及文物保护单位）</w:t>
                  </w: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w:t>
                  </w:r>
                </w:p>
              </w:tc>
              <w:tc>
                <w:tcPr>
                  <w:tcW w:w="504" w:type="pct"/>
                  <w:vAlign w:val="center"/>
                </w:tcPr>
                <w:p w14:paraId="1303C8E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否</w:t>
                  </w:r>
                </w:p>
              </w:tc>
            </w:tr>
            <w:tr w14:paraId="4915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2BBF2BD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大气</w:t>
                  </w:r>
                </w:p>
              </w:tc>
              <w:tc>
                <w:tcPr>
                  <w:tcW w:w="2325" w:type="pct"/>
                  <w:vAlign w:val="center"/>
                </w:tcPr>
                <w:p w14:paraId="5A0105BD">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油气、液体化工码头：全部；</w:t>
                  </w:r>
                </w:p>
                <w:p w14:paraId="06DC39E7">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干散货（含煤炭、矿石）、件杂、多用途、通用码头：涉及粉尘、挥发性有机物排放的项目</w:t>
                  </w:r>
                </w:p>
              </w:tc>
              <w:tc>
                <w:tcPr>
                  <w:tcW w:w="1411" w:type="pct"/>
                  <w:vAlign w:val="center"/>
                </w:tcPr>
                <w:p w14:paraId="20CB4481">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本项目为天然气资源勘探井工程，不需开展</w:t>
                  </w: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大气</w:t>
                  </w: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专项评价</w:t>
                  </w: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w:t>
                  </w:r>
                </w:p>
              </w:tc>
              <w:tc>
                <w:tcPr>
                  <w:tcW w:w="504" w:type="pct"/>
                  <w:vAlign w:val="center"/>
                </w:tcPr>
                <w:p w14:paraId="6FF5BBC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否</w:t>
                  </w:r>
                </w:p>
              </w:tc>
            </w:tr>
            <w:tr w14:paraId="73C82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5EBA8C0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噪声</w:t>
                  </w:r>
                </w:p>
              </w:tc>
              <w:tc>
                <w:tcPr>
                  <w:tcW w:w="2325" w:type="pct"/>
                  <w:vAlign w:val="center"/>
                </w:tcPr>
                <w:p w14:paraId="62C842E3">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公路、铁路、机场等交通运输业涉及环境敏感区（以居住、医疗卫生、文化教育、科研、行政办公为主要功能的区域）的项目；</w:t>
                  </w:r>
                </w:p>
                <w:p w14:paraId="267FA71E">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城市道路（不含维护，不含支路、人行天桥、人行地道）：全部</w:t>
                  </w:r>
                </w:p>
              </w:tc>
              <w:tc>
                <w:tcPr>
                  <w:tcW w:w="1411" w:type="pct"/>
                  <w:vAlign w:val="center"/>
                </w:tcPr>
                <w:p w14:paraId="3110FB55">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本项目为天然气资源勘探井工程，不需开展噪声专项评价</w:t>
                  </w: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w:t>
                  </w:r>
                </w:p>
              </w:tc>
              <w:tc>
                <w:tcPr>
                  <w:tcW w:w="504" w:type="pct"/>
                  <w:vAlign w:val="center"/>
                </w:tcPr>
                <w:p w14:paraId="0111C22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否</w:t>
                  </w:r>
                </w:p>
              </w:tc>
            </w:tr>
            <w:tr w14:paraId="51A91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770EDF5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环境风险</w:t>
                  </w:r>
                </w:p>
              </w:tc>
              <w:tc>
                <w:tcPr>
                  <w:tcW w:w="2325" w:type="pct"/>
                  <w:vAlign w:val="center"/>
                </w:tcPr>
                <w:p w14:paraId="58E2DB6D">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石油和天然气开采：全部；</w:t>
                  </w:r>
                </w:p>
                <w:p w14:paraId="7A192077">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油气、液体化工码头：全部；</w:t>
                  </w:r>
                </w:p>
                <w:p w14:paraId="253B08A4">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原油、成品油、天然气管线（不含城镇天然气管线、企业厂区内管线），危险化学品输送管线（不含企业厂区内管线）：全部</w:t>
                  </w:r>
                </w:p>
              </w:tc>
              <w:tc>
                <w:tcPr>
                  <w:tcW w:w="1411" w:type="pct"/>
                  <w:vAlign w:val="center"/>
                </w:tcPr>
                <w:p w14:paraId="42D52F74">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本项目为天然气资源勘探井工程，不属于天然气开采，无需开展环境风险专项评价</w:t>
                  </w:r>
                  <w:r>
                    <w:rPr>
                      <w:rFonts w:hint="eastAsia"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w:t>
                  </w:r>
                </w:p>
              </w:tc>
              <w:tc>
                <w:tcPr>
                  <w:tcW w:w="504" w:type="pct"/>
                  <w:vAlign w:val="center"/>
                </w:tcPr>
                <w:p w14:paraId="7B16AD2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vertAlign w:val="baseline"/>
                      <w:lang w:val="en-US" w:eastAsia="zh-CN"/>
                      <w14:textFill>
                        <w14:solidFill>
                          <w14:schemeClr w14:val="tx1"/>
                        </w14:solidFill>
                      </w14:textFill>
                    </w:rPr>
                    <w:t>否</w:t>
                  </w:r>
                </w:p>
              </w:tc>
            </w:tr>
          </w:tbl>
          <w:p w14:paraId="23AD27E7">
            <w:pPr>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14:paraId="5023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664CBF81">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规划情况</w:t>
            </w:r>
          </w:p>
        </w:tc>
        <w:tc>
          <w:tcPr>
            <w:tcW w:w="8041" w:type="dxa"/>
            <w:gridSpan w:val="3"/>
            <w:vAlign w:val="center"/>
          </w:tcPr>
          <w:p w14:paraId="595A20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《陕西省矿产资源总体规划（2021-2025年）》</w:t>
            </w:r>
          </w:p>
          <w:p w14:paraId="0BCECF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审批情况：陕西省自然资源厅、陕西省发展和改革委员会关于印发《陕西省矿产资源总体规划（2021-2025年）》的通知（陕自然资发[2022]40号）</w:t>
            </w:r>
          </w:p>
          <w:p w14:paraId="2DADB5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《榆林市矿产资源总体规划（2021-2025年）》</w:t>
            </w:r>
          </w:p>
          <w:p w14:paraId="318247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审批情况：陕西省资源资源厅、榆林市人民政府关于印发《榆林市矿产资源总体规划（2021-2025年）》的通知（2023年1月16日）</w:t>
            </w:r>
          </w:p>
          <w:p w14:paraId="01EE16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《佳县矿产资源总体规划（2021-2025年）》</w:t>
            </w:r>
          </w:p>
          <w:p w14:paraId="033CB5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审批情况：榆林市人民政府、佳县人民政府关于印发《佳县矿产资源总体规划（2021-2025年）》的通知（2023年6月20日）</w:t>
            </w:r>
          </w:p>
        </w:tc>
      </w:tr>
      <w:tr w14:paraId="1FBBE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6E2AB2CC">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规划环境影响</w:t>
            </w:r>
          </w:p>
          <w:p w14:paraId="64FA46D0">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评价情况</w:t>
            </w:r>
          </w:p>
        </w:tc>
        <w:tc>
          <w:tcPr>
            <w:tcW w:w="8041" w:type="dxa"/>
            <w:gridSpan w:val="3"/>
            <w:vAlign w:val="center"/>
          </w:tcPr>
          <w:p w14:paraId="5E9A22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陕西省矿产资源总体规划（2021-2025年）环境影响报告书</w:t>
            </w:r>
          </w:p>
          <w:p w14:paraId="4202CB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审批情况：关于《陕西省矿产资源总体规划(2021-2025年)环境影响报告书》的审查意见（环审[2022]123号）</w:t>
            </w:r>
          </w:p>
        </w:tc>
      </w:tr>
      <w:tr w14:paraId="6C308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7" w:type="dxa"/>
            <w:vAlign w:val="center"/>
          </w:tcPr>
          <w:p w14:paraId="6CE76821">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规划及规划环境影响评价符合性分析</w:t>
            </w:r>
          </w:p>
        </w:tc>
        <w:tc>
          <w:tcPr>
            <w:tcW w:w="8041" w:type="dxa"/>
            <w:gridSpan w:val="3"/>
            <w:vAlign w:val="center"/>
          </w:tcPr>
          <w:p w14:paraId="3339E10F">
            <w:pPr>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表1-2   项目与规划及规划环评符合性分析一览表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6"/>
              <w:gridCol w:w="3491"/>
              <w:gridCol w:w="2005"/>
              <w:gridCol w:w="833"/>
            </w:tblGrid>
            <w:tr w14:paraId="480B3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6" w:type="dxa"/>
                  <w:vAlign w:val="center"/>
                </w:tcPr>
                <w:p w14:paraId="2E2DE331">
                  <w:pPr>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文件名称</w:t>
                  </w:r>
                </w:p>
              </w:tc>
              <w:tc>
                <w:tcPr>
                  <w:tcW w:w="3491" w:type="dxa"/>
                  <w:vAlign w:val="center"/>
                </w:tcPr>
                <w:p w14:paraId="4A075462">
                  <w:pPr>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规划及规划环评相关要求</w:t>
                  </w:r>
                </w:p>
              </w:tc>
              <w:tc>
                <w:tcPr>
                  <w:tcW w:w="2005" w:type="dxa"/>
                  <w:vAlign w:val="center"/>
                </w:tcPr>
                <w:p w14:paraId="42962563">
                  <w:pPr>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本项目情况</w:t>
                  </w:r>
                </w:p>
              </w:tc>
              <w:tc>
                <w:tcPr>
                  <w:tcW w:w="833" w:type="dxa"/>
                  <w:vAlign w:val="center"/>
                </w:tcPr>
                <w:p w14:paraId="5B619899">
                  <w:pPr>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符合性</w:t>
                  </w:r>
                </w:p>
              </w:tc>
            </w:tr>
            <w:tr w14:paraId="02305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6" w:type="dxa"/>
                  <w:vMerge w:val="restart"/>
                  <w:vAlign w:val="center"/>
                </w:tcPr>
                <w:p w14:paraId="1E2B4858">
                  <w:pPr>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陕西省矿产资源总体规划（2021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2025年）</w:t>
                  </w:r>
                </w:p>
              </w:tc>
              <w:tc>
                <w:tcPr>
                  <w:tcW w:w="3491" w:type="dxa"/>
                  <w:vAlign w:val="center"/>
                </w:tcPr>
                <w:p w14:paraId="3C7AA931">
                  <w:pPr>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推动陕北能源转型升级发展。在鄂尔多斯盆地煤油气盐赋存区，加强石油、天然气、页岩气、煤层气等能源矿产的调查评价，加大石油、天然气勘探力度，稳步提高油气产能</w:t>
                  </w:r>
                </w:p>
              </w:tc>
              <w:tc>
                <w:tcPr>
                  <w:tcW w:w="2005" w:type="dxa"/>
                  <w:vMerge w:val="restart"/>
                  <w:vAlign w:val="center"/>
                </w:tcPr>
                <w:p w14:paraId="5763FAC1">
                  <w:pPr>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个气探井均位于陕甘宁鄂尔多斯盆地煤油气盐赋存区，为天然气勘探井工程，项目的实施有助于加大勘探勘探力度,促进天然气持续增产</w:t>
                  </w:r>
                </w:p>
              </w:tc>
              <w:tc>
                <w:tcPr>
                  <w:tcW w:w="833" w:type="dxa"/>
                  <w:vAlign w:val="center"/>
                </w:tcPr>
                <w:p w14:paraId="5BAF3E11">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符合</w:t>
                  </w:r>
                </w:p>
              </w:tc>
            </w:tr>
            <w:tr w14:paraId="53362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6" w:type="dxa"/>
                  <w:vMerge w:val="continue"/>
                  <w:vAlign w:val="center"/>
                </w:tcPr>
                <w:p w14:paraId="2CD6EAFA">
                  <w:pPr>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3491" w:type="dxa"/>
                  <w:vAlign w:val="center"/>
                </w:tcPr>
                <w:p w14:paraId="508D6D46">
                  <w:pPr>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按照“稳油增气、常非并举”的部署，推进石油增储稳产、天然气增储扩产、煤层气增储上产。加强鄂尔多斯盆地油气勘查，加大页岩气、煤层气等非常规油气勘查力度，形成新的资源接续区</w:t>
                  </w:r>
                </w:p>
              </w:tc>
              <w:tc>
                <w:tcPr>
                  <w:tcW w:w="2005" w:type="dxa"/>
                  <w:vMerge w:val="continue"/>
                  <w:vAlign w:val="center"/>
                </w:tcPr>
                <w:p w14:paraId="76273509">
                  <w:pPr>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833" w:type="dxa"/>
                  <w:vAlign w:val="center"/>
                </w:tcPr>
                <w:p w14:paraId="7C22CEF6">
                  <w:pPr>
                    <w:jc w:val="cente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符合</w:t>
                  </w:r>
                </w:p>
              </w:tc>
            </w:tr>
            <w:tr w14:paraId="2E73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6" w:type="dxa"/>
                  <w:vMerge w:val="continue"/>
                  <w:vAlign w:val="center"/>
                </w:tcPr>
                <w:p w14:paraId="26828EDD">
                  <w:pPr>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3491" w:type="dxa"/>
                  <w:vAlign w:val="center"/>
                </w:tcPr>
                <w:p w14:paraId="5007F6E4">
                  <w:pPr>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生态保护红线范围内原则上禁止不符合管控要求的矿产资源勘查开采</w:t>
                  </w:r>
                </w:p>
              </w:tc>
              <w:tc>
                <w:tcPr>
                  <w:tcW w:w="2005" w:type="dxa"/>
                  <w:vAlign w:val="center"/>
                </w:tcPr>
                <w:p w14:paraId="256A8841">
                  <w:pPr>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根据项目榆林市投资项目选址“一张图”控制线检测</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报告，项目4个气探井均不涉及生态红线</w:t>
                  </w:r>
                </w:p>
              </w:tc>
              <w:tc>
                <w:tcPr>
                  <w:tcW w:w="833" w:type="dxa"/>
                  <w:vAlign w:val="center"/>
                </w:tcPr>
                <w:p w14:paraId="559D6C8B">
                  <w:pPr>
                    <w:jc w:val="cente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符合</w:t>
                  </w:r>
                </w:p>
              </w:tc>
            </w:tr>
            <w:tr w14:paraId="790C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486" w:type="dxa"/>
                  <w:vMerge w:val="restart"/>
                  <w:vAlign w:val="center"/>
                </w:tcPr>
                <w:p w14:paraId="5B241791">
                  <w:pPr>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陕西省矿产资源总体规划（2021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2025年）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环境影响报告书</w:t>
                  </w:r>
                </w:p>
              </w:tc>
              <w:tc>
                <w:tcPr>
                  <w:tcW w:w="3491" w:type="dxa"/>
                  <w:vAlign w:val="center"/>
                </w:tcPr>
                <w:p w14:paraId="1F00972F">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围绕国家战略性矿产、我省优势和紧缺矿产，引导项目、资金等要素向国家规划矿区和重点勘查区投入，重点勘查石油、天然气、页岩气、煤层气、煤炭、地热、氦气、铁矿、锰矿、铜矿、镍矿、金矿、钴矿、晶质石墨、萤石等矿产</w:t>
                  </w:r>
                </w:p>
              </w:tc>
              <w:tc>
                <w:tcPr>
                  <w:tcW w:w="2005" w:type="dxa"/>
                  <w:vAlign w:val="center"/>
                </w:tcPr>
                <w:p w14:paraId="0CD66A84">
                  <w:pPr>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本项目位于陕西省榆林市佳县方塌镇，属于气探井建设项目</w:t>
                  </w:r>
                </w:p>
              </w:tc>
              <w:tc>
                <w:tcPr>
                  <w:tcW w:w="833" w:type="dxa"/>
                  <w:vAlign w:val="center"/>
                </w:tcPr>
                <w:p w14:paraId="30D2C76D">
                  <w:pPr>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符合</w:t>
                  </w:r>
                </w:p>
              </w:tc>
            </w:tr>
            <w:tr w14:paraId="7103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6" w:type="dxa"/>
                  <w:vMerge w:val="continue"/>
                  <w:vAlign w:val="center"/>
                </w:tcPr>
                <w:p w14:paraId="66F3FCA4">
                  <w:pPr>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3491" w:type="dxa"/>
                  <w:vAlign w:val="center"/>
                </w:tcPr>
                <w:p w14:paraId="429F93E2">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从环境本底调查、道路修建和场地平整、驻地建设与管理、勘查施工、环境修复等方面，降低或消除地质勘查对生态环境影响，实现地质勘查和生态环境保护协同共进</w:t>
                  </w:r>
                </w:p>
              </w:tc>
              <w:tc>
                <w:tcPr>
                  <w:tcW w:w="2005" w:type="dxa"/>
                  <w:vAlign w:val="center"/>
                </w:tcPr>
                <w:p w14:paraId="2DF9A45E">
                  <w:pPr>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项目勘探施工过程在划定的施工区建设，利用现有道路，土石方平衡，结束后将采取相应措施对临时占地全部进行恢复</w:t>
                  </w:r>
                </w:p>
              </w:tc>
              <w:tc>
                <w:tcPr>
                  <w:tcW w:w="833" w:type="dxa"/>
                  <w:vAlign w:val="center"/>
                </w:tcPr>
                <w:p w14:paraId="00A4F1F8">
                  <w:pPr>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符合</w:t>
                  </w:r>
                </w:p>
              </w:tc>
            </w:tr>
            <w:tr w14:paraId="7878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6" w:type="dxa"/>
                  <w:vMerge w:val="continue"/>
                  <w:vAlign w:val="center"/>
                </w:tcPr>
                <w:p w14:paraId="4D416F11">
                  <w:pPr>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3491" w:type="dxa"/>
                  <w:vAlign w:val="center"/>
                </w:tcPr>
                <w:p w14:paraId="3119520A">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生态保护红线原则上按禁止开发区域的要求进行管理，严禁不符合主体功能定位的各类开发活动，严禁任意改变用途，确保区域生态保护红线的生态功能不降低、面积不减少、性质不改变，维护国家生态安全。认真贯彻落实《中办国办关于划定并严守生态保护红线的若干意见》，严守生态保护红线，依法遵守环境敏感区规定，加强规划空间管制，合法开展矿产资源勘查和开发利用与保护，确保包括生态保护红线在内的生态空间面积不减少、功能不减低、性质不改变</w:t>
                  </w:r>
                </w:p>
              </w:tc>
              <w:tc>
                <w:tcPr>
                  <w:tcW w:w="2005" w:type="dxa"/>
                  <w:vAlign w:val="center"/>
                </w:tcPr>
                <w:p w14:paraId="0F0B1E95">
                  <w:pPr>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根据榆林市投资项目选址“一张图”控制线检测报告，项目4个气探井未占用生态保护红线</w:t>
                  </w:r>
                </w:p>
              </w:tc>
              <w:tc>
                <w:tcPr>
                  <w:tcW w:w="833" w:type="dxa"/>
                  <w:vAlign w:val="center"/>
                </w:tcPr>
                <w:p w14:paraId="51CB18EE">
                  <w:pPr>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符合</w:t>
                  </w:r>
                </w:p>
              </w:tc>
            </w:tr>
            <w:tr w14:paraId="0E5BE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6" w:type="dxa"/>
                  <w:vMerge w:val="continue"/>
                  <w:vAlign w:val="center"/>
                </w:tcPr>
                <w:p w14:paraId="27395541">
                  <w:pPr>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3491" w:type="dxa"/>
                  <w:vAlign w:val="center"/>
                </w:tcPr>
                <w:p w14:paraId="1FC6D208">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对位于一般生态空间和水、大气、土壤等优先保护区内现有矿业权，矿产资源勘查开发应严格落实各类生态空间和优先保护区的管控要求，严格控制矿产资源勘查开采活动范围和强度，保证该单元生态系统结构和主要功能不受破坏</w:t>
                  </w:r>
                </w:p>
              </w:tc>
              <w:tc>
                <w:tcPr>
                  <w:tcW w:w="2005" w:type="dxa"/>
                  <w:vAlign w:val="center"/>
                </w:tcPr>
                <w:p w14:paraId="42AD051D">
                  <w:pPr>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根据《陕西省“三线一单”生态环境管控单元对照分析报告》，</w:t>
                  </w:r>
                  <w:r>
                    <w:rPr>
                      <w:rFonts w:hint="eastAsia" w:ascii="宋体" w:hAnsi="宋体" w:eastAsia="宋体" w:cs="宋体"/>
                      <w:color w:val="000000" w:themeColor="text1"/>
                      <w:sz w:val="21"/>
                      <w:szCs w:val="21"/>
                      <w:lang w:val="en-US" w:eastAsia="zh-CN"/>
                      <w14:textFill>
                        <w14:solidFill>
                          <w14:schemeClr w14:val="tx1"/>
                        </w14:solidFill>
                      </w14:textFill>
                    </w:rPr>
                    <w:t>本项目涉及一般管控单元、优先保护单元</w:t>
                  </w:r>
                  <w:r>
                    <w:rPr>
                      <w:rFonts w:ascii="宋体" w:hAnsi="宋体" w:eastAsia="宋体" w:cs="宋体"/>
                      <w:color w:val="000000" w:themeColor="text1"/>
                      <w:sz w:val="21"/>
                      <w:szCs w:val="21"/>
                      <w14:textFill>
                        <w14:solidFill>
                          <w14:schemeClr w14:val="tx1"/>
                        </w14:solidFill>
                      </w14:textFill>
                    </w:rPr>
                    <w:t>，项目严格落实污染治理设施，不会破坏生态系统的结构和主要功能</w:t>
                  </w:r>
                </w:p>
              </w:tc>
              <w:tc>
                <w:tcPr>
                  <w:tcW w:w="833" w:type="dxa"/>
                  <w:vAlign w:val="center"/>
                </w:tcPr>
                <w:p w14:paraId="79A47309">
                  <w:pPr>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符合</w:t>
                  </w:r>
                </w:p>
              </w:tc>
            </w:tr>
            <w:tr w14:paraId="20E27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6" w:type="dxa"/>
                  <w:vMerge w:val="continue"/>
                  <w:vAlign w:val="center"/>
                </w:tcPr>
                <w:p w14:paraId="2569FB8D">
                  <w:pPr>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3491" w:type="dxa"/>
                  <w:vAlign w:val="center"/>
                </w:tcPr>
                <w:p w14:paraId="135BD1BB">
                  <w:pPr>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探矿活动结束后，应根据景观相似原则，对探矿活动造成的土壤、植被和地表景观破坏进行恢复</w:t>
                  </w:r>
                </w:p>
              </w:tc>
              <w:tc>
                <w:tcPr>
                  <w:tcW w:w="2005" w:type="dxa"/>
                  <w:vAlign w:val="center"/>
                </w:tcPr>
                <w:p w14:paraId="5534B909">
                  <w:pPr>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项目施工结束后将采取相应措施对临时占地全部进行恢复</w:t>
                  </w:r>
                </w:p>
              </w:tc>
              <w:tc>
                <w:tcPr>
                  <w:tcW w:w="833" w:type="dxa"/>
                  <w:vAlign w:val="center"/>
                </w:tcPr>
                <w:p w14:paraId="385A04BF">
                  <w:pPr>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符合</w:t>
                  </w:r>
                </w:p>
              </w:tc>
            </w:tr>
            <w:tr w14:paraId="2E8DD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6" w:type="dxa"/>
                  <w:vAlign w:val="center"/>
                </w:tcPr>
                <w:p w14:paraId="2EC36C8A">
                  <w:pPr>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陕西省矿产资源总体规划</w:t>
                  </w:r>
                  <w:r>
                    <w:rPr>
                      <w:rFonts w:hint="default" w:ascii="Times New Roman" w:hAnsi="Times New Roman" w:eastAsia="宋体" w:cs="Times New Roman"/>
                      <w:color w:val="000000" w:themeColor="text1"/>
                      <w:sz w:val="21"/>
                      <w:szCs w:val="21"/>
                      <w14:textFill>
                        <w14:solidFill>
                          <w14:schemeClr w14:val="tx1"/>
                        </w14:solidFill>
                      </w14:textFill>
                    </w:rPr>
                    <w:t>（2021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2025年）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环境影响报告书审查意见</w:t>
                  </w:r>
                </w:p>
              </w:tc>
              <w:tc>
                <w:tcPr>
                  <w:tcW w:w="3491" w:type="dxa"/>
                  <w:vAlign w:val="center"/>
                </w:tcPr>
                <w:p w14:paraId="6C38D622">
                  <w:pPr>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ascii="宋体" w:hAnsi="宋体" w:eastAsia="宋体" w:cs="宋体"/>
                      <w:color w:val="000000" w:themeColor="text1"/>
                      <w:sz w:val="21"/>
                      <w:szCs w:val="21"/>
                      <w14:textFill>
                        <w14:solidFill>
                          <w14:schemeClr w14:val="tx1"/>
                        </w14:solidFill>
                      </w14:textFill>
                    </w:rPr>
                    <w:t>严格环境准入，保护区域生态功能。按照陕西省生态环境分区管控方案、生态环境保护规划等新要求，与大气环境优先保护区、水环境优先保护区、农用地优先保护区等存在空间重叠的现有矿业权、勘查规划区块、开采规划区块等，应严格执行相应管控要求，控制勘查、开采活动范围和强度，严格执行绿色勘查、绿色开采及矿山生态保护修复相关要求，确保生态系统结构和主要功能不受破坏。严格控制涉及生物多样性保护优先区域、国家重点生态功能区、国家重要生态功能区、水源涵养区、水土流失重点防治区等区域矿产资源开发活动，并采取相应保护措施，防止加剧对有关生态功能区的不良环境影响</w:t>
                  </w:r>
                </w:p>
              </w:tc>
              <w:tc>
                <w:tcPr>
                  <w:tcW w:w="2005" w:type="dxa"/>
                  <w:vAlign w:val="center"/>
                </w:tcPr>
                <w:p w14:paraId="1F95287D">
                  <w:pPr>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本项目4个气探井不占用禁止开发区，不涉及生物多样性保护优先区域、国家重点生态功能区、国家重要生态功能区、水源涵养区、水土流失重点防治区等区域矿产资源开发活动；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项目仅为天然气勘探，勘探结束后将采取相应措施进行恢复，可防止加剧对有关生态功能区的不良环境影响</w:t>
                  </w:r>
                </w:p>
              </w:tc>
              <w:tc>
                <w:tcPr>
                  <w:tcW w:w="833" w:type="dxa"/>
                  <w:vAlign w:val="center"/>
                </w:tcPr>
                <w:p w14:paraId="64214FEB">
                  <w:pPr>
                    <w:jc w:val="cente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符合</w:t>
                  </w:r>
                </w:p>
              </w:tc>
            </w:tr>
          </w:tbl>
          <w:p w14:paraId="238BBCF4">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14:paraId="267FB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1" w:hRule="atLeast"/>
          <w:jc w:val="center"/>
        </w:trPr>
        <w:tc>
          <w:tcPr>
            <w:tcW w:w="1247" w:type="dxa"/>
            <w:vAlign w:val="top"/>
          </w:tcPr>
          <w:p w14:paraId="004A8030">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08C1AA3C">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6D894A38">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0C1EBAC3">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26FBE00B">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33A3CBD1">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50D5AD24">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01F414EE">
            <w:pPr>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其他符合性分析</w:t>
            </w:r>
          </w:p>
        </w:tc>
        <w:tc>
          <w:tcPr>
            <w:tcW w:w="8041" w:type="dxa"/>
            <w:gridSpan w:val="3"/>
            <w:vAlign w:val="top"/>
          </w:tcPr>
          <w:p w14:paraId="561C00B1">
            <w:pPr>
              <w:ind w:firstLine="482" w:firstLineChars="200"/>
              <w:jc w:val="both"/>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1、产业政策符合性分析</w:t>
            </w:r>
          </w:p>
          <w:p w14:paraId="6FC3C06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本项目属于天然气勘探项目，根据《产业结构调整指导目录》（2024年本），属于鼓励类中的“七、石油天然气-1、石油天然气开采：常规石油、天然气勘探与开采”。因此，项目建设符合国家和地方产业政策。</w:t>
            </w:r>
            <w:r>
              <w:rPr>
                <w:rFonts w:hint="default" w:ascii="Times New Roman" w:hAnsi="Times New Roman" w:cs="Times New Roman"/>
                <w:color w:val="000000" w:themeColor="text1"/>
                <w:sz w:val="24"/>
                <w:szCs w:val="24"/>
                <w14:textFill>
                  <w14:solidFill>
                    <w14:schemeClr w14:val="tx1"/>
                  </w14:solidFill>
                </w14:textFill>
              </w:rPr>
              <w:t>对照《市场准入负面清单（2022年版）》，本项目不属于禁止准入类，满足许可准入类“（二）采矿业”的准入要求。</w:t>
            </w:r>
          </w:p>
          <w:p w14:paraId="1BB795C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榆林市石油天然气开发协调领导小组办公室出具了本项目各井场建设的计划通知，见下表：</w:t>
            </w:r>
          </w:p>
          <w:p w14:paraId="6DED87B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表1-3 本项目天然气井场建设计划来源一览表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4265"/>
              <w:gridCol w:w="2606"/>
            </w:tblGrid>
            <w:tr w14:paraId="2602C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vAlign w:val="center"/>
                </w:tcPr>
                <w:p w14:paraId="69EB0E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序号</w:t>
                  </w:r>
                </w:p>
              </w:tc>
              <w:tc>
                <w:tcPr>
                  <w:tcW w:w="2729" w:type="pct"/>
                  <w:vAlign w:val="center"/>
                </w:tcPr>
                <w:p w14:paraId="0DB8E6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文件名称</w:t>
                  </w:r>
                </w:p>
              </w:tc>
              <w:tc>
                <w:tcPr>
                  <w:tcW w:w="1667" w:type="pct"/>
                  <w:vAlign w:val="center"/>
                </w:tcPr>
                <w:p w14:paraId="4E0D7E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本项目井场</w:t>
                  </w:r>
                </w:p>
              </w:tc>
            </w:tr>
            <w:tr w14:paraId="1D668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vAlign w:val="center"/>
                </w:tcPr>
                <w:p w14:paraId="72B8D4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2729" w:type="pct"/>
                  <w:vAlign w:val="center"/>
                </w:tcPr>
                <w:p w14:paraId="67A8F2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《榆林市石油天然气开发协调领导小组办公室关于同意佳县境内米107-08等7个天然气井场建设计划的通知》（榆油协办发〔2025〕6号）</w:t>
                  </w:r>
                </w:p>
              </w:tc>
              <w:tc>
                <w:tcPr>
                  <w:tcW w:w="1667" w:type="pct"/>
                  <w:vAlign w:val="center"/>
                </w:tcPr>
                <w:p w14:paraId="6A1C29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米172-08、米37-14M</w:t>
                  </w:r>
                </w:p>
              </w:tc>
            </w:tr>
            <w:tr w14:paraId="34478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 w:type="pct"/>
                  <w:vAlign w:val="center"/>
                </w:tcPr>
                <w:p w14:paraId="07AF31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2729" w:type="pct"/>
                  <w:vAlign w:val="center"/>
                </w:tcPr>
                <w:p w14:paraId="59C19D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《榆林市石油天然气开发协调领导小组办公室关于同意天然气项目建设计划的通知》（榆油协办发〔2025〕17号）</w:t>
                  </w:r>
                </w:p>
              </w:tc>
              <w:tc>
                <w:tcPr>
                  <w:tcW w:w="1667" w:type="pct"/>
                  <w:vAlign w:val="center"/>
                </w:tcPr>
                <w:p w14:paraId="1FAD7F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米172-06、米172-07</w:t>
                  </w:r>
                </w:p>
              </w:tc>
            </w:tr>
          </w:tbl>
          <w:p w14:paraId="63A528B9">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另外，根据《2025年第二次油气工作专题会会议纪要》（佳县人民政府办公室第18次，2025年4月24日），原则同意长庆油田分公司天然气评价项目部19个井场建设，其中方塌镇4个，分别为米172-08、米37-14M、米172-06、米172-07。</w:t>
            </w:r>
          </w:p>
          <w:p w14:paraId="00EC4E19">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综上，本项目符合现行国家及地方产业政策要求。</w:t>
            </w:r>
          </w:p>
          <w:p w14:paraId="5CC81421">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vertAlign w:val="baseline"/>
                <w:lang w:val="en-US" w:eastAsia="zh-CN"/>
                <w14:textFill>
                  <w14:solidFill>
                    <w14:schemeClr w14:val="tx1"/>
                  </w14:solidFill>
                </w14:textFill>
              </w:rPr>
              <w:t>2、项目与榆林市“多规合一”符合性分析</w:t>
            </w:r>
          </w:p>
          <w:p w14:paraId="4E000003">
            <w:pPr>
              <w:pStyle w:val="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根据榆林市“多规合一”辅助决策服务窗口针对本项目出具的《榆林市投资项目选址“一张图”控制线检测报告》</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（编号：202</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2432</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）号、202</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2433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）号</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202</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2434</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）号</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202</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2435</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）号</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，详见附件）可知，本项目占地范围不涉及生态保护红线、永久基本农田及文物保护线，项目相关检测符合性分析见表1-</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t>
            </w:r>
          </w:p>
          <w:p w14:paraId="3D172C6E">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表1-</w:t>
            </w:r>
            <w:r>
              <w:rPr>
                <w:rFonts w:hint="eastAsia"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4</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 xml:space="preserve">  本项目与榆林市“一张图”控制线检测报告符合性分析表</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94"/>
              <w:gridCol w:w="2840"/>
              <w:gridCol w:w="1751"/>
              <w:gridCol w:w="1455"/>
              <w:gridCol w:w="669"/>
            </w:tblGrid>
            <w:tr w14:paraId="5FAD9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noWrap w:val="0"/>
                  <w:vAlign w:val="center"/>
                </w:tcPr>
                <w:p w14:paraId="42CA24F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z w:val="21"/>
                      <w:szCs w:val="21"/>
                      <w:vertAlign w:val="baseline"/>
                      <w:lang w:val="en-US" w:eastAsia="zh-CN"/>
                      <w14:textFill>
                        <w14:solidFill>
                          <w14:schemeClr w14:val="tx1"/>
                        </w14:solidFill>
                      </w14:textFill>
                    </w:rPr>
                    <w:t>井场</w:t>
                  </w:r>
                </w:p>
              </w:tc>
              <w:tc>
                <w:tcPr>
                  <w:tcW w:w="1818" w:type="pct"/>
                  <w:noWrap w:val="0"/>
                  <w:vAlign w:val="center"/>
                </w:tcPr>
                <w:p w14:paraId="3979013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1"/>
                      <w:szCs w:val="21"/>
                      <w:vertAlign w:val="baseline"/>
                      <w:lang w:val="en-US" w:eastAsia="zh-CN"/>
                      <w14:textFill>
                        <w14:solidFill>
                          <w14:schemeClr w14:val="tx1"/>
                        </w14:solidFill>
                      </w14:textFill>
                    </w:rPr>
                    <w:t>控制线名称</w:t>
                  </w:r>
                </w:p>
              </w:tc>
              <w:tc>
                <w:tcPr>
                  <w:tcW w:w="1121" w:type="pct"/>
                  <w:noWrap w:val="0"/>
                  <w:vAlign w:val="center"/>
                </w:tcPr>
                <w:p w14:paraId="6BA2279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1"/>
                      <w:szCs w:val="21"/>
                      <w:vertAlign w:val="baseline"/>
                      <w:lang w:val="en-US" w:eastAsia="zh-CN"/>
                      <w14:textFill>
                        <w14:solidFill>
                          <w14:schemeClr w14:val="tx1"/>
                        </w14:solidFill>
                      </w14:textFill>
                    </w:rPr>
                    <w:t>本项目情况</w:t>
                  </w:r>
                </w:p>
              </w:tc>
              <w:tc>
                <w:tcPr>
                  <w:tcW w:w="931" w:type="pct"/>
                  <w:noWrap w:val="0"/>
                  <w:vAlign w:val="center"/>
                </w:tcPr>
                <w:p w14:paraId="7C9098D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1"/>
                      <w:szCs w:val="21"/>
                      <w:vertAlign w:val="baseline"/>
                      <w:lang w:val="en-US" w:eastAsia="zh-CN"/>
                      <w14:textFill>
                        <w14:solidFill>
                          <w14:schemeClr w14:val="tx1"/>
                        </w14:solidFill>
                      </w14:textFill>
                    </w:rPr>
                    <w:t>采取措施</w:t>
                  </w:r>
                </w:p>
              </w:tc>
              <w:tc>
                <w:tcPr>
                  <w:tcW w:w="428" w:type="pct"/>
                  <w:noWrap w:val="0"/>
                  <w:vAlign w:val="center"/>
                </w:tcPr>
                <w:p w14:paraId="19A4501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1"/>
                      <w:szCs w:val="21"/>
                      <w:vertAlign w:val="baseline"/>
                      <w:lang w:val="en-US" w:eastAsia="zh-CN"/>
                      <w14:textFill>
                        <w14:solidFill>
                          <w14:schemeClr w14:val="tx1"/>
                        </w14:solidFill>
                      </w14:textFill>
                    </w:rPr>
                    <w:t>符合性</w:t>
                  </w:r>
                </w:p>
              </w:tc>
            </w:tr>
            <w:tr w14:paraId="7371D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restart"/>
                  <w:noWrap w:val="0"/>
                  <w:vAlign w:val="center"/>
                </w:tcPr>
                <w:p w14:paraId="70A8501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米37-14M井</w:t>
                  </w:r>
                </w:p>
              </w:tc>
              <w:tc>
                <w:tcPr>
                  <w:tcW w:w="1818" w:type="pct"/>
                  <w:noWrap w:val="0"/>
                  <w:vAlign w:val="center"/>
                </w:tcPr>
                <w:p w14:paraId="35231A1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榆阳机场电磁环境保护区分析</w:t>
                  </w:r>
                </w:p>
              </w:tc>
              <w:tc>
                <w:tcPr>
                  <w:tcW w:w="1121" w:type="pct"/>
                  <w:noWrap w:val="0"/>
                  <w:vAlign w:val="center"/>
                </w:tcPr>
                <w:p w14:paraId="2EBC271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不涉及</w:t>
                  </w:r>
                </w:p>
              </w:tc>
              <w:tc>
                <w:tcPr>
                  <w:tcW w:w="931" w:type="pct"/>
                  <w:noWrap w:val="0"/>
                  <w:vAlign w:val="center"/>
                </w:tcPr>
                <w:p w14:paraId="38AF06A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w:t>
                  </w:r>
                </w:p>
              </w:tc>
              <w:tc>
                <w:tcPr>
                  <w:tcW w:w="428" w:type="pct"/>
                  <w:noWrap w:val="0"/>
                  <w:vAlign w:val="center"/>
                </w:tcPr>
                <w:p w14:paraId="6D28683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5D623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3983967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p>
              </w:tc>
              <w:tc>
                <w:tcPr>
                  <w:tcW w:w="1818" w:type="pct"/>
                  <w:noWrap w:val="0"/>
                  <w:vAlign w:val="center"/>
                </w:tcPr>
                <w:p w14:paraId="35B46D5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榆阳机场净空区域分析</w:t>
                  </w:r>
                </w:p>
              </w:tc>
              <w:tc>
                <w:tcPr>
                  <w:tcW w:w="1121" w:type="pct"/>
                  <w:noWrap w:val="0"/>
                  <w:vAlign w:val="center"/>
                </w:tcPr>
                <w:p w14:paraId="3D6973A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榆阳机场一区</w:t>
                  </w:r>
                </w:p>
              </w:tc>
              <w:tc>
                <w:tcPr>
                  <w:tcW w:w="931" w:type="pct"/>
                  <w:noWrap w:val="0"/>
                  <w:vAlign w:val="center"/>
                </w:tcPr>
                <w:p w14:paraId="5C48000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米37-14M所在井场海拔高度约为1183米，榆阳机场一区净空高度为1570米，满足榆阳机场净空高度要求</w:t>
                  </w:r>
                </w:p>
              </w:tc>
              <w:tc>
                <w:tcPr>
                  <w:tcW w:w="428" w:type="pct"/>
                  <w:noWrap w:val="0"/>
                  <w:vAlign w:val="center"/>
                </w:tcPr>
                <w:p w14:paraId="6A43E2E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1D86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5417A6C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p>
              </w:tc>
              <w:tc>
                <w:tcPr>
                  <w:tcW w:w="1818" w:type="pct"/>
                  <w:noWrap w:val="0"/>
                  <w:vAlign w:val="center"/>
                </w:tcPr>
                <w:p w14:paraId="7D63E08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矿业权现状2023分析</w:t>
                  </w:r>
                </w:p>
              </w:tc>
              <w:tc>
                <w:tcPr>
                  <w:tcW w:w="1121" w:type="pct"/>
                  <w:noWrap w:val="0"/>
                  <w:vAlign w:val="center"/>
                </w:tcPr>
                <w:p w14:paraId="05396C9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不涉及</w:t>
                  </w:r>
                </w:p>
              </w:tc>
              <w:tc>
                <w:tcPr>
                  <w:tcW w:w="931" w:type="pct"/>
                  <w:noWrap w:val="0"/>
                  <w:vAlign w:val="center"/>
                </w:tcPr>
                <w:p w14:paraId="230AD87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w:t>
                  </w:r>
                </w:p>
              </w:tc>
              <w:tc>
                <w:tcPr>
                  <w:tcW w:w="428" w:type="pct"/>
                  <w:noWrap w:val="0"/>
                  <w:vAlign w:val="center"/>
                </w:tcPr>
                <w:p w14:paraId="76E7DAE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552DE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6" w:hRule="atLeast"/>
                <w:jc w:val="center"/>
              </w:trPr>
              <w:tc>
                <w:tcPr>
                  <w:tcW w:w="700" w:type="pct"/>
                  <w:vMerge w:val="continue"/>
                  <w:noWrap w:val="0"/>
                  <w:vAlign w:val="center"/>
                </w:tcPr>
                <w:p w14:paraId="734DD95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p>
              </w:tc>
              <w:tc>
                <w:tcPr>
                  <w:tcW w:w="1818" w:type="pct"/>
                  <w:noWrap w:val="0"/>
                  <w:vAlign w:val="center"/>
                </w:tcPr>
                <w:p w14:paraId="41CB322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林地规划分析</w:t>
                  </w:r>
                </w:p>
              </w:tc>
              <w:tc>
                <w:tcPr>
                  <w:tcW w:w="1121" w:type="pct"/>
                  <w:noWrap w:val="0"/>
                  <w:vAlign w:val="center"/>
                </w:tcPr>
                <w:p w14:paraId="7996DBE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占用林地</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1.097</w:t>
                  </w: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公顷</w:t>
                  </w:r>
                </w:p>
              </w:tc>
              <w:tc>
                <w:tcPr>
                  <w:tcW w:w="931" w:type="pct"/>
                  <w:noWrap w:val="0"/>
                  <w:vAlign w:val="center"/>
                </w:tcPr>
                <w:p w14:paraId="39019D3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办理</w:t>
                  </w: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相关用地手续</w:t>
                  </w:r>
                </w:p>
              </w:tc>
              <w:tc>
                <w:tcPr>
                  <w:tcW w:w="428" w:type="pct"/>
                  <w:noWrap w:val="0"/>
                  <w:vAlign w:val="center"/>
                </w:tcPr>
                <w:p w14:paraId="29B80A4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33E49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40F886E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p>
              </w:tc>
              <w:tc>
                <w:tcPr>
                  <w:tcW w:w="1818" w:type="pct"/>
                  <w:noWrap w:val="0"/>
                  <w:vAlign w:val="center"/>
                </w:tcPr>
                <w:p w14:paraId="0CA09CA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长城文物保护线分析</w:t>
                  </w:r>
                </w:p>
              </w:tc>
              <w:tc>
                <w:tcPr>
                  <w:tcW w:w="1121" w:type="pct"/>
                  <w:noWrap w:val="0"/>
                  <w:vAlign w:val="center"/>
                </w:tcPr>
                <w:p w14:paraId="0D87ECE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不涉及</w:t>
                  </w:r>
                </w:p>
              </w:tc>
              <w:tc>
                <w:tcPr>
                  <w:tcW w:w="931" w:type="pct"/>
                  <w:noWrap w:val="0"/>
                  <w:vAlign w:val="center"/>
                </w:tcPr>
                <w:p w14:paraId="16FB599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w:t>
                  </w:r>
                </w:p>
              </w:tc>
              <w:tc>
                <w:tcPr>
                  <w:tcW w:w="428" w:type="pct"/>
                  <w:noWrap w:val="0"/>
                  <w:vAlign w:val="center"/>
                </w:tcPr>
                <w:p w14:paraId="0A6042F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4363A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4FE9C29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p>
              </w:tc>
              <w:tc>
                <w:tcPr>
                  <w:tcW w:w="1818" w:type="pct"/>
                  <w:noWrap w:val="0"/>
                  <w:vAlign w:val="center"/>
                </w:tcPr>
                <w:p w14:paraId="2D3C1AF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生态保护红线分析</w:t>
                  </w:r>
                </w:p>
              </w:tc>
              <w:tc>
                <w:tcPr>
                  <w:tcW w:w="1121" w:type="pct"/>
                  <w:noWrap w:val="0"/>
                  <w:vAlign w:val="center"/>
                </w:tcPr>
                <w:p w14:paraId="123696F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不涉及</w:t>
                  </w:r>
                </w:p>
              </w:tc>
              <w:tc>
                <w:tcPr>
                  <w:tcW w:w="931" w:type="pct"/>
                  <w:noWrap w:val="0"/>
                  <w:vAlign w:val="center"/>
                </w:tcPr>
                <w:p w14:paraId="054604E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w:t>
                  </w:r>
                </w:p>
              </w:tc>
              <w:tc>
                <w:tcPr>
                  <w:tcW w:w="428" w:type="pct"/>
                  <w:noWrap w:val="0"/>
                  <w:vAlign w:val="center"/>
                </w:tcPr>
                <w:p w14:paraId="2CC84BA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3492A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6E27812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p>
              </w:tc>
              <w:tc>
                <w:tcPr>
                  <w:tcW w:w="1818" w:type="pct"/>
                  <w:noWrap w:val="0"/>
                  <w:vAlign w:val="center"/>
                </w:tcPr>
                <w:p w14:paraId="27C2EEC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永久基本农田分析</w:t>
                  </w:r>
                </w:p>
              </w:tc>
              <w:tc>
                <w:tcPr>
                  <w:tcW w:w="1121" w:type="pct"/>
                  <w:noWrap w:val="0"/>
                  <w:vAlign w:val="center"/>
                </w:tcPr>
                <w:p w14:paraId="5DD700D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不涉及</w:t>
                  </w:r>
                </w:p>
              </w:tc>
              <w:tc>
                <w:tcPr>
                  <w:tcW w:w="931" w:type="pct"/>
                  <w:noWrap w:val="0"/>
                  <w:vAlign w:val="center"/>
                </w:tcPr>
                <w:p w14:paraId="751082B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w:t>
                  </w:r>
                </w:p>
              </w:tc>
              <w:tc>
                <w:tcPr>
                  <w:tcW w:w="428" w:type="pct"/>
                  <w:noWrap w:val="0"/>
                  <w:vAlign w:val="center"/>
                </w:tcPr>
                <w:p w14:paraId="74323A4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34533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0B8F31C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p>
              </w:tc>
              <w:tc>
                <w:tcPr>
                  <w:tcW w:w="1818" w:type="pct"/>
                  <w:noWrap w:val="0"/>
                  <w:vAlign w:val="center"/>
                </w:tcPr>
                <w:p w14:paraId="092390B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土地利用现状分析</w:t>
                  </w:r>
                </w:p>
              </w:tc>
              <w:tc>
                <w:tcPr>
                  <w:tcW w:w="1121" w:type="pct"/>
                  <w:noWrap w:val="0"/>
                  <w:vAlign w:val="center"/>
                </w:tcPr>
                <w:p w14:paraId="754B518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占用占用果园0.3792公顷、其他林地0.6715公顷、农村道路0.0463公顷</w:t>
                  </w:r>
                </w:p>
              </w:tc>
              <w:tc>
                <w:tcPr>
                  <w:tcW w:w="931" w:type="pct"/>
                  <w:noWrap w:val="0"/>
                  <w:vAlign w:val="center"/>
                </w:tcPr>
                <w:p w14:paraId="727D42B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办理</w:t>
                  </w: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相关用地手续</w:t>
                  </w:r>
                </w:p>
              </w:tc>
              <w:tc>
                <w:tcPr>
                  <w:tcW w:w="428" w:type="pct"/>
                  <w:noWrap w:val="0"/>
                  <w:vAlign w:val="center"/>
                </w:tcPr>
                <w:p w14:paraId="1E5577D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04ED1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restart"/>
                  <w:shd w:val="clear" w:color="auto" w:fill="auto"/>
                  <w:noWrap w:val="0"/>
                  <w:vAlign w:val="center"/>
                </w:tcPr>
                <w:p w14:paraId="2081154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米172-06</w:t>
                  </w:r>
                </w:p>
              </w:tc>
              <w:tc>
                <w:tcPr>
                  <w:tcW w:w="1818" w:type="pct"/>
                  <w:shd w:val="clear" w:color="auto" w:fill="auto"/>
                  <w:noWrap w:val="0"/>
                  <w:vAlign w:val="center"/>
                </w:tcPr>
                <w:p w14:paraId="6B73716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榆阳机场电磁环境保护区分析</w:t>
                  </w:r>
                </w:p>
              </w:tc>
              <w:tc>
                <w:tcPr>
                  <w:tcW w:w="1121" w:type="pct"/>
                  <w:shd w:val="clear" w:color="auto" w:fill="auto"/>
                  <w:noWrap w:val="0"/>
                  <w:vAlign w:val="center"/>
                </w:tcPr>
                <w:p w14:paraId="2F25B34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不涉及</w:t>
                  </w:r>
                </w:p>
              </w:tc>
              <w:tc>
                <w:tcPr>
                  <w:tcW w:w="931" w:type="pct"/>
                  <w:shd w:val="clear" w:color="auto" w:fill="auto"/>
                  <w:noWrap w:val="0"/>
                  <w:vAlign w:val="center"/>
                </w:tcPr>
                <w:p w14:paraId="4490275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w:t>
                  </w:r>
                </w:p>
              </w:tc>
              <w:tc>
                <w:tcPr>
                  <w:tcW w:w="428" w:type="pct"/>
                  <w:shd w:val="clear" w:color="auto" w:fill="auto"/>
                  <w:noWrap w:val="0"/>
                  <w:vAlign w:val="center"/>
                </w:tcPr>
                <w:p w14:paraId="43C7467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606D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5B16E13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p>
              </w:tc>
              <w:tc>
                <w:tcPr>
                  <w:tcW w:w="1818" w:type="pct"/>
                  <w:shd w:val="clear" w:color="auto" w:fill="auto"/>
                  <w:vAlign w:val="center"/>
                </w:tcPr>
                <w:p w14:paraId="388B110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榆阳机场净空区域分析</w:t>
                  </w:r>
                </w:p>
              </w:tc>
              <w:tc>
                <w:tcPr>
                  <w:tcW w:w="1121" w:type="pct"/>
                  <w:shd w:val="clear" w:color="auto" w:fill="auto"/>
                  <w:vAlign w:val="center"/>
                </w:tcPr>
                <w:p w14:paraId="0B6D9AC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榆阳机场一区</w:t>
                  </w:r>
                </w:p>
              </w:tc>
              <w:tc>
                <w:tcPr>
                  <w:tcW w:w="931" w:type="pct"/>
                  <w:shd w:val="clear" w:color="auto" w:fill="auto"/>
                  <w:vAlign w:val="center"/>
                </w:tcPr>
                <w:p w14:paraId="56CC21B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米172-06</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所在井场海拔高度约为1258米，榆阳机场一区净空高度为1570米，满足榆阳机场净空高度要求</w:t>
                  </w:r>
                </w:p>
              </w:tc>
              <w:tc>
                <w:tcPr>
                  <w:tcW w:w="428" w:type="pct"/>
                  <w:shd w:val="clear" w:color="auto" w:fill="auto"/>
                  <w:vAlign w:val="center"/>
                </w:tcPr>
                <w:p w14:paraId="37599E7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73FAA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6884309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p>
              </w:tc>
              <w:tc>
                <w:tcPr>
                  <w:tcW w:w="1818" w:type="pct"/>
                  <w:shd w:val="clear" w:color="auto" w:fill="auto"/>
                  <w:vAlign w:val="center"/>
                </w:tcPr>
                <w:p w14:paraId="531AA5D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矿业权现状2023分析</w:t>
                  </w:r>
                </w:p>
              </w:tc>
              <w:tc>
                <w:tcPr>
                  <w:tcW w:w="1121" w:type="pct"/>
                  <w:shd w:val="clear" w:color="auto" w:fill="auto"/>
                  <w:vAlign w:val="center"/>
                </w:tcPr>
                <w:p w14:paraId="7E84E10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不涉及</w:t>
                  </w:r>
                </w:p>
              </w:tc>
              <w:tc>
                <w:tcPr>
                  <w:tcW w:w="931" w:type="pct"/>
                  <w:shd w:val="clear" w:color="auto" w:fill="auto"/>
                  <w:vAlign w:val="center"/>
                </w:tcPr>
                <w:p w14:paraId="5AADDB9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w:t>
                  </w:r>
                </w:p>
              </w:tc>
              <w:tc>
                <w:tcPr>
                  <w:tcW w:w="428" w:type="pct"/>
                  <w:shd w:val="clear" w:color="auto" w:fill="auto"/>
                  <w:vAlign w:val="center"/>
                </w:tcPr>
                <w:p w14:paraId="06125C2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35B5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21B5CFD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p>
              </w:tc>
              <w:tc>
                <w:tcPr>
                  <w:tcW w:w="1818" w:type="pct"/>
                  <w:shd w:val="clear" w:color="auto" w:fill="auto"/>
                  <w:vAlign w:val="center"/>
                </w:tcPr>
                <w:p w14:paraId="002AEA3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林地规划分析</w:t>
                  </w:r>
                </w:p>
              </w:tc>
              <w:tc>
                <w:tcPr>
                  <w:tcW w:w="1121" w:type="pct"/>
                  <w:shd w:val="clear" w:color="auto" w:fill="auto"/>
                  <w:vAlign w:val="center"/>
                </w:tcPr>
                <w:p w14:paraId="660D1BB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占用林地0.1077公顷、非林地0.9709公顷</w:t>
                  </w:r>
                </w:p>
              </w:tc>
              <w:tc>
                <w:tcPr>
                  <w:tcW w:w="931" w:type="pct"/>
                  <w:shd w:val="clear" w:color="auto" w:fill="auto"/>
                  <w:vAlign w:val="center"/>
                </w:tcPr>
                <w:p w14:paraId="465711B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办理</w:t>
                  </w: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相关用地手续</w:t>
                  </w:r>
                </w:p>
              </w:tc>
              <w:tc>
                <w:tcPr>
                  <w:tcW w:w="428" w:type="pct"/>
                  <w:shd w:val="clear" w:color="auto" w:fill="auto"/>
                  <w:vAlign w:val="center"/>
                </w:tcPr>
                <w:p w14:paraId="7606A76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18116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777D94F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p>
              </w:tc>
              <w:tc>
                <w:tcPr>
                  <w:tcW w:w="1818" w:type="pct"/>
                  <w:shd w:val="clear" w:color="auto" w:fill="auto"/>
                  <w:vAlign w:val="center"/>
                </w:tcPr>
                <w:p w14:paraId="769C5AD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长城文物保护线分析</w:t>
                  </w:r>
                </w:p>
              </w:tc>
              <w:tc>
                <w:tcPr>
                  <w:tcW w:w="1121" w:type="pct"/>
                  <w:shd w:val="clear" w:color="auto" w:fill="auto"/>
                  <w:vAlign w:val="center"/>
                </w:tcPr>
                <w:p w14:paraId="0490F13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不涉及</w:t>
                  </w:r>
                </w:p>
              </w:tc>
              <w:tc>
                <w:tcPr>
                  <w:tcW w:w="931" w:type="pct"/>
                  <w:shd w:val="clear" w:color="auto" w:fill="auto"/>
                  <w:vAlign w:val="center"/>
                </w:tcPr>
                <w:p w14:paraId="4568D56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w:t>
                  </w:r>
                </w:p>
              </w:tc>
              <w:tc>
                <w:tcPr>
                  <w:tcW w:w="428" w:type="pct"/>
                  <w:shd w:val="clear" w:color="auto" w:fill="auto"/>
                  <w:vAlign w:val="center"/>
                </w:tcPr>
                <w:p w14:paraId="2E9C5B8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3B97F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7355D43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p>
              </w:tc>
              <w:tc>
                <w:tcPr>
                  <w:tcW w:w="1818" w:type="pct"/>
                  <w:shd w:val="clear" w:color="auto" w:fill="auto"/>
                  <w:vAlign w:val="center"/>
                </w:tcPr>
                <w:p w14:paraId="709650F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生态保护红线分析</w:t>
                  </w:r>
                </w:p>
              </w:tc>
              <w:tc>
                <w:tcPr>
                  <w:tcW w:w="1121" w:type="pct"/>
                  <w:shd w:val="clear" w:color="auto" w:fill="auto"/>
                  <w:vAlign w:val="center"/>
                </w:tcPr>
                <w:p w14:paraId="5627D71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不涉及</w:t>
                  </w:r>
                </w:p>
              </w:tc>
              <w:tc>
                <w:tcPr>
                  <w:tcW w:w="931" w:type="pct"/>
                  <w:shd w:val="clear" w:color="auto" w:fill="auto"/>
                  <w:vAlign w:val="center"/>
                </w:tcPr>
                <w:p w14:paraId="041C055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w:t>
                  </w:r>
                </w:p>
              </w:tc>
              <w:tc>
                <w:tcPr>
                  <w:tcW w:w="428" w:type="pct"/>
                  <w:shd w:val="clear" w:color="auto" w:fill="auto"/>
                  <w:vAlign w:val="center"/>
                </w:tcPr>
                <w:p w14:paraId="7810CF8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6D00E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022397C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p>
              </w:tc>
              <w:tc>
                <w:tcPr>
                  <w:tcW w:w="1818" w:type="pct"/>
                  <w:shd w:val="clear" w:color="auto" w:fill="auto"/>
                  <w:vAlign w:val="center"/>
                </w:tcPr>
                <w:p w14:paraId="3D90451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永久基本农田分析</w:t>
                  </w:r>
                </w:p>
              </w:tc>
              <w:tc>
                <w:tcPr>
                  <w:tcW w:w="1121" w:type="pct"/>
                  <w:shd w:val="clear" w:color="auto" w:fill="auto"/>
                  <w:vAlign w:val="center"/>
                </w:tcPr>
                <w:p w14:paraId="5349CA2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不涉及</w:t>
                  </w:r>
                </w:p>
              </w:tc>
              <w:tc>
                <w:tcPr>
                  <w:tcW w:w="931" w:type="pct"/>
                  <w:shd w:val="clear" w:color="auto" w:fill="auto"/>
                  <w:vAlign w:val="center"/>
                </w:tcPr>
                <w:p w14:paraId="303F7C2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w:t>
                  </w:r>
                </w:p>
              </w:tc>
              <w:tc>
                <w:tcPr>
                  <w:tcW w:w="428" w:type="pct"/>
                  <w:shd w:val="clear" w:color="auto" w:fill="auto"/>
                  <w:vAlign w:val="center"/>
                </w:tcPr>
                <w:p w14:paraId="483BC1C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199BA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80" w:hRule="atLeast"/>
                <w:jc w:val="center"/>
              </w:trPr>
              <w:tc>
                <w:tcPr>
                  <w:tcW w:w="700" w:type="pct"/>
                  <w:vMerge w:val="continue"/>
                  <w:shd w:val="clear" w:color="auto" w:fill="auto"/>
                  <w:vAlign w:val="center"/>
                </w:tcPr>
                <w:p w14:paraId="616BB5D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p>
              </w:tc>
              <w:tc>
                <w:tcPr>
                  <w:tcW w:w="1818" w:type="pct"/>
                  <w:shd w:val="clear" w:color="auto" w:fill="auto"/>
                  <w:vAlign w:val="center"/>
                </w:tcPr>
                <w:p w14:paraId="4EA3000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土地利用现状分析</w:t>
                  </w:r>
                </w:p>
              </w:tc>
              <w:tc>
                <w:tcPr>
                  <w:tcW w:w="1121" w:type="pct"/>
                  <w:shd w:val="clear" w:color="auto" w:fill="auto"/>
                  <w:vAlign w:val="center"/>
                </w:tcPr>
                <w:p w14:paraId="77C42F9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占用果园0.8612</w:t>
                  </w: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公顷、</w:t>
                  </w: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灌木林地0.0974</w:t>
                  </w: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公顷</w:t>
                  </w:r>
                </w:p>
              </w:tc>
              <w:tc>
                <w:tcPr>
                  <w:tcW w:w="931" w:type="pct"/>
                  <w:shd w:val="clear" w:color="auto" w:fill="auto"/>
                  <w:vAlign w:val="center"/>
                </w:tcPr>
                <w:p w14:paraId="1F7046B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办理</w:t>
                  </w: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相关用地手续</w:t>
                  </w:r>
                </w:p>
              </w:tc>
              <w:tc>
                <w:tcPr>
                  <w:tcW w:w="428" w:type="pct"/>
                  <w:shd w:val="clear" w:color="auto" w:fill="auto"/>
                  <w:vAlign w:val="center"/>
                </w:tcPr>
                <w:p w14:paraId="2AEA5B6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1EB98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0" w:hRule="atLeast"/>
                <w:jc w:val="center"/>
              </w:trPr>
              <w:tc>
                <w:tcPr>
                  <w:tcW w:w="700" w:type="pct"/>
                  <w:vMerge w:val="restart"/>
                  <w:shd w:val="clear" w:color="auto" w:fill="auto"/>
                  <w:vAlign w:val="center"/>
                </w:tcPr>
                <w:p w14:paraId="0B4D890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米172-07</w:t>
                  </w:r>
                </w:p>
              </w:tc>
              <w:tc>
                <w:tcPr>
                  <w:tcW w:w="1818" w:type="pct"/>
                  <w:shd w:val="clear" w:color="auto" w:fill="auto"/>
                  <w:vAlign w:val="center"/>
                </w:tcPr>
                <w:p w14:paraId="2A5F792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榆阳机场电磁环境保护区分析</w:t>
                  </w:r>
                </w:p>
              </w:tc>
              <w:tc>
                <w:tcPr>
                  <w:tcW w:w="1121" w:type="pct"/>
                  <w:shd w:val="clear" w:color="auto" w:fill="auto"/>
                  <w:vAlign w:val="center"/>
                </w:tcPr>
                <w:p w14:paraId="783A455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不涉及</w:t>
                  </w:r>
                </w:p>
              </w:tc>
              <w:tc>
                <w:tcPr>
                  <w:tcW w:w="931" w:type="pct"/>
                  <w:shd w:val="clear" w:color="auto" w:fill="auto"/>
                  <w:vAlign w:val="center"/>
                </w:tcPr>
                <w:p w14:paraId="7AF3AC2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w:t>
                  </w:r>
                </w:p>
              </w:tc>
              <w:tc>
                <w:tcPr>
                  <w:tcW w:w="428" w:type="pct"/>
                  <w:shd w:val="clear" w:color="auto" w:fill="auto"/>
                  <w:vAlign w:val="center"/>
                </w:tcPr>
                <w:p w14:paraId="63EE232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61A49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80" w:hRule="atLeast"/>
                <w:jc w:val="center"/>
              </w:trPr>
              <w:tc>
                <w:tcPr>
                  <w:tcW w:w="700" w:type="pct"/>
                  <w:vMerge w:val="continue"/>
                  <w:shd w:val="clear" w:color="auto" w:fill="auto"/>
                  <w:vAlign w:val="center"/>
                </w:tcPr>
                <w:p w14:paraId="4AA7483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p>
              </w:tc>
              <w:tc>
                <w:tcPr>
                  <w:tcW w:w="1818" w:type="pct"/>
                  <w:shd w:val="clear" w:color="auto" w:fill="auto"/>
                  <w:vAlign w:val="center"/>
                </w:tcPr>
                <w:p w14:paraId="3E8F518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榆阳机场净空区域分析</w:t>
                  </w:r>
                </w:p>
              </w:tc>
              <w:tc>
                <w:tcPr>
                  <w:tcW w:w="1121" w:type="pct"/>
                  <w:shd w:val="clear" w:color="auto" w:fill="auto"/>
                  <w:vAlign w:val="center"/>
                </w:tcPr>
                <w:p w14:paraId="1434843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榆阳机场一区</w:t>
                  </w:r>
                </w:p>
              </w:tc>
              <w:tc>
                <w:tcPr>
                  <w:tcW w:w="931" w:type="pct"/>
                  <w:shd w:val="clear" w:color="auto" w:fill="auto"/>
                  <w:vAlign w:val="center"/>
                </w:tcPr>
                <w:p w14:paraId="3BAFA04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米172-07</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所在井场海拔高度约为1260米，榆阳机场一区净空高度为1570米，满足榆阳机场净空高度要求</w:t>
                  </w:r>
                </w:p>
              </w:tc>
              <w:tc>
                <w:tcPr>
                  <w:tcW w:w="428" w:type="pct"/>
                  <w:shd w:val="clear" w:color="auto" w:fill="auto"/>
                  <w:vAlign w:val="center"/>
                </w:tcPr>
                <w:p w14:paraId="714299E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7C79D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5" w:hRule="atLeast"/>
                <w:jc w:val="center"/>
              </w:trPr>
              <w:tc>
                <w:tcPr>
                  <w:tcW w:w="700" w:type="pct"/>
                  <w:vMerge w:val="continue"/>
                  <w:shd w:val="clear" w:color="auto" w:fill="auto"/>
                  <w:vAlign w:val="center"/>
                </w:tcPr>
                <w:p w14:paraId="70FE534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p>
              </w:tc>
              <w:tc>
                <w:tcPr>
                  <w:tcW w:w="1818" w:type="pct"/>
                  <w:shd w:val="clear" w:color="auto" w:fill="auto"/>
                  <w:vAlign w:val="center"/>
                </w:tcPr>
                <w:p w14:paraId="2934866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矿业权现状2023分析</w:t>
                  </w:r>
                </w:p>
              </w:tc>
              <w:tc>
                <w:tcPr>
                  <w:tcW w:w="1121" w:type="pct"/>
                  <w:shd w:val="clear" w:color="auto" w:fill="auto"/>
                  <w:vAlign w:val="center"/>
                </w:tcPr>
                <w:p w14:paraId="3AA07BE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不涉及</w:t>
                  </w:r>
                </w:p>
              </w:tc>
              <w:tc>
                <w:tcPr>
                  <w:tcW w:w="931" w:type="pct"/>
                  <w:shd w:val="clear" w:color="auto" w:fill="auto"/>
                  <w:vAlign w:val="center"/>
                </w:tcPr>
                <w:p w14:paraId="4FC5D74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w:t>
                  </w:r>
                </w:p>
              </w:tc>
              <w:tc>
                <w:tcPr>
                  <w:tcW w:w="428" w:type="pct"/>
                  <w:shd w:val="clear" w:color="auto" w:fill="auto"/>
                  <w:vAlign w:val="center"/>
                </w:tcPr>
                <w:p w14:paraId="47B8DE8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5BA99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05" w:hRule="atLeast"/>
                <w:jc w:val="center"/>
              </w:trPr>
              <w:tc>
                <w:tcPr>
                  <w:tcW w:w="700" w:type="pct"/>
                  <w:vMerge w:val="continue"/>
                  <w:shd w:val="clear" w:color="auto" w:fill="auto"/>
                  <w:vAlign w:val="center"/>
                </w:tcPr>
                <w:p w14:paraId="33A1CE9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p>
              </w:tc>
              <w:tc>
                <w:tcPr>
                  <w:tcW w:w="1818" w:type="pct"/>
                  <w:shd w:val="clear" w:color="auto" w:fill="auto"/>
                  <w:vAlign w:val="center"/>
                </w:tcPr>
                <w:p w14:paraId="0119B42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林地规划分析</w:t>
                  </w:r>
                </w:p>
              </w:tc>
              <w:tc>
                <w:tcPr>
                  <w:tcW w:w="1121" w:type="pct"/>
                  <w:shd w:val="clear" w:color="auto" w:fill="auto"/>
                  <w:vAlign w:val="center"/>
                </w:tcPr>
                <w:p w14:paraId="17DF311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占用林地0.6167公顷、非林地0.1098公顷</w:t>
                  </w:r>
                </w:p>
              </w:tc>
              <w:tc>
                <w:tcPr>
                  <w:tcW w:w="931" w:type="pct"/>
                  <w:shd w:val="clear" w:color="auto" w:fill="auto"/>
                  <w:vAlign w:val="center"/>
                </w:tcPr>
                <w:p w14:paraId="2B0DCD9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办理</w:t>
                  </w: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相关用地手续</w:t>
                  </w:r>
                </w:p>
              </w:tc>
              <w:tc>
                <w:tcPr>
                  <w:tcW w:w="428" w:type="pct"/>
                  <w:shd w:val="clear" w:color="auto" w:fill="auto"/>
                  <w:vAlign w:val="center"/>
                </w:tcPr>
                <w:p w14:paraId="7CAC0DF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28F1F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7" w:hRule="atLeast"/>
                <w:jc w:val="center"/>
              </w:trPr>
              <w:tc>
                <w:tcPr>
                  <w:tcW w:w="700" w:type="pct"/>
                  <w:vMerge w:val="continue"/>
                  <w:shd w:val="clear" w:color="auto" w:fill="auto"/>
                  <w:vAlign w:val="center"/>
                </w:tcPr>
                <w:p w14:paraId="29E365A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p>
              </w:tc>
              <w:tc>
                <w:tcPr>
                  <w:tcW w:w="1818" w:type="pct"/>
                  <w:shd w:val="clear" w:color="auto" w:fill="auto"/>
                  <w:vAlign w:val="center"/>
                </w:tcPr>
                <w:p w14:paraId="37CD6A5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长城文物保护线分析</w:t>
                  </w:r>
                </w:p>
              </w:tc>
              <w:tc>
                <w:tcPr>
                  <w:tcW w:w="1121" w:type="pct"/>
                  <w:shd w:val="clear" w:color="auto" w:fill="auto"/>
                  <w:vAlign w:val="center"/>
                </w:tcPr>
                <w:p w14:paraId="5473E28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不涉及</w:t>
                  </w:r>
                </w:p>
              </w:tc>
              <w:tc>
                <w:tcPr>
                  <w:tcW w:w="931" w:type="pct"/>
                  <w:shd w:val="clear" w:color="auto" w:fill="auto"/>
                  <w:vAlign w:val="center"/>
                </w:tcPr>
                <w:p w14:paraId="7335148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w:t>
                  </w:r>
                </w:p>
              </w:tc>
              <w:tc>
                <w:tcPr>
                  <w:tcW w:w="428" w:type="pct"/>
                  <w:shd w:val="clear" w:color="auto" w:fill="auto"/>
                  <w:vAlign w:val="center"/>
                </w:tcPr>
                <w:p w14:paraId="685EB2A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447C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5" w:hRule="atLeast"/>
                <w:jc w:val="center"/>
              </w:trPr>
              <w:tc>
                <w:tcPr>
                  <w:tcW w:w="700" w:type="pct"/>
                  <w:vMerge w:val="continue"/>
                  <w:shd w:val="clear" w:color="auto" w:fill="auto"/>
                  <w:vAlign w:val="center"/>
                </w:tcPr>
                <w:p w14:paraId="1394D8A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p>
              </w:tc>
              <w:tc>
                <w:tcPr>
                  <w:tcW w:w="1818" w:type="pct"/>
                  <w:shd w:val="clear" w:color="auto" w:fill="auto"/>
                  <w:vAlign w:val="center"/>
                </w:tcPr>
                <w:p w14:paraId="145B95D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生态保护红线分析</w:t>
                  </w:r>
                </w:p>
              </w:tc>
              <w:tc>
                <w:tcPr>
                  <w:tcW w:w="1121" w:type="pct"/>
                  <w:shd w:val="clear" w:color="auto" w:fill="auto"/>
                  <w:vAlign w:val="center"/>
                </w:tcPr>
                <w:p w14:paraId="4EFA290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不涉及</w:t>
                  </w:r>
                </w:p>
              </w:tc>
              <w:tc>
                <w:tcPr>
                  <w:tcW w:w="931" w:type="pct"/>
                  <w:shd w:val="clear" w:color="auto" w:fill="auto"/>
                  <w:vAlign w:val="center"/>
                </w:tcPr>
                <w:p w14:paraId="45D1E8F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w:t>
                  </w:r>
                </w:p>
              </w:tc>
              <w:tc>
                <w:tcPr>
                  <w:tcW w:w="428" w:type="pct"/>
                  <w:shd w:val="clear" w:color="auto" w:fill="auto"/>
                  <w:vAlign w:val="center"/>
                </w:tcPr>
                <w:p w14:paraId="2483D6F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759EA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5" w:hRule="atLeast"/>
                <w:jc w:val="center"/>
              </w:trPr>
              <w:tc>
                <w:tcPr>
                  <w:tcW w:w="700" w:type="pct"/>
                  <w:vMerge w:val="continue"/>
                  <w:shd w:val="clear" w:color="auto" w:fill="auto"/>
                  <w:vAlign w:val="center"/>
                </w:tcPr>
                <w:p w14:paraId="295EC0F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p>
              </w:tc>
              <w:tc>
                <w:tcPr>
                  <w:tcW w:w="1818" w:type="pct"/>
                  <w:shd w:val="clear" w:color="auto" w:fill="auto"/>
                  <w:vAlign w:val="center"/>
                </w:tcPr>
                <w:p w14:paraId="2AB6CCF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永久基本农田分析</w:t>
                  </w:r>
                </w:p>
              </w:tc>
              <w:tc>
                <w:tcPr>
                  <w:tcW w:w="1121" w:type="pct"/>
                  <w:shd w:val="clear" w:color="auto" w:fill="auto"/>
                  <w:vAlign w:val="center"/>
                </w:tcPr>
                <w:p w14:paraId="2C908D1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不涉及</w:t>
                  </w:r>
                </w:p>
              </w:tc>
              <w:tc>
                <w:tcPr>
                  <w:tcW w:w="931" w:type="pct"/>
                  <w:shd w:val="clear" w:color="auto" w:fill="auto"/>
                  <w:vAlign w:val="center"/>
                </w:tcPr>
                <w:p w14:paraId="717434E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w:t>
                  </w:r>
                </w:p>
              </w:tc>
              <w:tc>
                <w:tcPr>
                  <w:tcW w:w="428" w:type="pct"/>
                  <w:shd w:val="clear" w:color="auto" w:fill="auto"/>
                  <w:vAlign w:val="center"/>
                </w:tcPr>
                <w:p w14:paraId="7F784C1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3A4EC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7" w:hRule="atLeast"/>
                <w:jc w:val="center"/>
              </w:trPr>
              <w:tc>
                <w:tcPr>
                  <w:tcW w:w="700" w:type="pct"/>
                  <w:vMerge w:val="continue"/>
                  <w:shd w:val="clear" w:color="auto" w:fill="auto"/>
                  <w:vAlign w:val="center"/>
                </w:tcPr>
                <w:p w14:paraId="6B687F9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p>
              </w:tc>
              <w:tc>
                <w:tcPr>
                  <w:tcW w:w="1818" w:type="pct"/>
                  <w:shd w:val="clear" w:color="auto" w:fill="auto"/>
                  <w:vAlign w:val="center"/>
                </w:tcPr>
                <w:p w14:paraId="136E797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土地利用现状分析</w:t>
                  </w:r>
                </w:p>
              </w:tc>
              <w:tc>
                <w:tcPr>
                  <w:tcW w:w="1121" w:type="pct"/>
                  <w:shd w:val="clear" w:color="auto" w:fill="auto"/>
                  <w:vAlign w:val="center"/>
                </w:tcPr>
                <w:p w14:paraId="3BAF66D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eastAsiaTheme="minorHAnsi"/>
                      <w:bCs/>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占用果园0.7265</w:t>
                  </w: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公顷</w:t>
                  </w:r>
                </w:p>
              </w:tc>
              <w:tc>
                <w:tcPr>
                  <w:tcW w:w="931" w:type="pct"/>
                  <w:shd w:val="clear" w:color="auto" w:fill="auto"/>
                  <w:vAlign w:val="center"/>
                </w:tcPr>
                <w:p w14:paraId="39750B7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办理</w:t>
                  </w: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相关用地手续</w:t>
                  </w:r>
                </w:p>
              </w:tc>
              <w:tc>
                <w:tcPr>
                  <w:tcW w:w="428" w:type="pct"/>
                  <w:shd w:val="clear" w:color="auto" w:fill="auto"/>
                  <w:vAlign w:val="center"/>
                </w:tcPr>
                <w:p w14:paraId="57FFC5B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4C6D8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5" w:hRule="atLeast"/>
                <w:jc w:val="center"/>
              </w:trPr>
              <w:tc>
                <w:tcPr>
                  <w:tcW w:w="700" w:type="pct"/>
                  <w:vMerge w:val="restart"/>
                  <w:shd w:val="clear" w:color="auto" w:fill="auto"/>
                  <w:vAlign w:val="center"/>
                </w:tcPr>
                <w:p w14:paraId="03E2F61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米172-08</w:t>
                  </w:r>
                </w:p>
              </w:tc>
              <w:tc>
                <w:tcPr>
                  <w:tcW w:w="1818" w:type="pct"/>
                  <w:shd w:val="clear" w:color="auto" w:fill="auto"/>
                  <w:vAlign w:val="center"/>
                </w:tcPr>
                <w:p w14:paraId="3E9165D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榆阳机场电磁环境保护区分析</w:t>
                  </w:r>
                </w:p>
              </w:tc>
              <w:tc>
                <w:tcPr>
                  <w:tcW w:w="1121" w:type="pct"/>
                  <w:shd w:val="clear" w:color="auto" w:fill="auto"/>
                  <w:vAlign w:val="center"/>
                </w:tcPr>
                <w:p w14:paraId="7A6607B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不涉及</w:t>
                  </w:r>
                </w:p>
              </w:tc>
              <w:tc>
                <w:tcPr>
                  <w:tcW w:w="931" w:type="pct"/>
                  <w:shd w:val="clear" w:color="auto" w:fill="auto"/>
                  <w:vAlign w:val="center"/>
                </w:tcPr>
                <w:p w14:paraId="2FD5E06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w:t>
                  </w:r>
                </w:p>
              </w:tc>
              <w:tc>
                <w:tcPr>
                  <w:tcW w:w="428" w:type="pct"/>
                  <w:shd w:val="clear" w:color="auto" w:fill="auto"/>
                  <w:vAlign w:val="center"/>
                </w:tcPr>
                <w:p w14:paraId="07D1F1F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003AD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5" w:hRule="atLeast"/>
                <w:jc w:val="center"/>
              </w:trPr>
              <w:tc>
                <w:tcPr>
                  <w:tcW w:w="700" w:type="pct"/>
                  <w:vMerge w:val="continue"/>
                  <w:shd w:val="clear" w:color="auto" w:fill="auto"/>
                  <w:vAlign w:val="center"/>
                </w:tcPr>
                <w:p w14:paraId="1842D5F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p>
              </w:tc>
              <w:tc>
                <w:tcPr>
                  <w:tcW w:w="1818" w:type="pct"/>
                  <w:shd w:val="clear" w:color="auto" w:fill="auto"/>
                  <w:vAlign w:val="center"/>
                </w:tcPr>
                <w:p w14:paraId="44E8B38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榆阳机场净空区域分析</w:t>
                  </w:r>
                </w:p>
              </w:tc>
              <w:tc>
                <w:tcPr>
                  <w:tcW w:w="1121" w:type="pct"/>
                  <w:shd w:val="clear" w:color="auto" w:fill="auto"/>
                  <w:vAlign w:val="center"/>
                </w:tcPr>
                <w:p w14:paraId="1FD14D7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榆阳机场一区</w:t>
                  </w:r>
                </w:p>
              </w:tc>
              <w:tc>
                <w:tcPr>
                  <w:tcW w:w="931" w:type="pct"/>
                  <w:shd w:val="clear" w:color="auto" w:fill="auto"/>
                  <w:vAlign w:val="center"/>
                </w:tcPr>
                <w:p w14:paraId="7592F73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米172-08</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所在井场海拔高度约为1165米，榆阳机场一区净空高度为1570米，满足榆阳机场净空高度要求</w:t>
                  </w:r>
                </w:p>
              </w:tc>
              <w:tc>
                <w:tcPr>
                  <w:tcW w:w="428" w:type="pct"/>
                  <w:shd w:val="clear" w:color="auto" w:fill="auto"/>
                  <w:vAlign w:val="center"/>
                </w:tcPr>
                <w:p w14:paraId="203492A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7943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0" w:hRule="atLeast"/>
                <w:jc w:val="center"/>
              </w:trPr>
              <w:tc>
                <w:tcPr>
                  <w:tcW w:w="700" w:type="pct"/>
                  <w:vMerge w:val="continue"/>
                  <w:shd w:val="clear" w:color="auto" w:fill="auto"/>
                  <w:vAlign w:val="center"/>
                </w:tcPr>
                <w:p w14:paraId="7A36952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p>
              </w:tc>
              <w:tc>
                <w:tcPr>
                  <w:tcW w:w="1818" w:type="pct"/>
                  <w:shd w:val="clear" w:color="auto" w:fill="auto"/>
                  <w:vAlign w:val="center"/>
                </w:tcPr>
                <w:p w14:paraId="6FEC745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矿业权现状2023分析</w:t>
                  </w:r>
                </w:p>
              </w:tc>
              <w:tc>
                <w:tcPr>
                  <w:tcW w:w="1121" w:type="pct"/>
                  <w:shd w:val="clear" w:color="auto" w:fill="auto"/>
                  <w:vAlign w:val="center"/>
                </w:tcPr>
                <w:p w14:paraId="735011D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不涉及</w:t>
                  </w:r>
                </w:p>
              </w:tc>
              <w:tc>
                <w:tcPr>
                  <w:tcW w:w="931" w:type="pct"/>
                  <w:shd w:val="clear" w:color="auto" w:fill="auto"/>
                  <w:vAlign w:val="center"/>
                </w:tcPr>
                <w:p w14:paraId="24A34A0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w:t>
                  </w:r>
                </w:p>
              </w:tc>
              <w:tc>
                <w:tcPr>
                  <w:tcW w:w="428" w:type="pct"/>
                  <w:shd w:val="clear" w:color="auto" w:fill="auto"/>
                  <w:vAlign w:val="center"/>
                </w:tcPr>
                <w:p w14:paraId="3FB79DA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30C0D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5" w:hRule="atLeast"/>
                <w:jc w:val="center"/>
              </w:trPr>
              <w:tc>
                <w:tcPr>
                  <w:tcW w:w="700" w:type="pct"/>
                  <w:vMerge w:val="continue"/>
                  <w:shd w:val="clear" w:color="auto" w:fill="auto"/>
                  <w:vAlign w:val="center"/>
                </w:tcPr>
                <w:p w14:paraId="0476694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p>
              </w:tc>
              <w:tc>
                <w:tcPr>
                  <w:tcW w:w="1818" w:type="pct"/>
                  <w:shd w:val="clear" w:color="auto" w:fill="auto"/>
                  <w:vAlign w:val="center"/>
                </w:tcPr>
                <w:p w14:paraId="4CBBFCB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林地规划分析</w:t>
                  </w:r>
                </w:p>
              </w:tc>
              <w:tc>
                <w:tcPr>
                  <w:tcW w:w="1121" w:type="pct"/>
                  <w:shd w:val="clear" w:color="auto" w:fill="auto"/>
                  <w:vAlign w:val="center"/>
                </w:tcPr>
                <w:p w14:paraId="22C88E4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占用林地1.7918公顷</w:t>
                  </w:r>
                </w:p>
              </w:tc>
              <w:tc>
                <w:tcPr>
                  <w:tcW w:w="931" w:type="pct"/>
                  <w:shd w:val="clear" w:color="auto" w:fill="auto"/>
                  <w:vAlign w:val="center"/>
                </w:tcPr>
                <w:p w14:paraId="4A348BE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办理</w:t>
                  </w: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相关用地手续</w:t>
                  </w:r>
                </w:p>
              </w:tc>
              <w:tc>
                <w:tcPr>
                  <w:tcW w:w="428" w:type="pct"/>
                  <w:shd w:val="clear" w:color="auto" w:fill="auto"/>
                  <w:vAlign w:val="center"/>
                </w:tcPr>
                <w:p w14:paraId="474A8E4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3B61E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9" w:hRule="atLeast"/>
                <w:jc w:val="center"/>
              </w:trPr>
              <w:tc>
                <w:tcPr>
                  <w:tcW w:w="700" w:type="pct"/>
                  <w:vMerge w:val="continue"/>
                  <w:shd w:val="clear" w:color="auto" w:fill="auto"/>
                  <w:vAlign w:val="center"/>
                </w:tcPr>
                <w:p w14:paraId="775AF71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p>
              </w:tc>
              <w:tc>
                <w:tcPr>
                  <w:tcW w:w="1818" w:type="pct"/>
                  <w:shd w:val="clear" w:color="auto" w:fill="auto"/>
                  <w:vAlign w:val="center"/>
                </w:tcPr>
                <w:p w14:paraId="3E6D37C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长城文物保护线分析</w:t>
                  </w:r>
                </w:p>
              </w:tc>
              <w:tc>
                <w:tcPr>
                  <w:tcW w:w="1121" w:type="pct"/>
                  <w:shd w:val="clear" w:color="auto" w:fill="auto"/>
                  <w:vAlign w:val="center"/>
                </w:tcPr>
                <w:p w14:paraId="020EBB7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不涉及</w:t>
                  </w:r>
                </w:p>
              </w:tc>
              <w:tc>
                <w:tcPr>
                  <w:tcW w:w="931" w:type="pct"/>
                  <w:shd w:val="clear" w:color="auto" w:fill="auto"/>
                  <w:vAlign w:val="center"/>
                </w:tcPr>
                <w:p w14:paraId="32A0CEE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w:t>
                  </w:r>
                </w:p>
              </w:tc>
              <w:tc>
                <w:tcPr>
                  <w:tcW w:w="428" w:type="pct"/>
                  <w:shd w:val="clear" w:color="auto" w:fill="auto"/>
                  <w:vAlign w:val="center"/>
                </w:tcPr>
                <w:p w14:paraId="6C42FE5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52934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7" w:hRule="atLeast"/>
                <w:jc w:val="center"/>
              </w:trPr>
              <w:tc>
                <w:tcPr>
                  <w:tcW w:w="700" w:type="pct"/>
                  <w:vMerge w:val="continue"/>
                  <w:shd w:val="clear" w:color="auto" w:fill="auto"/>
                  <w:vAlign w:val="center"/>
                </w:tcPr>
                <w:p w14:paraId="513AA54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p>
              </w:tc>
              <w:tc>
                <w:tcPr>
                  <w:tcW w:w="1818" w:type="pct"/>
                  <w:shd w:val="clear" w:color="auto" w:fill="auto"/>
                  <w:vAlign w:val="center"/>
                </w:tcPr>
                <w:p w14:paraId="5564254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生态保护红线分析</w:t>
                  </w:r>
                </w:p>
              </w:tc>
              <w:tc>
                <w:tcPr>
                  <w:tcW w:w="1121" w:type="pct"/>
                  <w:shd w:val="clear" w:color="auto" w:fill="auto"/>
                  <w:vAlign w:val="center"/>
                </w:tcPr>
                <w:p w14:paraId="7DE99F9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不涉及</w:t>
                  </w:r>
                </w:p>
              </w:tc>
              <w:tc>
                <w:tcPr>
                  <w:tcW w:w="931" w:type="pct"/>
                  <w:shd w:val="clear" w:color="auto" w:fill="auto"/>
                  <w:vAlign w:val="center"/>
                </w:tcPr>
                <w:p w14:paraId="784841E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w:t>
                  </w:r>
                </w:p>
              </w:tc>
              <w:tc>
                <w:tcPr>
                  <w:tcW w:w="428" w:type="pct"/>
                  <w:shd w:val="clear" w:color="auto" w:fill="auto"/>
                  <w:vAlign w:val="center"/>
                </w:tcPr>
                <w:p w14:paraId="627039D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7D41D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0" w:hRule="atLeast"/>
                <w:jc w:val="center"/>
              </w:trPr>
              <w:tc>
                <w:tcPr>
                  <w:tcW w:w="700" w:type="pct"/>
                  <w:vMerge w:val="continue"/>
                  <w:shd w:val="clear" w:color="auto" w:fill="auto"/>
                  <w:vAlign w:val="center"/>
                </w:tcPr>
                <w:p w14:paraId="5B30D08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p>
              </w:tc>
              <w:tc>
                <w:tcPr>
                  <w:tcW w:w="1818" w:type="pct"/>
                  <w:shd w:val="clear" w:color="auto" w:fill="auto"/>
                  <w:vAlign w:val="center"/>
                </w:tcPr>
                <w:p w14:paraId="38C1ECA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永久基本农田分析</w:t>
                  </w:r>
                </w:p>
              </w:tc>
              <w:tc>
                <w:tcPr>
                  <w:tcW w:w="1121" w:type="pct"/>
                  <w:shd w:val="clear" w:color="auto" w:fill="auto"/>
                  <w:vAlign w:val="center"/>
                </w:tcPr>
                <w:p w14:paraId="6CB0C91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不涉及</w:t>
                  </w:r>
                </w:p>
              </w:tc>
              <w:tc>
                <w:tcPr>
                  <w:tcW w:w="931" w:type="pct"/>
                  <w:shd w:val="clear" w:color="auto" w:fill="auto"/>
                  <w:vAlign w:val="center"/>
                </w:tcPr>
                <w:p w14:paraId="4DDB155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w:t>
                  </w:r>
                </w:p>
              </w:tc>
              <w:tc>
                <w:tcPr>
                  <w:tcW w:w="428" w:type="pct"/>
                  <w:shd w:val="clear" w:color="auto" w:fill="auto"/>
                  <w:vAlign w:val="center"/>
                </w:tcPr>
                <w:p w14:paraId="22784BC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71D6E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7" w:hRule="atLeast"/>
                <w:jc w:val="center"/>
              </w:trPr>
              <w:tc>
                <w:tcPr>
                  <w:tcW w:w="700" w:type="pct"/>
                  <w:vMerge w:val="continue"/>
                  <w:shd w:val="clear" w:color="auto" w:fill="auto"/>
                  <w:vAlign w:val="center"/>
                </w:tcPr>
                <w:p w14:paraId="5CA4CFB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p>
              </w:tc>
              <w:tc>
                <w:tcPr>
                  <w:tcW w:w="1818" w:type="pct"/>
                  <w:shd w:val="clear" w:color="auto" w:fill="auto"/>
                  <w:vAlign w:val="center"/>
                </w:tcPr>
                <w:p w14:paraId="60447EA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土地利用现状分析</w:t>
                  </w:r>
                </w:p>
              </w:tc>
              <w:tc>
                <w:tcPr>
                  <w:tcW w:w="1121" w:type="pct"/>
                  <w:shd w:val="clear" w:color="auto" w:fill="auto"/>
                  <w:vAlign w:val="center"/>
                </w:tcPr>
                <w:p w14:paraId="3152DE4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eastAsiaTheme="minorHAnsi"/>
                      <w:bCs/>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占用灌木林地1.7918</w:t>
                  </w: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公顷</w:t>
                  </w:r>
                </w:p>
              </w:tc>
              <w:tc>
                <w:tcPr>
                  <w:tcW w:w="931" w:type="pct"/>
                  <w:shd w:val="clear" w:color="auto" w:fill="auto"/>
                  <w:vAlign w:val="center"/>
                </w:tcPr>
                <w:p w14:paraId="485AE07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办理</w:t>
                  </w: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相关用地手续</w:t>
                  </w:r>
                </w:p>
              </w:tc>
              <w:tc>
                <w:tcPr>
                  <w:tcW w:w="428" w:type="pct"/>
                  <w:shd w:val="clear" w:color="auto" w:fill="auto"/>
                  <w:vAlign w:val="center"/>
                </w:tcPr>
                <w:p w14:paraId="69D3E25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bl>
          <w:p w14:paraId="33880BCA">
            <w:pPr>
              <w:pStyle w:val="27"/>
              <w:keepNext w:val="0"/>
              <w:keepLines w:val="0"/>
              <w:pageBreakBefore w:val="0"/>
              <w:widowControl w:val="0"/>
              <w:kinsoku/>
              <w:wordWrap/>
              <w:overflowPunct/>
              <w:topLinePunct w:val="0"/>
              <w:autoSpaceDE/>
              <w:autoSpaceDN/>
              <w:bidi w:val="0"/>
              <w:adjustRightInd w:val="0"/>
              <w:snapToGrid w:val="0"/>
              <w:spacing w:before="79" w:beforeLines="25"/>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由上表可知，项目建设主要占用林地、园地</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草地</w:t>
            </w:r>
            <w:r>
              <w:rPr>
                <w:rFonts w:hint="eastAsia" w:ascii="Times New Roman" w:hAnsi="Times New Roman" w:cs="Times New Roman"/>
                <w:color w:val="000000" w:themeColor="text1"/>
                <w:sz w:val="24"/>
                <w:szCs w:val="24"/>
                <w:lang w:val="en-US" w:eastAsia="zh-CN"/>
                <w14:textFill>
                  <w14:solidFill>
                    <w14:schemeClr w14:val="tx1"/>
                  </w14:solidFill>
                </w14:textFill>
              </w:rPr>
              <w:t>及交通运输用地</w:t>
            </w:r>
            <w:r>
              <w:rPr>
                <w:rFonts w:hint="default" w:ascii="Times New Roman" w:hAnsi="Times New Roman" w:cs="Times New Roman"/>
                <w:color w:val="000000" w:themeColor="text1"/>
                <w:sz w:val="24"/>
                <w:szCs w:val="24"/>
                <w:lang w:val="en-US" w:eastAsia="zh-CN"/>
                <w14:textFill>
                  <w14:solidFill>
                    <w14:schemeClr w14:val="tx1"/>
                  </w14:solidFill>
                </w14:textFill>
              </w:rPr>
              <w:t>，已与自然资源规划部门及林业局对接，勘探后如有开采价值依法办理自然资源规划部门相关手续。</w:t>
            </w:r>
          </w:p>
          <w:p w14:paraId="5A121A1C">
            <w:pPr>
              <w:pStyle w:val="27"/>
              <w:bidi w:val="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综上所述，项目建设基本符合榆林市投资项目选址“一张图”控制线报告要求。</w:t>
            </w:r>
          </w:p>
          <w:p w14:paraId="55235FA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3、项目与“三线一单”符合性分析</w:t>
            </w:r>
          </w:p>
          <w:p w14:paraId="1E0A13E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陕西省“三线一单”生态环境分区管控应用技术指南：环境影响评价（试行）》（陕环办发〔2022〕76号文），建设项目环评文件涉及“三线一单”生态环境分区管控符合性分析采取“一图一表一说明”的表达方式，对照分析结果，论证建设的符合性。</w:t>
            </w:r>
          </w:p>
          <w:p w14:paraId="5639453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①一图</w:t>
            </w:r>
          </w:p>
          <w:p w14:paraId="4D4A4F7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根据，结合“陕西省‘三线一单’数据应用管理平台”分析，本项目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米37-14M、米172-06、米172-07均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位于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一般</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管控单元</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，米172-08位于优先保护单元</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，项目选址与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陕西省</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“三线一单”生态环境分区管控的位置关系如下：</w:t>
            </w:r>
          </w:p>
          <w:p w14:paraId="0569793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②一表</w:t>
            </w:r>
          </w:p>
          <w:p w14:paraId="2C529CFB">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表1-</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 xml:space="preserve"> 项目与榆林“三线一单”管控单元比对成果</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2"/>
              <w:gridCol w:w="2313"/>
              <w:gridCol w:w="2174"/>
              <w:gridCol w:w="2273"/>
            </w:tblGrid>
            <w:tr w14:paraId="1EF49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pct"/>
                  <w:noWrap w:val="0"/>
                  <w:vAlign w:val="center"/>
                </w:tcPr>
                <w:p w14:paraId="7199019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井号</w:t>
                  </w:r>
                </w:p>
              </w:tc>
              <w:tc>
                <w:tcPr>
                  <w:tcW w:w="1480" w:type="pct"/>
                  <w:noWrap w:val="0"/>
                  <w:vAlign w:val="center"/>
                </w:tcPr>
                <w:p w14:paraId="18AC459B">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管控单元分类</w:t>
                  </w:r>
                </w:p>
              </w:tc>
              <w:tc>
                <w:tcPr>
                  <w:tcW w:w="1391" w:type="pct"/>
                  <w:noWrap w:val="0"/>
                  <w:vAlign w:val="center"/>
                </w:tcPr>
                <w:p w14:paraId="2FAF5A73">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是否涉及</w:t>
                  </w:r>
                </w:p>
              </w:tc>
              <w:tc>
                <w:tcPr>
                  <w:tcW w:w="1454" w:type="pct"/>
                  <w:noWrap w:val="0"/>
                  <w:vAlign w:val="center"/>
                </w:tcPr>
                <w:p w14:paraId="5FD4C2B1">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面积</w:t>
                  </w: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（m</w:t>
                  </w:r>
                  <w:r>
                    <w:rPr>
                      <w:rFonts w:hint="eastAsia" w:ascii="Times New Roman" w:hAnsi="Times New Roman" w:eastAsia="宋体" w:cs="Times New Roman"/>
                      <w:b/>
                      <w:bCs w:val="0"/>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w:t>
                  </w:r>
                </w:p>
              </w:tc>
            </w:tr>
            <w:tr w14:paraId="06D25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pct"/>
                  <w:vMerge w:val="restart"/>
                  <w:noWrap w:val="0"/>
                  <w:vAlign w:val="center"/>
                </w:tcPr>
                <w:p w14:paraId="4F4108C0">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米37-14M</w:t>
                  </w:r>
                </w:p>
              </w:tc>
              <w:tc>
                <w:tcPr>
                  <w:tcW w:w="1480" w:type="pct"/>
                  <w:noWrap w:val="0"/>
                  <w:vAlign w:val="center"/>
                </w:tcPr>
                <w:p w14:paraId="35CEA0E7">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优先保护单元</w:t>
                  </w:r>
                </w:p>
              </w:tc>
              <w:tc>
                <w:tcPr>
                  <w:tcW w:w="1391" w:type="pct"/>
                  <w:noWrap w:val="0"/>
                  <w:vAlign w:val="center"/>
                </w:tcPr>
                <w:p w14:paraId="1530790F">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否</w:t>
                  </w:r>
                </w:p>
              </w:tc>
              <w:tc>
                <w:tcPr>
                  <w:tcW w:w="1454" w:type="pct"/>
                  <w:noWrap w:val="0"/>
                  <w:vAlign w:val="center"/>
                </w:tcPr>
                <w:p w14:paraId="6BFFF25C">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0</w:t>
                  </w:r>
                </w:p>
              </w:tc>
            </w:tr>
            <w:tr w14:paraId="22B73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pct"/>
                  <w:vMerge w:val="continue"/>
                  <w:noWrap w:val="0"/>
                  <w:vAlign w:val="center"/>
                </w:tcPr>
                <w:p w14:paraId="27490E3B">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14:textFill>
                        <w14:solidFill>
                          <w14:schemeClr w14:val="tx1"/>
                        </w14:solidFill>
                      </w14:textFill>
                    </w:rPr>
                  </w:pPr>
                </w:p>
              </w:tc>
              <w:tc>
                <w:tcPr>
                  <w:tcW w:w="1480" w:type="pct"/>
                  <w:noWrap w:val="0"/>
                  <w:vAlign w:val="center"/>
                </w:tcPr>
                <w:p w14:paraId="4A00A88D">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重点管控单元</w:t>
                  </w:r>
                </w:p>
              </w:tc>
              <w:tc>
                <w:tcPr>
                  <w:tcW w:w="1391" w:type="pct"/>
                  <w:noWrap w:val="0"/>
                  <w:vAlign w:val="center"/>
                </w:tcPr>
                <w:p w14:paraId="7DE25234">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否</w:t>
                  </w:r>
                </w:p>
              </w:tc>
              <w:tc>
                <w:tcPr>
                  <w:tcW w:w="1454" w:type="pct"/>
                  <w:noWrap w:val="0"/>
                  <w:vAlign w:val="center"/>
                </w:tcPr>
                <w:p w14:paraId="35CBD04D">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0</w:t>
                  </w:r>
                </w:p>
              </w:tc>
            </w:tr>
            <w:tr w14:paraId="61EA3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pct"/>
                  <w:vMerge w:val="continue"/>
                  <w:noWrap w:val="0"/>
                  <w:vAlign w:val="center"/>
                </w:tcPr>
                <w:p w14:paraId="7656FEF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14:textFill>
                        <w14:solidFill>
                          <w14:schemeClr w14:val="tx1"/>
                        </w14:solidFill>
                      </w14:textFill>
                    </w:rPr>
                  </w:pPr>
                </w:p>
              </w:tc>
              <w:tc>
                <w:tcPr>
                  <w:tcW w:w="1480" w:type="pct"/>
                  <w:noWrap w:val="0"/>
                  <w:vAlign w:val="center"/>
                </w:tcPr>
                <w:p w14:paraId="7839360B">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一般管控单元</w:t>
                  </w:r>
                </w:p>
              </w:tc>
              <w:tc>
                <w:tcPr>
                  <w:tcW w:w="1391" w:type="pct"/>
                  <w:noWrap w:val="0"/>
                  <w:vAlign w:val="center"/>
                </w:tcPr>
                <w:p w14:paraId="717832BF">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是</w:t>
                  </w:r>
                </w:p>
              </w:tc>
              <w:tc>
                <w:tcPr>
                  <w:tcW w:w="1454" w:type="pct"/>
                  <w:noWrap w:val="0"/>
                  <w:vAlign w:val="center"/>
                </w:tcPr>
                <w:p w14:paraId="7A064970">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10967.89</w:t>
                  </w:r>
                </w:p>
              </w:tc>
            </w:tr>
            <w:tr w14:paraId="3BC65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pct"/>
                  <w:vMerge w:val="restart"/>
                  <w:noWrap w:val="0"/>
                  <w:vAlign w:val="center"/>
                </w:tcPr>
                <w:p w14:paraId="1FCA5B88">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米172-06</w:t>
                  </w:r>
                </w:p>
              </w:tc>
              <w:tc>
                <w:tcPr>
                  <w:tcW w:w="1480" w:type="pct"/>
                  <w:noWrap w:val="0"/>
                  <w:vAlign w:val="center"/>
                </w:tcPr>
                <w:p w14:paraId="4AD874BC">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优先保护单元</w:t>
                  </w:r>
                </w:p>
              </w:tc>
              <w:tc>
                <w:tcPr>
                  <w:tcW w:w="1391" w:type="pct"/>
                  <w:shd w:val="clear" w:color="auto" w:fill="auto"/>
                  <w:noWrap w:val="0"/>
                  <w:vAlign w:val="center"/>
                </w:tcPr>
                <w:p w14:paraId="2FABAF4B">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否</w:t>
                  </w:r>
                </w:p>
              </w:tc>
              <w:tc>
                <w:tcPr>
                  <w:tcW w:w="1454" w:type="pct"/>
                  <w:noWrap w:val="0"/>
                  <w:vAlign w:val="center"/>
                </w:tcPr>
                <w:p w14:paraId="15849AE3">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0</w:t>
                  </w:r>
                </w:p>
              </w:tc>
            </w:tr>
            <w:tr w14:paraId="3E26D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pct"/>
                  <w:vMerge w:val="continue"/>
                  <w:noWrap w:val="0"/>
                  <w:vAlign w:val="center"/>
                </w:tcPr>
                <w:p w14:paraId="12A87BF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14:textFill>
                        <w14:solidFill>
                          <w14:schemeClr w14:val="tx1"/>
                        </w14:solidFill>
                      </w14:textFill>
                    </w:rPr>
                  </w:pPr>
                </w:p>
              </w:tc>
              <w:tc>
                <w:tcPr>
                  <w:tcW w:w="1480" w:type="pct"/>
                  <w:noWrap w:val="0"/>
                  <w:vAlign w:val="center"/>
                </w:tcPr>
                <w:p w14:paraId="0741757C">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重点管控单元</w:t>
                  </w:r>
                </w:p>
              </w:tc>
              <w:tc>
                <w:tcPr>
                  <w:tcW w:w="1391" w:type="pct"/>
                  <w:shd w:val="clear" w:color="auto" w:fill="auto"/>
                  <w:noWrap w:val="0"/>
                  <w:vAlign w:val="center"/>
                </w:tcPr>
                <w:p w14:paraId="76CCCD35">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否</w:t>
                  </w:r>
                </w:p>
              </w:tc>
              <w:tc>
                <w:tcPr>
                  <w:tcW w:w="1454" w:type="pct"/>
                  <w:noWrap w:val="0"/>
                  <w:vAlign w:val="center"/>
                </w:tcPr>
                <w:p w14:paraId="6F1ABB2A">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0</w:t>
                  </w:r>
                </w:p>
              </w:tc>
            </w:tr>
            <w:tr w14:paraId="4CD17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pct"/>
                  <w:vMerge w:val="continue"/>
                  <w:noWrap w:val="0"/>
                  <w:vAlign w:val="center"/>
                </w:tcPr>
                <w:p w14:paraId="05A533D5">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14:textFill>
                        <w14:solidFill>
                          <w14:schemeClr w14:val="tx1"/>
                        </w14:solidFill>
                      </w14:textFill>
                    </w:rPr>
                  </w:pPr>
                </w:p>
              </w:tc>
              <w:tc>
                <w:tcPr>
                  <w:tcW w:w="1480" w:type="pct"/>
                  <w:noWrap w:val="0"/>
                  <w:vAlign w:val="center"/>
                </w:tcPr>
                <w:p w14:paraId="079DACA1">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一般管控单元</w:t>
                  </w:r>
                </w:p>
              </w:tc>
              <w:tc>
                <w:tcPr>
                  <w:tcW w:w="1391" w:type="pct"/>
                  <w:shd w:val="clear" w:color="auto" w:fill="auto"/>
                  <w:noWrap w:val="0"/>
                  <w:vAlign w:val="center"/>
                </w:tcPr>
                <w:p w14:paraId="593904D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是</w:t>
                  </w:r>
                </w:p>
              </w:tc>
              <w:tc>
                <w:tcPr>
                  <w:tcW w:w="1454" w:type="pct"/>
                  <w:noWrap w:val="0"/>
                  <w:vAlign w:val="center"/>
                </w:tcPr>
                <w:p w14:paraId="7D4F003B">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10784.75</w:t>
                  </w:r>
                </w:p>
              </w:tc>
            </w:tr>
            <w:tr w14:paraId="5AB5E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pct"/>
                  <w:vMerge w:val="restart"/>
                  <w:noWrap w:val="0"/>
                  <w:vAlign w:val="center"/>
                </w:tcPr>
                <w:p w14:paraId="3B7E836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米172-07</w:t>
                  </w:r>
                </w:p>
              </w:tc>
              <w:tc>
                <w:tcPr>
                  <w:tcW w:w="1480" w:type="pct"/>
                  <w:shd w:val="clear" w:color="auto" w:fill="auto"/>
                  <w:noWrap w:val="0"/>
                  <w:vAlign w:val="center"/>
                </w:tcPr>
                <w:p w14:paraId="03851148">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优先保护单元</w:t>
                  </w:r>
                </w:p>
              </w:tc>
              <w:tc>
                <w:tcPr>
                  <w:tcW w:w="1391" w:type="pct"/>
                  <w:shd w:val="clear" w:color="auto" w:fill="auto"/>
                  <w:noWrap w:val="0"/>
                  <w:vAlign w:val="center"/>
                </w:tcPr>
                <w:p w14:paraId="5C744D91">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否</w:t>
                  </w:r>
                </w:p>
              </w:tc>
              <w:tc>
                <w:tcPr>
                  <w:tcW w:w="1454" w:type="pct"/>
                  <w:noWrap w:val="0"/>
                  <w:vAlign w:val="center"/>
                </w:tcPr>
                <w:p w14:paraId="5CB3339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0</w:t>
                  </w:r>
                </w:p>
              </w:tc>
            </w:tr>
            <w:tr w14:paraId="5FF3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pct"/>
                  <w:vMerge w:val="continue"/>
                  <w:noWrap w:val="0"/>
                  <w:vAlign w:val="center"/>
                </w:tcPr>
                <w:p w14:paraId="5D092DC5">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14:textFill>
                        <w14:solidFill>
                          <w14:schemeClr w14:val="tx1"/>
                        </w14:solidFill>
                      </w14:textFill>
                    </w:rPr>
                  </w:pPr>
                </w:p>
              </w:tc>
              <w:tc>
                <w:tcPr>
                  <w:tcW w:w="1480" w:type="pct"/>
                  <w:shd w:val="clear" w:color="auto" w:fill="auto"/>
                  <w:noWrap w:val="0"/>
                  <w:vAlign w:val="center"/>
                </w:tcPr>
                <w:p w14:paraId="4343CB4D">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重点管控单元</w:t>
                  </w:r>
                </w:p>
              </w:tc>
              <w:tc>
                <w:tcPr>
                  <w:tcW w:w="1391" w:type="pct"/>
                  <w:shd w:val="clear" w:color="auto" w:fill="auto"/>
                  <w:noWrap w:val="0"/>
                  <w:vAlign w:val="center"/>
                </w:tcPr>
                <w:p w14:paraId="76038571">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否</w:t>
                  </w:r>
                </w:p>
              </w:tc>
              <w:tc>
                <w:tcPr>
                  <w:tcW w:w="1454" w:type="pct"/>
                  <w:noWrap w:val="0"/>
                  <w:vAlign w:val="center"/>
                </w:tcPr>
                <w:p w14:paraId="6983632E">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0</w:t>
                  </w:r>
                </w:p>
              </w:tc>
            </w:tr>
            <w:tr w14:paraId="3971E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pct"/>
                  <w:vMerge w:val="continue"/>
                  <w:noWrap w:val="0"/>
                  <w:vAlign w:val="center"/>
                </w:tcPr>
                <w:p w14:paraId="46C4FA9E">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14:textFill>
                        <w14:solidFill>
                          <w14:schemeClr w14:val="tx1"/>
                        </w14:solidFill>
                      </w14:textFill>
                    </w:rPr>
                  </w:pPr>
                </w:p>
              </w:tc>
              <w:tc>
                <w:tcPr>
                  <w:tcW w:w="1480" w:type="pct"/>
                  <w:shd w:val="clear" w:color="auto" w:fill="auto"/>
                  <w:noWrap w:val="0"/>
                  <w:vAlign w:val="center"/>
                </w:tcPr>
                <w:p w14:paraId="68B25AEE">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一般管控单元</w:t>
                  </w:r>
                </w:p>
              </w:tc>
              <w:tc>
                <w:tcPr>
                  <w:tcW w:w="1391" w:type="pct"/>
                  <w:shd w:val="clear" w:color="auto" w:fill="auto"/>
                  <w:noWrap w:val="0"/>
                  <w:vAlign w:val="center"/>
                </w:tcPr>
                <w:p w14:paraId="1FED0E10">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是</w:t>
                  </w:r>
                </w:p>
              </w:tc>
              <w:tc>
                <w:tcPr>
                  <w:tcW w:w="1454" w:type="pct"/>
                  <w:noWrap w:val="0"/>
                  <w:vAlign w:val="center"/>
                </w:tcPr>
                <w:p w14:paraId="1700E4C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7263.47</w:t>
                  </w:r>
                </w:p>
              </w:tc>
            </w:tr>
            <w:tr w14:paraId="5F0F2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pct"/>
                  <w:vMerge w:val="restart"/>
                  <w:noWrap w:val="0"/>
                  <w:vAlign w:val="center"/>
                </w:tcPr>
                <w:p w14:paraId="3B9FC717">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米172-08</w:t>
                  </w:r>
                </w:p>
              </w:tc>
              <w:tc>
                <w:tcPr>
                  <w:tcW w:w="1480" w:type="pct"/>
                  <w:shd w:val="clear" w:color="auto" w:fill="auto"/>
                  <w:noWrap w:val="0"/>
                  <w:vAlign w:val="center"/>
                </w:tcPr>
                <w:p w14:paraId="1234260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优先保护单元</w:t>
                  </w:r>
                </w:p>
              </w:tc>
              <w:tc>
                <w:tcPr>
                  <w:tcW w:w="1391" w:type="pct"/>
                  <w:noWrap w:val="0"/>
                  <w:vAlign w:val="center"/>
                </w:tcPr>
                <w:p w14:paraId="230473F1">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是</w:t>
                  </w:r>
                </w:p>
              </w:tc>
              <w:tc>
                <w:tcPr>
                  <w:tcW w:w="1454" w:type="pct"/>
                  <w:noWrap w:val="0"/>
                  <w:vAlign w:val="center"/>
                </w:tcPr>
                <w:p w14:paraId="43B9AEF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17915.36</w:t>
                  </w:r>
                </w:p>
              </w:tc>
            </w:tr>
            <w:tr w14:paraId="1D0A1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pct"/>
                  <w:vMerge w:val="continue"/>
                  <w:noWrap w:val="0"/>
                  <w:vAlign w:val="center"/>
                </w:tcPr>
                <w:p w14:paraId="25D7074F">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14:textFill>
                        <w14:solidFill>
                          <w14:schemeClr w14:val="tx1"/>
                        </w14:solidFill>
                      </w14:textFill>
                    </w:rPr>
                  </w:pPr>
                </w:p>
              </w:tc>
              <w:tc>
                <w:tcPr>
                  <w:tcW w:w="1480" w:type="pct"/>
                  <w:shd w:val="clear" w:color="auto" w:fill="auto"/>
                  <w:noWrap w:val="0"/>
                  <w:vAlign w:val="center"/>
                </w:tcPr>
                <w:p w14:paraId="084602F5">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重点管控单元</w:t>
                  </w:r>
                </w:p>
              </w:tc>
              <w:tc>
                <w:tcPr>
                  <w:tcW w:w="1391" w:type="pct"/>
                  <w:noWrap w:val="0"/>
                  <w:vAlign w:val="center"/>
                </w:tcPr>
                <w:p w14:paraId="7CEBA0EF">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否</w:t>
                  </w:r>
                </w:p>
              </w:tc>
              <w:tc>
                <w:tcPr>
                  <w:tcW w:w="1454" w:type="pct"/>
                  <w:noWrap w:val="0"/>
                  <w:vAlign w:val="center"/>
                </w:tcPr>
                <w:p w14:paraId="7EFF168B">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0</w:t>
                  </w:r>
                </w:p>
              </w:tc>
            </w:tr>
            <w:tr w14:paraId="733BA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3" w:type="pct"/>
                  <w:vMerge w:val="continue"/>
                  <w:noWrap w:val="0"/>
                  <w:vAlign w:val="center"/>
                </w:tcPr>
                <w:p w14:paraId="60663677">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14:textFill>
                        <w14:solidFill>
                          <w14:schemeClr w14:val="tx1"/>
                        </w14:solidFill>
                      </w14:textFill>
                    </w:rPr>
                  </w:pPr>
                </w:p>
              </w:tc>
              <w:tc>
                <w:tcPr>
                  <w:tcW w:w="1480" w:type="pct"/>
                  <w:shd w:val="clear" w:color="auto" w:fill="auto"/>
                  <w:noWrap w:val="0"/>
                  <w:vAlign w:val="center"/>
                </w:tcPr>
                <w:p w14:paraId="49AB7525">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一般管控单元</w:t>
                  </w:r>
                </w:p>
              </w:tc>
              <w:tc>
                <w:tcPr>
                  <w:tcW w:w="1391" w:type="pct"/>
                  <w:noWrap w:val="0"/>
                  <w:vAlign w:val="center"/>
                </w:tcPr>
                <w:p w14:paraId="0DE6034C">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否</w:t>
                  </w:r>
                </w:p>
              </w:tc>
              <w:tc>
                <w:tcPr>
                  <w:tcW w:w="1454" w:type="pct"/>
                  <w:noWrap w:val="0"/>
                  <w:vAlign w:val="center"/>
                </w:tcPr>
                <w:p w14:paraId="0429C870">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0</w:t>
                  </w:r>
                </w:p>
              </w:tc>
            </w:tr>
          </w:tbl>
          <w:p w14:paraId="5FD19B3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备注：由于坐标系差异导致“三线一单”比对结果同“多规合一”存在8.53m</w:t>
            </w:r>
            <w:r>
              <w:rPr>
                <w:rFonts w:hint="eastAsia"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差异。</w:t>
            </w:r>
          </w:p>
          <w:p w14:paraId="4C314D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表1-</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6</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 xml:space="preserve"> 本项目与“三线一单”符合性分析</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9"/>
              <w:gridCol w:w="5230"/>
              <w:gridCol w:w="953"/>
            </w:tblGrid>
            <w:tr w14:paraId="710DE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center"/>
                </w:tcPr>
                <w:p w14:paraId="6A15B9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“三线一单”</w:t>
                  </w:r>
                </w:p>
              </w:tc>
              <w:tc>
                <w:tcPr>
                  <w:tcW w:w="3346" w:type="pct"/>
                  <w:vAlign w:val="center"/>
                </w:tcPr>
                <w:p w14:paraId="6087D7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本项目</w:t>
                  </w:r>
                </w:p>
              </w:tc>
              <w:tc>
                <w:tcPr>
                  <w:tcW w:w="610" w:type="pct"/>
                  <w:vAlign w:val="center"/>
                </w:tcPr>
                <w:p w14:paraId="2B24C0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相符性</w:t>
                  </w:r>
                </w:p>
              </w:tc>
            </w:tr>
            <w:tr w14:paraId="253F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center"/>
                </w:tcPr>
                <w:p w14:paraId="3E8A73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生态保护红线</w:t>
                  </w:r>
                </w:p>
              </w:tc>
              <w:tc>
                <w:tcPr>
                  <w:tcW w:w="3346" w:type="pct"/>
                  <w:vAlign w:val="center"/>
                </w:tcPr>
                <w:p w14:paraId="1C373E6C">
                  <w:pPr>
                    <w:keepNext w:val="0"/>
                    <w:keepLines w:val="0"/>
                    <w:widowControl/>
                    <w:suppressLineNumbers w:val="0"/>
                    <w:jc w:val="left"/>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根据《榆林市投资项目选址“一张图”控制线检测报告》及现场调查结果，本项目各个井场</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周围无特殊重要生态功能区，不涉及自然保护区、饮用水源保护区、风景名胜区等环境敏感区域，本项目不涉及生态红线。</w:t>
                  </w:r>
                </w:p>
              </w:tc>
              <w:tc>
                <w:tcPr>
                  <w:tcW w:w="610" w:type="pct"/>
                  <w:vAlign w:val="center"/>
                </w:tcPr>
                <w:p w14:paraId="0AE838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2782B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center"/>
                </w:tcPr>
                <w:p w14:paraId="5877D2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环境质量底线</w:t>
                  </w:r>
                </w:p>
              </w:tc>
              <w:tc>
                <w:tcPr>
                  <w:tcW w:w="3346" w:type="pct"/>
                  <w:vAlign w:val="center"/>
                </w:tcPr>
                <w:p w14:paraId="04A32471">
                  <w:pPr>
                    <w:keepNext w:val="0"/>
                    <w:keepLines w:val="0"/>
                    <w:widowControl/>
                    <w:suppressLineNumbers w:val="0"/>
                    <w:jc w:val="left"/>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根据陕西省环保厅发布的全省环保快报可知，</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202</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年佳县空气中臭氧超标，属于环境空气质量不达标区。本项目施工期较短，施工过程中采用电驱动，不产生废气，污废水不外排，废水收集罐四周及池底均做了防渗处理。因此，不会改变区域地表水、地下水的功能，项目的建设符合榆林市的环境质量底线要求。</w:t>
                  </w:r>
                </w:p>
              </w:tc>
              <w:tc>
                <w:tcPr>
                  <w:tcW w:w="610" w:type="pct"/>
                  <w:vAlign w:val="center"/>
                </w:tcPr>
                <w:p w14:paraId="14C945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3689C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center"/>
                </w:tcPr>
                <w:p w14:paraId="5DE1FE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资源利用上线</w:t>
                  </w:r>
                </w:p>
              </w:tc>
              <w:tc>
                <w:tcPr>
                  <w:tcW w:w="3346" w:type="pct"/>
                  <w:vAlign w:val="center"/>
                </w:tcPr>
                <w:p w14:paraId="44BCF70A">
                  <w:pPr>
                    <w:keepNext w:val="0"/>
                    <w:keepLines w:val="0"/>
                    <w:widowControl/>
                    <w:suppressLineNumbers w:val="0"/>
                    <w:jc w:val="left"/>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本项目4个井场为非生产类项目，不涉及资源利用，不触及榆林市资源利用上线。</w:t>
                  </w:r>
                </w:p>
              </w:tc>
              <w:tc>
                <w:tcPr>
                  <w:tcW w:w="610" w:type="pct"/>
                  <w:vAlign w:val="center"/>
                </w:tcPr>
                <w:p w14:paraId="3D758D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4B94E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center"/>
                </w:tcPr>
                <w:p w14:paraId="1F8C41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环境准入负面清单</w:t>
                  </w:r>
                </w:p>
              </w:tc>
              <w:tc>
                <w:tcPr>
                  <w:tcW w:w="3346" w:type="pct"/>
                  <w:vAlign w:val="center"/>
                </w:tcPr>
                <w:p w14:paraId="49409DAF">
                  <w:pPr>
                    <w:keepNext w:val="0"/>
                    <w:keepLines w:val="0"/>
                    <w:widowControl/>
                    <w:suppressLineNumbers w:val="0"/>
                    <w:jc w:val="left"/>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本项目符合国家产业政策，工程位于榆林市佳县，不属于《陕西省国家重点生态功能区产业准入负面清单(试行)》(陕发改规划〔</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2018</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 xml:space="preserve">213 </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号)中重点生态功能区，不属于《榆林市生态环境准入清单（</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2023</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年）》中禁止建设类活动。</w:t>
                  </w:r>
                </w:p>
              </w:tc>
              <w:tc>
                <w:tcPr>
                  <w:tcW w:w="610" w:type="pct"/>
                  <w:vAlign w:val="center"/>
                </w:tcPr>
                <w:p w14:paraId="47B90A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bl>
          <w:p w14:paraId="1AD2FF6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p w14:paraId="531CE01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表1-</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7</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米37-14M、米172-06、米172-07井场</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与榆林市生态环境分区管控准入要求符合性分析表</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461"/>
              <w:gridCol w:w="461"/>
              <w:gridCol w:w="461"/>
              <w:gridCol w:w="461"/>
              <w:gridCol w:w="3746"/>
              <w:gridCol w:w="1138"/>
              <w:gridCol w:w="463"/>
            </w:tblGrid>
            <w:tr w14:paraId="5200E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7" w:type="pct"/>
                  <w:noWrap w:val="0"/>
                  <w:vAlign w:val="center"/>
                </w:tcPr>
                <w:p w14:paraId="62369431">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1"/>
                      <w:szCs w:val="21"/>
                      <w:vertAlign w:val="baseline"/>
                      <w:lang w:val="en-US" w:eastAsia="zh-CN"/>
                      <w14:textFill>
                        <w14:solidFill>
                          <w14:schemeClr w14:val="tx1"/>
                        </w14:solidFill>
                      </w14:textFill>
                    </w:rPr>
                    <w:t>环境管控单元</w:t>
                  </w:r>
                </w:p>
              </w:tc>
              <w:tc>
                <w:tcPr>
                  <w:tcW w:w="295" w:type="pct"/>
                  <w:noWrap w:val="0"/>
                  <w:vAlign w:val="center"/>
                </w:tcPr>
                <w:p w14:paraId="0B439D63">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z w:val="21"/>
                      <w:szCs w:val="21"/>
                      <w:vertAlign w:val="baseline"/>
                      <w:lang w:val="en-US" w:eastAsia="zh-CN"/>
                      <w14:textFill>
                        <w14:solidFill>
                          <w14:schemeClr w14:val="tx1"/>
                        </w14:solidFill>
                      </w14:textFill>
                    </w:rPr>
                    <w:t>区县</w:t>
                  </w:r>
                </w:p>
              </w:tc>
              <w:tc>
                <w:tcPr>
                  <w:tcW w:w="295" w:type="pct"/>
                  <w:noWrap w:val="0"/>
                  <w:vAlign w:val="center"/>
                </w:tcPr>
                <w:p w14:paraId="64395090">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z w:val="21"/>
                      <w:szCs w:val="21"/>
                      <w:vertAlign w:val="baseline"/>
                      <w:lang w:val="en-US" w:eastAsia="zh-CN"/>
                      <w14:textFill>
                        <w14:solidFill>
                          <w14:schemeClr w14:val="tx1"/>
                        </w14:solidFill>
                      </w14:textFill>
                    </w:rPr>
                    <w:t>市区</w:t>
                  </w:r>
                </w:p>
              </w:tc>
              <w:tc>
                <w:tcPr>
                  <w:tcW w:w="295" w:type="pct"/>
                  <w:noWrap w:val="0"/>
                  <w:vAlign w:val="center"/>
                </w:tcPr>
                <w:p w14:paraId="267CED1D">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z w:val="21"/>
                      <w:szCs w:val="21"/>
                      <w:vertAlign w:val="baseline"/>
                      <w:lang w:val="en-US" w:eastAsia="zh-CN"/>
                      <w14:textFill>
                        <w14:solidFill>
                          <w14:schemeClr w14:val="tx1"/>
                        </w14:solidFill>
                      </w14:textFill>
                    </w:rPr>
                    <w:t>单元要素属性</w:t>
                  </w:r>
                </w:p>
              </w:tc>
              <w:tc>
                <w:tcPr>
                  <w:tcW w:w="295" w:type="pct"/>
                  <w:noWrap w:val="0"/>
                  <w:vAlign w:val="center"/>
                </w:tcPr>
                <w:p w14:paraId="5FCB4B01">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1"/>
                      <w:szCs w:val="21"/>
                      <w:vertAlign w:val="baseline"/>
                      <w:lang w:val="en-US" w:eastAsia="zh-CN"/>
                      <w14:textFill>
                        <w14:solidFill>
                          <w14:schemeClr w14:val="tx1"/>
                        </w14:solidFill>
                      </w14:textFill>
                    </w:rPr>
                    <w:t>管控要求分类</w:t>
                  </w:r>
                </w:p>
              </w:tc>
              <w:tc>
                <w:tcPr>
                  <w:tcW w:w="2397" w:type="pct"/>
                  <w:noWrap w:val="0"/>
                  <w:vAlign w:val="center"/>
                </w:tcPr>
                <w:p w14:paraId="47A5F2F0">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1"/>
                      <w:szCs w:val="21"/>
                      <w:vertAlign w:val="baseline"/>
                      <w:lang w:val="en-US" w:eastAsia="zh-CN"/>
                      <w14:textFill>
                        <w14:solidFill>
                          <w14:schemeClr w14:val="tx1"/>
                        </w14:solidFill>
                      </w14:textFill>
                    </w:rPr>
                    <w:t>管控要求</w:t>
                  </w:r>
                </w:p>
              </w:tc>
              <w:tc>
                <w:tcPr>
                  <w:tcW w:w="728" w:type="pct"/>
                  <w:noWrap w:val="0"/>
                  <w:vAlign w:val="center"/>
                </w:tcPr>
                <w:p w14:paraId="1EA96927">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1"/>
                      <w:szCs w:val="21"/>
                      <w:vertAlign w:val="baseline"/>
                      <w:lang w:val="en-US" w:eastAsia="zh-CN"/>
                      <w14:textFill>
                        <w14:solidFill>
                          <w14:schemeClr w14:val="tx1"/>
                        </w14:solidFill>
                      </w14:textFill>
                    </w:rPr>
                    <w:t>本项目</w:t>
                  </w:r>
                </w:p>
              </w:tc>
              <w:tc>
                <w:tcPr>
                  <w:tcW w:w="296" w:type="pct"/>
                  <w:noWrap w:val="0"/>
                  <w:vAlign w:val="center"/>
                </w:tcPr>
                <w:p w14:paraId="2365402D">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1"/>
                      <w:szCs w:val="21"/>
                      <w:vertAlign w:val="baseline"/>
                      <w:lang w:val="en-US" w:eastAsia="zh-CN"/>
                      <w14:textFill>
                        <w14:solidFill>
                          <w14:schemeClr w14:val="tx1"/>
                        </w14:solidFill>
                      </w14:textFill>
                    </w:rPr>
                    <w:t>符合性</w:t>
                  </w:r>
                </w:p>
              </w:tc>
            </w:tr>
            <w:tr w14:paraId="56627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7" w:type="pct"/>
                  <w:vMerge w:val="restart"/>
                  <w:noWrap w:val="0"/>
                  <w:vAlign w:val="center"/>
                </w:tcPr>
                <w:p w14:paraId="265527EC">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陕西省榆林市</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佳县一般</w:t>
                  </w: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管控单元</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1</w:t>
                  </w:r>
                </w:p>
              </w:tc>
              <w:tc>
                <w:tcPr>
                  <w:tcW w:w="295" w:type="pct"/>
                  <w:vMerge w:val="restart"/>
                  <w:noWrap w:val="0"/>
                  <w:vAlign w:val="center"/>
                </w:tcPr>
                <w:p w14:paraId="3283E89A">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榆林市</w:t>
                  </w:r>
                </w:p>
              </w:tc>
              <w:tc>
                <w:tcPr>
                  <w:tcW w:w="295" w:type="pct"/>
                  <w:vMerge w:val="restart"/>
                  <w:noWrap w:val="0"/>
                  <w:vAlign w:val="center"/>
                </w:tcPr>
                <w:p w14:paraId="7D4CE047">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佳县</w:t>
                  </w:r>
                </w:p>
              </w:tc>
              <w:tc>
                <w:tcPr>
                  <w:tcW w:w="295" w:type="pct"/>
                  <w:vMerge w:val="restart"/>
                  <w:noWrap w:val="0"/>
                  <w:vAlign w:val="center"/>
                </w:tcPr>
                <w:p w14:paraId="01F6EF13">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无</w:t>
                  </w:r>
                </w:p>
              </w:tc>
              <w:tc>
                <w:tcPr>
                  <w:tcW w:w="295" w:type="pct"/>
                  <w:noWrap w:val="0"/>
                  <w:vAlign w:val="center"/>
                </w:tcPr>
                <w:p w14:paraId="23841B8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空间布局约束</w:t>
                  </w:r>
                </w:p>
              </w:tc>
              <w:tc>
                <w:tcPr>
                  <w:tcW w:w="2397" w:type="pct"/>
                  <w:noWrap w:val="0"/>
                  <w:vAlign w:val="center"/>
                </w:tcPr>
                <w:p w14:paraId="3AD64CC4">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1.执行榆林市生态环境要素分区总体准入清单中“6.1 一般管控单元总体要求”准入要求。</w:t>
                  </w:r>
                </w:p>
                <w:p w14:paraId="2BC2E59E">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2.农用地优先保护区执行榆林市生态环境要素分区总体准入清单中“4.2农用地优先保护区”准入要求。</w:t>
                  </w:r>
                </w:p>
                <w:p w14:paraId="7869ABB3">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3.江河湖库岸线优先保护区执行榆林市生态环境要素分区总体准入清</w:t>
                  </w:r>
                </w:p>
                <w:p w14:paraId="21DA7E2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单中“4.3 江河湖库岸线优先保护区”准入要求。</w:t>
                  </w:r>
                </w:p>
                <w:p w14:paraId="2B86DBAB">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4.荒漠化沙化土地优先保护区执行榆林市生态环境要素分区总体准入</w:t>
                  </w:r>
                </w:p>
                <w:p w14:paraId="5BBAA30D">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清单中“4.4 荒漠化沙化土地优先保护区”准入要求。</w:t>
                  </w:r>
                </w:p>
                <w:p w14:paraId="213A48CF">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5.江河湖库岸线重点管控区执行榆林市生态环境要素分区总体准入清</w:t>
                  </w:r>
                </w:p>
                <w:p w14:paraId="77A78E43">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单中“5.14 江河湖库岸线重点管控区”中的“空间布局约束”准入要求</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728" w:type="pct"/>
                  <w:noWrap w:val="0"/>
                  <w:vAlign w:val="center"/>
                </w:tcPr>
                <w:p w14:paraId="4247D6C5">
                  <w:pPr>
                    <w:pStyle w:val="7"/>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1、</w:t>
                  </w: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本项目属于天然气</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评价井钻井</w:t>
                  </w: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项目，</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位于一般管控单元内；2、本项目不涉及农用地优先保护区；3、本项目不涉及</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江河湖库岸线优先保护区</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；4、本项目位于黄土（丘陵）覆沙治理区，本次提出了防沙治沙相关要求；5、本项目不涉及</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江河湖库岸线重点管控区</w:t>
                  </w:r>
                </w:p>
              </w:tc>
              <w:tc>
                <w:tcPr>
                  <w:tcW w:w="296" w:type="pct"/>
                  <w:noWrap w:val="0"/>
                  <w:vAlign w:val="center"/>
                </w:tcPr>
                <w:p w14:paraId="5BBDC993">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43CC1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397" w:type="pct"/>
                  <w:vMerge w:val="continue"/>
                  <w:noWrap w:val="0"/>
                  <w:vAlign w:val="center"/>
                </w:tcPr>
                <w:p w14:paraId="69D812DC">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14:textFill>
                        <w14:solidFill>
                          <w14:schemeClr w14:val="tx1"/>
                        </w14:solidFill>
                      </w14:textFill>
                    </w:rPr>
                  </w:pPr>
                </w:p>
              </w:tc>
              <w:tc>
                <w:tcPr>
                  <w:tcW w:w="295" w:type="pct"/>
                  <w:vMerge w:val="continue"/>
                  <w:noWrap w:val="0"/>
                  <w:vAlign w:val="center"/>
                </w:tcPr>
                <w:p w14:paraId="67CB8AC9">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14:textFill>
                        <w14:solidFill>
                          <w14:schemeClr w14:val="tx1"/>
                        </w14:solidFill>
                      </w14:textFill>
                    </w:rPr>
                  </w:pPr>
                </w:p>
              </w:tc>
              <w:tc>
                <w:tcPr>
                  <w:tcW w:w="295" w:type="pct"/>
                  <w:vMerge w:val="continue"/>
                  <w:noWrap w:val="0"/>
                  <w:vAlign w:val="center"/>
                </w:tcPr>
                <w:p w14:paraId="47FA870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p>
              </w:tc>
              <w:tc>
                <w:tcPr>
                  <w:tcW w:w="295" w:type="pct"/>
                  <w:vMerge w:val="continue"/>
                  <w:noWrap w:val="0"/>
                  <w:vAlign w:val="center"/>
                </w:tcPr>
                <w:p w14:paraId="0FF74A39">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p>
              </w:tc>
              <w:tc>
                <w:tcPr>
                  <w:tcW w:w="295" w:type="pct"/>
                  <w:noWrap w:val="0"/>
                  <w:vAlign w:val="center"/>
                </w:tcPr>
                <w:p w14:paraId="60EF6A0C">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污染物排放管控</w:t>
                  </w:r>
                </w:p>
              </w:tc>
              <w:tc>
                <w:tcPr>
                  <w:tcW w:w="2397" w:type="pct"/>
                  <w:noWrap w:val="0"/>
                  <w:vAlign w:val="center"/>
                </w:tcPr>
                <w:p w14:paraId="30BBB195">
                  <w:pPr>
                    <w:keepNext w:val="0"/>
                    <w:keepLines w:val="0"/>
                    <w:widowControl/>
                    <w:suppressLineNumbers w:val="0"/>
                    <w:jc w:val="center"/>
                    <w:rPr>
                      <w:rFonts w:hint="default" w:ascii="Times New Roman" w:hAnsi="Times New Roman" w:cs="Times New Roman"/>
                      <w:bCs/>
                      <w:color w:val="000000" w:themeColor="text1"/>
                      <w:sz w:val="21"/>
                      <w:szCs w:val="21"/>
                      <w:vertAlign w:val="baseline"/>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728" w:type="pct"/>
                  <w:noWrap w:val="0"/>
                  <w:vAlign w:val="center"/>
                </w:tcPr>
                <w:p w14:paraId="20553C51">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w:t>
                  </w:r>
                </w:p>
              </w:tc>
              <w:tc>
                <w:tcPr>
                  <w:tcW w:w="296" w:type="pct"/>
                  <w:noWrap w:val="0"/>
                  <w:vAlign w:val="center"/>
                </w:tcPr>
                <w:p w14:paraId="458746A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w:t>
                  </w:r>
                </w:p>
              </w:tc>
            </w:tr>
            <w:tr w14:paraId="20F9B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397" w:type="pct"/>
                  <w:vMerge w:val="continue"/>
                  <w:noWrap w:val="0"/>
                  <w:vAlign w:val="center"/>
                </w:tcPr>
                <w:p w14:paraId="0FFF58A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14:textFill>
                        <w14:solidFill>
                          <w14:schemeClr w14:val="tx1"/>
                        </w14:solidFill>
                      </w14:textFill>
                    </w:rPr>
                  </w:pPr>
                </w:p>
              </w:tc>
              <w:tc>
                <w:tcPr>
                  <w:tcW w:w="295" w:type="pct"/>
                  <w:vMerge w:val="continue"/>
                  <w:noWrap w:val="0"/>
                  <w:vAlign w:val="center"/>
                </w:tcPr>
                <w:p w14:paraId="09A9F764">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14:textFill>
                        <w14:solidFill>
                          <w14:schemeClr w14:val="tx1"/>
                        </w14:solidFill>
                      </w14:textFill>
                    </w:rPr>
                  </w:pPr>
                </w:p>
              </w:tc>
              <w:tc>
                <w:tcPr>
                  <w:tcW w:w="295" w:type="pct"/>
                  <w:vMerge w:val="continue"/>
                  <w:noWrap w:val="0"/>
                  <w:vAlign w:val="center"/>
                </w:tcPr>
                <w:p w14:paraId="0F576875">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p>
              </w:tc>
              <w:tc>
                <w:tcPr>
                  <w:tcW w:w="295" w:type="pct"/>
                  <w:vMerge w:val="continue"/>
                  <w:noWrap w:val="0"/>
                  <w:vAlign w:val="center"/>
                </w:tcPr>
                <w:p w14:paraId="66937CCD">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p>
              </w:tc>
              <w:tc>
                <w:tcPr>
                  <w:tcW w:w="295" w:type="pct"/>
                  <w:noWrap w:val="0"/>
                  <w:vAlign w:val="center"/>
                </w:tcPr>
                <w:p w14:paraId="7B25234F">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环境风险防控</w:t>
                  </w:r>
                </w:p>
              </w:tc>
              <w:tc>
                <w:tcPr>
                  <w:tcW w:w="2397" w:type="pct"/>
                  <w:noWrap w:val="0"/>
                  <w:vAlign w:val="center"/>
                </w:tcPr>
                <w:p w14:paraId="7B8BC021">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w:t>
                  </w:r>
                </w:p>
              </w:tc>
              <w:tc>
                <w:tcPr>
                  <w:tcW w:w="728" w:type="pct"/>
                  <w:noWrap w:val="0"/>
                  <w:vAlign w:val="center"/>
                </w:tcPr>
                <w:p w14:paraId="3CB933D9">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w:t>
                  </w:r>
                </w:p>
              </w:tc>
              <w:tc>
                <w:tcPr>
                  <w:tcW w:w="296" w:type="pct"/>
                  <w:noWrap w:val="0"/>
                  <w:vAlign w:val="center"/>
                </w:tcPr>
                <w:p w14:paraId="20F9EF9A">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w:t>
                  </w:r>
                </w:p>
              </w:tc>
            </w:tr>
            <w:tr w14:paraId="7B729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8" w:hRule="atLeast"/>
              </w:trPr>
              <w:tc>
                <w:tcPr>
                  <w:tcW w:w="397" w:type="pct"/>
                  <w:vMerge w:val="continue"/>
                  <w:noWrap w:val="0"/>
                  <w:vAlign w:val="center"/>
                </w:tcPr>
                <w:p w14:paraId="34EA1850">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14:textFill>
                        <w14:solidFill>
                          <w14:schemeClr w14:val="tx1"/>
                        </w14:solidFill>
                      </w14:textFill>
                    </w:rPr>
                  </w:pPr>
                </w:p>
              </w:tc>
              <w:tc>
                <w:tcPr>
                  <w:tcW w:w="295" w:type="pct"/>
                  <w:vMerge w:val="continue"/>
                  <w:noWrap w:val="0"/>
                  <w:vAlign w:val="center"/>
                </w:tcPr>
                <w:p w14:paraId="56225F0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14:textFill>
                        <w14:solidFill>
                          <w14:schemeClr w14:val="tx1"/>
                        </w14:solidFill>
                      </w14:textFill>
                    </w:rPr>
                  </w:pPr>
                </w:p>
              </w:tc>
              <w:tc>
                <w:tcPr>
                  <w:tcW w:w="295" w:type="pct"/>
                  <w:vMerge w:val="continue"/>
                  <w:noWrap w:val="0"/>
                  <w:vAlign w:val="center"/>
                </w:tcPr>
                <w:p w14:paraId="6C14130E">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p>
              </w:tc>
              <w:tc>
                <w:tcPr>
                  <w:tcW w:w="295" w:type="pct"/>
                  <w:vMerge w:val="continue"/>
                  <w:noWrap w:val="0"/>
                  <w:vAlign w:val="center"/>
                </w:tcPr>
                <w:p w14:paraId="64E1BDE3">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p>
              </w:tc>
              <w:tc>
                <w:tcPr>
                  <w:tcW w:w="295" w:type="pct"/>
                  <w:noWrap w:val="0"/>
                  <w:vAlign w:val="center"/>
                </w:tcPr>
                <w:p w14:paraId="33F91982">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资源开发效率要求</w:t>
                  </w:r>
                </w:p>
              </w:tc>
              <w:tc>
                <w:tcPr>
                  <w:tcW w:w="2397" w:type="pct"/>
                  <w:noWrap w:val="0"/>
                  <w:vAlign w:val="center"/>
                </w:tcPr>
                <w:p w14:paraId="59EDA6B2">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w:t>
                  </w:r>
                </w:p>
              </w:tc>
              <w:tc>
                <w:tcPr>
                  <w:tcW w:w="728" w:type="pct"/>
                  <w:noWrap w:val="0"/>
                  <w:vAlign w:val="center"/>
                </w:tcPr>
                <w:p w14:paraId="3BE9B9AF">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w:t>
                  </w:r>
                </w:p>
              </w:tc>
              <w:tc>
                <w:tcPr>
                  <w:tcW w:w="296" w:type="pct"/>
                  <w:noWrap w:val="0"/>
                  <w:vAlign w:val="center"/>
                </w:tcPr>
                <w:p w14:paraId="1A0699CF">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w:t>
                  </w:r>
                </w:p>
              </w:tc>
            </w:tr>
          </w:tbl>
          <w:p w14:paraId="7B3B7DE8">
            <w:pPr>
              <w:pStyle w:val="7"/>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表1-</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8</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米172-08井场</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与榆林市生态环境分区管控准入要求符合性分析表</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461"/>
              <w:gridCol w:w="461"/>
              <w:gridCol w:w="461"/>
              <w:gridCol w:w="461"/>
              <w:gridCol w:w="3746"/>
              <w:gridCol w:w="1138"/>
              <w:gridCol w:w="463"/>
            </w:tblGrid>
            <w:tr w14:paraId="3B07C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7" w:type="pct"/>
                  <w:noWrap w:val="0"/>
                  <w:vAlign w:val="center"/>
                </w:tcPr>
                <w:p w14:paraId="2F97FAB1">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1"/>
                      <w:szCs w:val="21"/>
                      <w:vertAlign w:val="baseline"/>
                      <w:lang w:val="en-US" w:eastAsia="zh-CN"/>
                      <w14:textFill>
                        <w14:solidFill>
                          <w14:schemeClr w14:val="tx1"/>
                        </w14:solidFill>
                      </w14:textFill>
                    </w:rPr>
                    <w:t>环境管控单元</w:t>
                  </w:r>
                </w:p>
              </w:tc>
              <w:tc>
                <w:tcPr>
                  <w:tcW w:w="295" w:type="pct"/>
                  <w:noWrap w:val="0"/>
                  <w:vAlign w:val="center"/>
                </w:tcPr>
                <w:p w14:paraId="466F0D0D">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z w:val="21"/>
                      <w:szCs w:val="21"/>
                      <w:vertAlign w:val="baseline"/>
                      <w:lang w:val="en-US" w:eastAsia="zh-CN"/>
                      <w14:textFill>
                        <w14:solidFill>
                          <w14:schemeClr w14:val="tx1"/>
                        </w14:solidFill>
                      </w14:textFill>
                    </w:rPr>
                    <w:t>区县</w:t>
                  </w:r>
                </w:p>
              </w:tc>
              <w:tc>
                <w:tcPr>
                  <w:tcW w:w="295" w:type="pct"/>
                  <w:noWrap w:val="0"/>
                  <w:vAlign w:val="center"/>
                </w:tcPr>
                <w:p w14:paraId="0DE2D539">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z w:val="21"/>
                      <w:szCs w:val="21"/>
                      <w:vertAlign w:val="baseline"/>
                      <w:lang w:val="en-US" w:eastAsia="zh-CN"/>
                      <w14:textFill>
                        <w14:solidFill>
                          <w14:schemeClr w14:val="tx1"/>
                        </w14:solidFill>
                      </w14:textFill>
                    </w:rPr>
                    <w:t>市区</w:t>
                  </w:r>
                </w:p>
              </w:tc>
              <w:tc>
                <w:tcPr>
                  <w:tcW w:w="295" w:type="pct"/>
                  <w:noWrap w:val="0"/>
                  <w:vAlign w:val="center"/>
                </w:tcPr>
                <w:p w14:paraId="72F3F924">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val="0"/>
                      <w:color w:val="000000" w:themeColor="text1"/>
                      <w:sz w:val="21"/>
                      <w:szCs w:val="21"/>
                      <w:vertAlign w:val="baseline"/>
                      <w:lang w:val="en-US" w:eastAsia="zh-CN"/>
                      <w14:textFill>
                        <w14:solidFill>
                          <w14:schemeClr w14:val="tx1"/>
                        </w14:solidFill>
                      </w14:textFill>
                    </w:rPr>
                    <w:t>单元要素属性</w:t>
                  </w:r>
                </w:p>
              </w:tc>
              <w:tc>
                <w:tcPr>
                  <w:tcW w:w="295" w:type="pct"/>
                  <w:noWrap w:val="0"/>
                  <w:vAlign w:val="center"/>
                </w:tcPr>
                <w:p w14:paraId="197096C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1"/>
                      <w:szCs w:val="21"/>
                      <w:vertAlign w:val="baseline"/>
                      <w:lang w:val="en-US" w:eastAsia="zh-CN"/>
                      <w14:textFill>
                        <w14:solidFill>
                          <w14:schemeClr w14:val="tx1"/>
                        </w14:solidFill>
                      </w14:textFill>
                    </w:rPr>
                    <w:t>管控要求分类</w:t>
                  </w:r>
                </w:p>
              </w:tc>
              <w:tc>
                <w:tcPr>
                  <w:tcW w:w="2397" w:type="pct"/>
                  <w:noWrap w:val="0"/>
                  <w:vAlign w:val="center"/>
                </w:tcPr>
                <w:p w14:paraId="6985810A">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1"/>
                      <w:szCs w:val="21"/>
                      <w:vertAlign w:val="baseline"/>
                      <w:lang w:val="en-US" w:eastAsia="zh-CN"/>
                      <w14:textFill>
                        <w14:solidFill>
                          <w14:schemeClr w14:val="tx1"/>
                        </w14:solidFill>
                      </w14:textFill>
                    </w:rPr>
                    <w:t>管控要求</w:t>
                  </w:r>
                </w:p>
              </w:tc>
              <w:tc>
                <w:tcPr>
                  <w:tcW w:w="728" w:type="pct"/>
                  <w:noWrap w:val="0"/>
                  <w:vAlign w:val="center"/>
                </w:tcPr>
                <w:p w14:paraId="552F7D44">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1"/>
                      <w:szCs w:val="21"/>
                      <w:vertAlign w:val="baseline"/>
                      <w:lang w:val="en-US" w:eastAsia="zh-CN"/>
                      <w14:textFill>
                        <w14:solidFill>
                          <w14:schemeClr w14:val="tx1"/>
                        </w14:solidFill>
                      </w14:textFill>
                    </w:rPr>
                    <w:t>本项目</w:t>
                  </w:r>
                </w:p>
              </w:tc>
              <w:tc>
                <w:tcPr>
                  <w:tcW w:w="296" w:type="pct"/>
                  <w:noWrap w:val="0"/>
                  <w:vAlign w:val="center"/>
                </w:tcPr>
                <w:p w14:paraId="041B01C9">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1"/>
                      <w:szCs w:val="21"/>
                      <w:vertAlign w:val="baseline"/>
                      <w:lang w:val="en-US" w:eastAsia="zh-CN"/>
                      <w14:textFill>
                        <w14:solidFill>
                          <w14:schemeClr w14:val="tx1"/>
                        </w14:solidFill>
                      </w14:textFill>
                    </w:rPr>
                    <w:t>符合性</w:t>
                  </w:r>
                </w:p>
              </w:tc>
            </w:tr>
            <w:tr w14:paraId="3D17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7" w:type="pct"/>
                  <w:vMerge w:val="restart"/>
                  <w:noWrap w:val="0"/>
                  <w:vAlign w:val="center"/>
                </w:tcPr>
                <w:p w14:paraId="19C883DF">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陕西省榆林市</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佳县二级国家公益林</w:t>
                  </w:r>
                </w:p>
              </w:tc>
              <w:tc>
                <w:tcPr>
                  <w:tcW w:w="295" w:type="pct"/>
                  <w:vMerge w:val="restart"/>
                  <w:noWrap w:val="0"/>
                  <w:vAlign w:val="center"/>
                </w:tcPr>
                <w:p w14:paraId="3E0E3596">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榆林市</w:t>
                  </w:r>
                </w:p>
              </w:tc>
              <w:tc>
                <w:tcPr>
                  <w:tcW w:w="295" w:type="pct"/>
                  <w:vMerge w:val="restart"/>
                  <w:noWrap w:val="0"/>
                  <w:vAlign w:val="center"/>
                </w:tcPr>
                <w:p w14:paraId="667EF3FA">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佳县</w:t>
                  </w:r>
                </w:p>
              </w:tc>
              <w:tc>
                <w:tcPr>
                  <w:tcW w:w="295" w:type="pct"/>
                  <w:vMerge w:val="restart"/>
                  <w:noWrap w:val="0"/>
                  <w:vAlign w:val="center"/>
                </w:tcPr>
                <w:p w14:paraId="1AEE376F">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一般生态空间-国家二级公益林</w:t>
                  </w:r>
                </w:p>
              </w:tc>
              <w:tc>
                <w:tcPr>
                  <w:tcW w:w="295" w:type="pct"/>
                  <w:noWrap w:val="0"/>
                  <w:vAlign w:val="center"/>
                </w:tcPr>
                <w:p w14:paraId="34A0FB24">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空间布局约束</w:t>
                  </w:r>
                </w:p>
              </w:tc>
              <w:tc>
                <w:tcPr>
                  <w:tcW w:w="2397" w:type="pct"/>
                  <w:noWrap w:val="0"/>
                  <w:vAlign w:val="center"/>
                </w:tcPr>
                <w:p w14:paraId="19E8C07D">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bCs/>
                      <w:color w:val="000000" w:themeColor="text1"/>
                      <w:sz w:val="21"/>
                      <w:szCs w:val="21"/>
                      <w:vertAlign w:val="baseline"/>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一般生态空间：原则上按照限制开发区进行管理。功能属性单一、管控要求明确的一般生态空间，按照生态功能属性的既有规定实施管理；具有多重功能属性、且均有既有管理要求的一般生态空间，按照管控要求的严格程度，从严管理；尚未明确管理要求的一般生态空间，以保护为主，限制有损主导生态服务功能的开发建设活动。一般生态空间</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国家二级公益林：按照《国家级公益林管理办法》相关规定进行管控。</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二级国家级公益林在不影响整体森林生态系统功能发挥的前提下，可以按规定开展抚育和更新性质的采伐。在不破坏森林植被的前提下，可以合理利用其林地资源，适度开展林下种植养殖和森林游憩等非木质资源开发与利用，科学发展林下经济。</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国家级公益林的调出，以不影响整体生态功能、保持集中连片为原则，一经调出，不得再次申请补进</w:t>
                  </w:r>
                </w:p>
              </w:tc>
              <w:tc>
                <w:tcPr>
                  <w:tcW w:w="728" w:type="pct"/>
                  <w:noWrap w:val="0"/>
                  <w:vAlign w:val="center"/>
                </w:tcPr>
                <w:p w14:paraId="2385B861">
                  <w:pPr>
                    <w:pStyle w:val="7"/>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根据现场调查核实，本项目所占佳县国家二级公益林中林木数量较少，项目开工前需取得采伐许可证，办理林业相关手续，探井工程结束后对项目地进行生态恢复。</w:t>
                  </w:r>
                </w:p>
              </w:tc>
              <w:tc>
                <w:tcPr>
                  <w:tcW w:w="296" w:type="pct"/>
                  <w:noWrap w:val="0"/>
                  <w:vAlign w:val="center"/>
                </w:tcPr>
                <w:p w14:paraId="27A7DCD1">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符合</w:t>
                  </w:r>
                </w:p>
              </w:tc>
            </w:tr>
            <w:tr w14:paraId="7178E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397" w:type="pct"/>
                  <w:vMerge w:val="continue"/>
                  <w:noWrap w:val="0"/>
                  <w:vAlign w:val="center"/>
                </w:tcPr>
                <w:p w14:paraId="0107AE95">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14:textFill>
                        <w14:solidFill>
                          <w14:schemeClr w14:val="tx1"/>
                        </w14:solidFill>
                      </w14:textFill>
                    </w:rPr>
                  </w:pPr>
                </w:p>
              </w:tc>
              <w:tc>
                <w:tcPr>
                  <w:tcW w:w="295" w:type="pct"/>
                  <w:vMerge w:val="continue"/>
                  <w:noWrap w:val="0"/>
                  <w:vAlign w:val="center"/>
                </w:tcPr>
                <w:p w14:paraId="39E876C8">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14:textFill>
                        <w14:solidFill>
                          <w14:schemeClr w14:val="tx1"/>
                        </w14:solidFill>
                      </w14:textFill>
                    </w:rPr>
                  </w:pPr>
                </w:p>
              </w:tc>
              <w:tc>
                <w:tcPr>
                  <w:tcW w:w="295" w:type="pct"/>
                  <w:vMerge w:val="continue"/>
                  <w:noWrap w:val="0"/>
                  <w:vAlign w:val="center"/>
                </w:tcPr>
                <w:p w14:paraId="0A810E5A">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p>
              </w:tc>
              <w:tc>
                <w:tcPr>
                  <w:tcW w:w="295" w:type="pct"/>
                  <w:vMerge w:val="continue"/>
                  <w:noWrap w:val="0"/>
                  <w:vAlign w:val="center"/>
                </w:tcPr>
                <w:p w14:paraId="686AE66E">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p>
              </w:tc>
              <w:tc>
                <w:tcPr>
                  <w:tcW w:w="295" w:type="pct"/>
                  <w:noWrap w:val="0"/>
                  <w:vAlign w:val="center"/>
                </w:tcPr>
                <w:p w14:paraId="189B3C15">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污染物排放管控</w:t>
                  </w:r>
                </w:p>
              </w:tc>
              <w:tc>
                <w:tcPr>
                  <w:tcW w:w="2397" w:type="pct"/>
                  <w:noWrap w:val="0"/>
                  <w:vAlign w:val="center"/>
                </w:tcPr>
                <w:p w14:paraId="16E9C8E7">
                  <w:pPr>
                    <w:keepNext w:val="0"/>
                    <w:keepLines w:val="0"/>
                    <w:widowControl/>
                    <w:suppressLineNumbers w:val="0"/>
                    <w:jc w:val="center"/>
                    <w:rPr>
                      <w:rFonts w:hint="default" w:ascii="Times New Roman" w:hAnsi="Times New Roman" w:cs="Times New Roman"/>
                      <w:bCs/>
                      <w:color w:val="000000" w:themeColor="text1"/>
                      <w:sz w:val="21"/>
                      <w:szCs w:val="21"/>
                      <w:vertAlign w:val="baseline"/>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728" w:type="pct"/>
                  <w:noWrap w:val="0"/>
                  <w:vAlign w:val="center"/>
                </w:tcPr>
                <w:p w14:paraId="3400994E">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w:t>
                  </w:r>
                </w:p>
              </w:tc>
              <w:tc>
                <w:tcPr>
                  <w:tcW w:w="296" w:type="pct"/>
                  <w:noWrap w:val="0"/>
                  <w:vAlign w:val="center"/>
                </w:tcPr>
                <w:p w14:paraId="2BA36D47">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w:t>
                  </w:r>
                </w:p>
              </w:tc>
            </w:tr>
            <w:tr w14:paraId="62943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397" w:type="pct"/>
                  <w:vMerge w:val="continue"/>
                  <w:noWrap w:val="0"/>
                  <w:vAlign w:val="center"/>
                </w:tcPr>
                <w:p w14:paraId="593929B1">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14:textFill>
                        <w14:solidFill>
                          <w14:schemeClr w14:val="tx1"/>
                        </w14:solidFill>
                      </w14:textFill>
                    </w:rPr>
                  </w:pPr>
                </w:p>
              </w:tc>
              <w:tc>
                <w:tcPr>
                  <w:tcW w:w="295" w:type="pct"/>
                  <w:vMerge w:val="continue"/>
                  <w:noWrap w:val="0"/>
                  <w:vAlign w:val="center"/>
                </w:tcPr>
                <w:p w14:paraId="781EFFC9">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14:textFill>
                        <w14:solidFill>
                          <w14:schemeClr w14:val="tx1"/>
                        </w14:solidFill>
                      </w14:textFill>
                    </w:rPr>
                  </w:pPr>
                </w:p>
              </w:tc>
              <w:tc>
                <w:tcPr>
                  <w:tcW w:w="295" w:type="pct"/>
                  <w:vMerge w:val="continue"/>
                  <w:noWrap w:val="0"/>
                  <w:vAlign w:val="center"/>
                </w:tcPr>
                <w:p w14:paraId="09DB418B">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p>
              </w:tc>
              <w:tc>
                <w:tcPr>
                  <w:tcW w:w="295" w:type="pct"/>
                  <w:vMerge w:val="continue"/>
                  <w:noWrap w:val="0"/>
                  <w:vAlign w:val="center"/>
                </w:tcPr>
                <w:p w14:paraId="25202570">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p>
              </w:tc>
              <w:tc>
                <w:tcPr>
                  <w:tcW w:w="295" w:type="pct"/>
                  <w:noWrap w:val="0"/>
                  <w:vAlign w:val="center"/>
                </w:tcPr>
                <w:p w14:paraId="787CBECC">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环境风险防控</w:t>
                  </w:r>
                </w:p>
              </w:tc>
              <w:tc>
                <w:tcPr>
                  <w:tcW w:w="2397" w:type="pct"/>
                  <w:noWrap w:val="0"/>
                  <w:vAlign w:val="center"/>
                </w:tcPr>
                <w:p w14:paraId="67100715">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w:t>
                  </w:r>
                </w:p>
              </w:tc>
              <w:tc>
                <w:tcPr>
                  <w:tcW w:w="728" w:type="pct"/>
                  <w:noWrap w:val="0"/>
                  <w:vAlign w:val="center"/>
                </w:tcPr>
                <w:p w14:paraId="619C8B15">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w:t>
                  </w:r>
                </w:p>
              </w:tc>
              <w:tc>
                <w:tcPr>
                  <w:tcW w:w="296" w:type="pct"/>
                  <w:noWrap w:val="0"/>
                  <w:vAlign w:val="center"/>
                </w:tcPr>
                <w:p w14:paraId="07F5B87D">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w:t>
                  </w:r>
                </w:p>
              </w:tc>
            </w:tr>
            <w:tr w14:paraId="14273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8" w:hRule="atLeast"/>
              </w:trPr>
              <w:tc>
                <w:tcPr>
                  <w:tcW w:w="397" w:type="pct"/>
                  <w:vMerge w:val="continue"/>
                  <w:noWrap w:val="0"/>
                  <w:vAlign w:val="center"/>
                </w:tcPr>
                <w:p w14:paraId="1AEAFCCF">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14:textFill>
                        <w14:solidFill>
                          <w14:schemeClr w14:val="tx1"/>
                        </w14:solidFill>
                      </w14:textFill>
                    </w:rPr>
                  </w:pPr>
                </w:p>
              </w:tc>
              <w:tc>
                <w:tcPr>
                  <w:tcW w:w="295" w:type="pct"/>
                  <w:vMerge w:val="continue"/>
                  <w:noWrap w:val="0"/>
                  <w:vAlign w:val="center"/>
                </w:tcPr>
                <w:p w14:paraId="23DE3F2A">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14:textFill>
                        <w14:solidFill>
                          <w14:schemeClr w14:val="tx1"/>
                        </w14:solidFill>
                      </w14:textFill>
                    </w:rPr>
                  </w:pPr>
                </w:p>
              </w:tc>
              <w:tc>
                <w:tcPr>
                  <w:tcW w:w="295" w:type="pct"/>
                  <w:vMerge w:val="continue"/>
                  <w:noWrap w:val="0"/>
                  <w:vAlign w:val="center"/>
                </w:tcPr>
                <w:p w14:paraId="0A28688E">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p>
              </w:tc>
              <w:tc>
                <w:tcPr>
                  <w:tcW w:w="295" w:type="pct"/>
                  <w:vMerge w:val="continue"/>
                  <w:noWrap w:val="0"/>
                  <w:vAlign w:val="center"/>
                </w:tcPr>
                <w:p w14:paraId="44491942">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p>
              </w:tc>
              <w:tc>
                <w:tcPr>
                  <w:tcW w:w="295" w:type="pct"/>
                  <w:noWrap w:val="0"/>
                  <w:vAlign w:val="center"/>
                </w:tcPr>
                <w:p w14:paraId="01EF3F08">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资源开发效率要求</w:t>
                  </w:r>
                </w:p>
              </w:tc>
              <w:tc>
                <w:tcPr>
                  <w:tcW w:w="2397" w:type="pct"/>
                  <w:noWrap w:val="0"/>
                  <w:vAlign w:val="center"/>
                </w:tcPr>
                <w:p w14:paraId="3666633C">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w:t>
                  </w:r>
                </w:p>
              </w:tc>
              <w:tc>
                <w:tcPr>
                  <w:tcW w:w="728" w:type="pct"/>
                  <w:noWrap w:val="0"/>
                  <w:vAlign w:val="center"/>
                </w:tcPr>
                <w:p w14:paraId="787DBD8D">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w:t>
                  </w:r>
                </w:p>
              </w:tc>
              <w:tc>
                <w:tcPr>
                  <w:tcW w:w="296" w:type="pct"/>
                  <w:noWrap w:val="0"/>
                  <w:vAlign w:val="center"/>
                </w:tcPr>
                <w:p w14:paraId="669023A7">
                  <w:pPr>
                    <w:pStyle w:val="7"/>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1"/>
                      <w:szCs w:val="21"/>
                      <w:vertAlign w:val="baseline"/>
                      <w:lang w:val="en-US" w:eastAsia="zh-CN"/>
                      <w14:textFill>
                        <w14:solidFill>
                          <w14:schemeClr w14:val="tx1"/>
                        </w14:solidFill>
                      </w14:textFill>
                    </w:rPr>
                    <w:t>/</w:t>
                  </w:r>
                </w:p>
              </w:tc>
            </w:tr>
          </w:tbl>
          <w:p w14:paraId="085A1368">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③一说明</w:t>
            </w:r>
          </w:p>
          <w:p w14:paraId="3ECB47A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本项目位于榆林市“三线一单”生态环境分区中</w:t>
            </w:r>
            <w: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t>佳县一般</w:t>
            </w:r>
            <w:r>
              <w:rPr>
                <w:rFonts w:hint="default"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t>管控单元</w:t>
            </w:r>
            <w:r>
              <w:rPr>
                <w:rFonts w:hint="eastAsia" w:ascii="Times New Roman" w:hAnsi="Times New Roman" w:eastAsia="宋体" w:cs="Times New Roman"/>
                <w:bCs/>
                <w:color w:val="000000" w:themeColor="text1"/>
                <w:sz w:val="24"/>
                <w:szCs w:val="24"/>
                <w:highlight w:val="none"/>
                <w:vertAlign w:val="baseline"/>
                <w:lang w:val="en-US" w:eastAsia="zh-CN"/>
                <w14:textFill>
                  <w14:solidFill>
                    <w14:schemeClr w14:val="tx1"/>
                  </w14:solidFill>
                </w14:textFill>
              </w:rPr>
              <w:t>、优先保护单元（佳县国家二级公益林-一般生态空间）</w:t>
            </w:r>
            <w:r>
              <w:rPr>
                <w:rFonts w:hint="default" w:ascii="Times New Roman" w:hAnsi="Times New Roman" w:cs="Times New Roman"/>
                <w:bCs/>
                <w:color w:val="000000" w:themeColor="text1"/>
                <w:sz w:val="24"/>
                <w:szCs w:val="24"/>
                <w:highlight w:val="none"/>
                <w14:textFill>
                  <w14:solidFill>
                    <w14:schemeClr w14:val="tx1"/>
                  </w14:solidFill>
                </w14:textFill>
              </w:rPr>
              <w:t>，对照表</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1-5、</w:t>
            </w:r>
            <w:r>
              <w:rPr>
                <w:rFonts w:hint="default" w:ascii="Times New Roman" w:hAnsi="Times New Roman" w:cs="Times New Roman"/>
                <w:bCs/>
                <w:color w:val="000000" w:themeColor="text1"/>
                <w:sz w:val="24"/>
                <w:szCs w:val="24"/>
                <w:highlight w:val="none"/>
                <w14:textFill>
                  <w14:solidFill>
                    <w14:schemeClr w14:val="tx1"/>
                  </w14:solidFill>
                </w14:textFill>
              </w:rPr>
              <w:t>1-</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6</w:t>
            </w:r>
            <w:r>
              <w:rPr>
                <w:rFonts w:hint="default" w:ascii="Times New Roman" w:hAnsi="Times New Roman" w:cs="Times New Roman"/>
                <w:bCs/>
                <w:color w:val="000000" w:themeColor="text1"/>
                <w:sz w:val="24"/>
                <w:szCs w:val="24"/>
                <w:highlight w:val="none"/>
                <w14:textFill>
                  <w14:solidFill>
                    <w14:schemeClr w14:val="tx1"/>
                  </w14:solidFill>
                </w14:textFill>
              </w:rPr>
              <w:t>中的管控要求，建设项目符合榆林市生态环境准入清单各管控单元的环境分区管控的要求。</w:t>
            </w:r>
          </w:p>
          <w:p w14:paraId="2BE362B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4、其他符合性分析</w:t>
            </w:r>
          </w:p>
          <w:p w14:paraId="688CFAD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项目与相关政策的符合性分析见下表：</w:t>
            </w:r>
          </w:p>
          <w:p w14:paraId="653C4E7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表1-</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9</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项目与相关政策符合性分析一览表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2235"/>
              <w:gridCol w:w="2742"/>
              <w:gridCol w:w="1967"/>
              <w:gridCol w:w="441"/>
            </w:tblGrid>
            <w:tr w14:paraId="7274D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Align w:val="center"/>
                </w:tcPr>
                <w:p w14:paraId="0FC923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序号</w:t>
                  </w:r>
                </w:p>
              </w:tc>
              <w:tc>
                <w:tcPr>
                  <w:tcW w:w="1430" w:type="pct"/>
                  <w:vAlign w:val="center"/>
                </w:tcPr>
                <w:p w14:paraId="083B82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政策名称</w:t>
                  </w:r>
                </w:p>
              </w:tc>
              <w:tc>
                <w:tcPr>
                  <w:tcW w:w="1754" w:type="pct"/>
                  <w:vAlign w:val="center"/>
                </w:tcPr>
                <w:p w14:paraId="07E9BC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政策要求（摘录）</w:t>
                  </w:r>
                </w:p>
              </w:tc>
              <w:tc>
                <w:tcPr>
                  <w:tcW w:w="1258" w:type="pct"/>
                  <w:vAlign w:val="center"/>
                </w:tcPr>
                <w:p w14:paraId="6A51CA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本项目情况</w:t>
                  </w:r>
                </w:p>
              </w:tc>
              <w:tc>
                <w:tcPr>
                  <w:tcW w:w="282" w:type="pct"/>
                  <w:vAlign w:val="center"/>
                </w:tcPr>
                <w:p w14:paraId="702842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符合性</w:t>
                  </w:r>
                </w:p>
              </w:tc>
            </w:tr>
            <w:tr w14:paraId="75BF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Align w:val="center"/>
                </w:tcPr>
                <w:p w14:paraId="57894E4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1</w:t>
                  </w:r>
                </w:p>
              </w:tc>
              <w:tc>
                <w:tcPr>
                  <w:tcW w:w="1430" w:type="pct"/>
                  <w:vAlign w:val="center"/>
                </w:tcPr>
                <w:p w14:paraId="3D054F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《中华人民共和国防沙治沙法</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18修正</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754" w:type="pct"/>
                  <w:vAlign w:val="center"/>
                </w:tcPr>
                <w:p w14:paraId="114F730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第</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二十一</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条 在沙化土地范围内从事开发建设活动的，必须事先就该项目可能对当地及相关地区生态产生的影响进行环境影响评价，依法提交环境影响报告；环境影响报告应当包括有关防沙治沙的内容。</w:t>
                  </w:r>
                </w:p>
              </w:tc>
              <w:tc>
                <w:tcPr>
                  <w:tcW w:w="1258" w:type="pct"/>
                  <w:vAlign w:val="center"/>
                </w:tcPr>
                <w:p w14:paraId="061D0E9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本项目位于毛乌素沙地治理区。本次提出</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了</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保持水土、防治土地荒漠化及土地沙化的防治措施。</w:t>
                  </w:r>
                </w:p>
              </w:tc>
              <w:tc>
                <w:tcPr>
                  <w:tcW w:w="282" w:type="pct"/>
                  <w:vAlign w:val="center"/>
                </w:tcPr>
                <w:p w14:paraId="653F18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76E5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vAlign w:val="center"/>
                </w:tcPr>
                <w:p w14:paraId="618489D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2</w:t>
                  </w:r>
                </w:p>
              </w:tc>
              <w:tc>
                <w:tcPr>
                  <w:tcW w:w="1430" w:type="pct"/>
                  <w:vMerge w:val="restart"/>
                  <w:vAlign w:val="center"/>
                </w:tcPr>
                <w:p w14:paraId="4419AB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《陕西省煤炭石油天然气开发生态环境保护条例》</w:t>
                  </w:r>
                </w:p>
              </w:tc>
              <w:tc>
                <w:tcPr>
                  <w:tcW w:w="1754" w:type="pct"/>
                  <w:vAlign w:val="center"/>
                </w:tcPr>
                <w:p w14:paraId="7DFAEA1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第十二条 省人民政府及其有关行政主管部门在编制能源产业发展规划和矿产资源开发规划时，应当按照本省国土空间规划、生态环境保护规划以及本省确定的生态保护红线、环境质量底线、资源利用上线和生态环境准入清单要求，合理确定煤炭、石油、天然气开发区域、规模和强度</w:t>
                  </w:r>
                </w:p>
              </w:tc>
              <w:tc>
                <w:tcPr>
                  <w:tcW w:w="1258" w:type="pct"/>
                  <w:vAlign w:val="center"/>
                </w:tcPr>
                <w:p w14:paraId="2D04906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本项目不涉及生态红线，项目满足环境质量底线、资源利用上线和生态环境准入清单要求</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82" w:type="pct"/>
                  <w:vAlign w:val="center"/>
                </w:tcPr>
                <w:p w14:paraId="2A3B10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720C6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6C5ED72E">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39671C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vAlign w:val="center"/>
                </w:tcPr>
                <w:p w14:paraId="799EE1F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第十三条 禁止在居民区和国务院或者省人民政府划定的重要水源涵养区、饮用水水源保护区，国家公园，自然保护区，风景名胜区、森林公园、地质公园、草原公园、湿地公园等自然公园、文物保护单位等区域内进行煤炭、石油、天然气开发</w:t>
                  </w:r>
                </w:p>
              </w:tc>
              <w:tc>
                <w:tcPr>
                  <w:tcW w:w="1258" w:type="pct"/>
                  <w:vAlign w:val="center"/>
                </w:tcPr>
                <w:p w14:paraId="3812B57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本项目位于榆林市</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佳县方塌镇</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，勘探后</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若</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采取永久封井，</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则项目为临时占地；若</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采取临时封井，除预留转成生产井所需的面积</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为永久占地</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，其他区域</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为临时占地</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，不涉及重要水源涵养区、饮用水水源保护区，国家公园、自然保护区、风景名胜区、森林公园、地质公园、草原公园、湿地公园等自然公园、文物保护单位等区域</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82" w:type="pct"/>
                  <w:vAlign w:val="center"/>
                </w:tcPr>
                <w:p w14:paraId="70B2A3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6A94E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3A8A26FC">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4AFE47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vAlign w:val="center"/>
                </w:tcPr>
                <w:p w14:paraId="54B85B7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第十六条 新建、扩建、改建煤炭、石油、天然气开发建设项目，建设单位应当在项目开工建设前编制环境影响评价文件，按照建设项目环境影响评价分级管理目录规定，报有审批权的生态环境行政主管部门审批。实行相对集中行政许可权的地方，审批机关应当将审批文件同时抄送项目所在地同级生态环境行政主管部门</w:t>
                  </w:r>
                </w:p>
              </w:tc>
              <w:tc>
                <w:tcPr>
                  <w:tcW w:w="1258" w:type="pct"/>
                  <w:vAlign w:val="center"/>
                </w:tcPr>
                <w:p w14:paraId="650CDB1F">
                  <w:pPr>
                    <w:keepNext w:val="0"/>
                    <w:keepLines w:val="0"/>
                    <w:pageBreakBefore w:val="0"/>
                    <w:widowControl w:val="0"/>
                    <w:kinsoku/>
                    <w:wordWrap/>
                    <w:overflowPunct/>
                    <w:topLinePunct w:val="0"/>
                    <w:autoSpaceDE/>
                    <w:autoSpaceDN/>
                    <w:bidi w:val="0"/>
                    <w:adjustRightInd/>
                    <w:snapToGrid/>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长庆油田分公司天然气评价项目部已正式委托我公司进行环境影响评价工作，拟上报榆林市生态环境局</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佳县</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分局审批</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82" w:type="pct"/>
                  <w:vAlign w:val="center"/>
                </w:tcPr>
                <w:p w14:paraId="4AC599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3CC40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6C1AEBA7">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1A0D5E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vAlign w:val="center"/>
                </w:tcPr>
                <w:p w14:paraId="5394C4B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第二十六条 石油、天然气开发单位应当对开采过程中产生的钻井废水、压裂返排液、采出水按照国家有关规定进行无害化处理，经处理达到标准的，按照经批准的环境影响评价文件要求排放或者回注。石油采出水应当同层回注，不得外排</w:t>
                  </w:r>
                </w:p>
              </w:tc>
              <w:tc>
                <w:tcPr>
                  <w:tcW w:w="1258" w:type="pct"/>
                  <w:vAlign w:val="center"/>
                </w:tcPr>
                <w:p w14:paraId="19C7BED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本项目天然气勘探过程产生的钻井废水、压裂返排液</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收集暂存于井场内各类收集罐中，定期由陕西榆佳环保科技有限公司拉运处置，陕西榆佳环保科技有限公司采用“二级酸析反应沉淀+液碱+CO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+隔膜压滤+精密过滤+紫外杀菌”工艺处理后回用于气田开采配置压裂液及钻井泥浆</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82" w:type="pct"/>
                  <w:vAlign w:val="center"/>
                </w:tcPr>
                <w:p w14:paraId="7E4D50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7C1EC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595B755C">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5C4EC4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vAlign w:val="center"/>
                </w:tcPr>
                <w:p w14:paraId="487B034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第二十九条 煤炭、石油、天然气开发单位收集、贮存、运输、利用和处置危险废物，应当严格执行国家和本省有关规定，不得将危险废物交由不具备资质的单位处置</w:t>
                  </w:r>
                </w:p>
              </w:tc>
              <w:tc>
                <w:tcPr>
                  <w:tcW w:w="1258" w:type="pct"/>
                  <w:vAlign w:val="center"/>
                </w:tcPr>
                <w:p w14:paraId="51AE111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本项目产生的危险废物委托有资质单位处理</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82" w:type="pct"/>
                  <w:vAlign w:val="center"/>
                </w:tcPr>
                <w:p w14:paraId="3F8E48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13BCA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26CA5A4C">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4E2D54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vAlign w:val="center"/>
                </w:tcPr>
                <w:p w14:paraId="11547212">
                  <w:pPr>
                    <w:pStyle w:val="28"/>
                    <w:keepNext w:val="0"/>
                    <w:keepLines w:val="0"/>
                    <w:pageBreakBefore w:val="0"/>
                    <w:widowControl w:val="0"/>
                    <w:kinsoku/>
                    <w:wordWrap/>
                    <w:overflowPunct/>
                    <w:topLinePunct w:val="0"/>
                    <w:autoSpaceDE/>
                    <w:autoSpaceDN/>
                    <w:bidi w:val="0"/>
                    <w:adjustRightInd/>
                    <w:snapToGrid/>
                    <w:ind w:firstLine="0" w:firstLineChars="0"/>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石油、天然气开发单位对开采过程中产生的废弃泥浆、岩屑等工业固体废物应当集中收集、处置</w:t>
                  </w:r>
                </w:p>
              </w:tc>
              <w:tc>
                <w:tcPr>
                  <w:tcW w:w="1258" w:type="pct"/>
                  <w:vAlign w:val="center"/>
                </w:tcPr>
                <w:p w14:paraId="1F24465A">
                  <w:pPr>
                    <w:pStyle w:val="28"/>
                    <w:keepNext w:val="0"/>
                    <w:keepLines w:val="0"/>
                    <w:pageBreakBefore w:val="0"/>
                    <w:widowControl w:val="0"/>
                    <w:kinsoku/>
                    <w:wordWrap/>
                    <w:overflowPunct/>
                    <w:topLinePunct w:val="0"/>
                    <w:autoSpaceDE/>
                    <w:autoSpaceDN/>
                    <w:bidi w:val="0"/>
                    <w:adjustRightInd/>
                    <w:snapToGrid/>
                    <w:ind w:firstLine="0" w:firstLineChars="0"/>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本项目施工场地设有移动式</w:t>
                  </w:r>
                  <w:r>
                    <w:rPr>
                      <w:rFonts w:hint="default" w:ascii="Times New Roman" w:hAnsi="Times New Roman" w:eastAsia="宋体" w:cs="Times New Roman"/>
                      <w:color w:val="000000" w:themeColor="text1"/>
                      <w:sz w:val="21"/>
                      <w:szCs w:val="21"/>
                      <w14:textFill>
                        <w14:solidFill>
                          <w14:schemeClr w14:val="tx1"/>
                        </w14:solidFill>
                      </w14:textFill>
                    </w:rPr>
                    <w:t>泥饼和岩屑收集罐</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对产生的废弃泥浆和岩屑进行集中收集，待施工结束后，委托</w:t>
                  </w:r>
                  <w:r>
                    <w:rPr>
                      <w:rFonts w:hint="eastAsia" w:cs="Times New Roman"/>
                      <w:color w:val="000000" w:themeColor="text1"/>
                      <w:sz w:val="21"/>
                      <w:szCs w:val="21"/>
                      <w:lang w:val="en-US" w:eastAsia="zh-CN"/>
                      <w14:textFill>
                        <w14:solidFill>
                          <w14:schemeClr w14:val="tx1"/>
                        </w14:solidFill>
                      </w14:textFill>
                    </w:rPr>
                    <w:t>陕西德禾鑫盛环保科技有限公司外运收填埋处置。</w:t>
                  </w:r>
                </w:p>
              </w:tc>
              <w:tc>
                <w:tcPr>
                  <w:tcW w:w="282" w:type="pct"/>
                  <w:vAlign w:val="center"/>
                </w:tcPr>
                <w:p w14:paraId="3FF439CC">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5B52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6E0D982D">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00CD18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vAlign w:val="center"/>
                </w:tcPr>
                <w:p w14:paraId="587F9736">
                  <w:pPr>
                    <w:pStyle w:val="28"/>
                    <w:keepNext w:val="0"/>
                    <w:keepLines w:val="0"/>
                    <w:pageBreakBefore w:val="0"/>
                    <w:widowControl w:val="0"/>
                    <w:kinsoku/>
                    <w:wordWrap/>
                    <w:overflowPunct/>
                    <w:topLinePunct w:val="0"/>
                    <w:autoSpaceDE/>
                    <w:autoSpaceDN/>
                    <w:bidi w:val="0"/>
                    <w:adjustRightInd/>
                    <w:snapToGrid/>
                    <w:ind w:firstLine="0" w:firstLineChars="0"/>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天然气井选点测试放喷，应当综合考虑气候、风向、安全等因素合理选点，远离居民区和建筑物，排出的气体应当点燃焚烧</w:t>
                  </w:r>
                </w:p>
              </w:tc>
              <w:tc>
                <w:tcPr>
                  <w:tcW w:w="1258" w:type="pct"/>
                  <w:vAlign w:val="center"/>
                </w:tcPr>
                <w:p w14:paraId="32070C60">
                  <w:pPr>
                    <w:pStyle w:val="28"/>
                    <w:keepNext w:val="0"/>
                    <w:keepLines w:val="0"/>
                    <w:pageBreakBefore w:val="0"/>
                    <w:widowControl w:val="0"/>
                    <w:kinsoku/>
                    <w:wordWrap/>
                    <w:overflowPunct/>
                    <w:topLinePunct w:val="0"/>
                    <w:autoSpaceDE/>
                    <w:autoSpaceDN/>
                    <w:bidi w:val="0"/>
                    <w:adjustRightInd/>
                    <w:snapToGrid/>
                    <w:ind w:firstLine="0" w:firstLineChars="0"/>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测试放喷的天然气经专用放喷管线引至</w:t>
                  </w:r>
                  <w:r>
                    <w:rPr>
                      <w:rFonts w:hint="eastAsia" w:cs="Times New Roman"/>
                      <w:color w:val="000000" w:themeColor="text1"/>
                      <w:sz w:val="21"/>
                      <w:szCs w:val="21"/>
                      <w:lang w:val="en-US" w:eastAsia="zh-CN"/>
                      <w14:textFill>
                        <w14:solidFill>
                          <w14:schemeClr w14:val="tx1"/>
                        </w14:solidFill>
                      </w14:textFill>
                    </w:rPr>
                    <w:t>放喷池</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后点火燃烧，放喷时要选择合适的时间，在天气晴朗，且风较大的天气进行，便于废气扩散</w:t>
                  </w:r>
                  <w:r>
                    <w:rPr>
                      <w:rFonts w:hint="eastAsia" w:cs="Times New Roman"/>
                      <w:color w:val="000000" w:themeColor="text1"/>
                      <w:sz w:val="21"/>
                      <w:szCs w:val="21"/>
                      <w:lang w:val="en-US" w:eastAsia="zh-CN"/>
                      <w14:textFill>
                        <w14:solidFill>
                          <w14:schemeClr w14:val="tx1"/>
                        </w14:solidFill>
                      </w14:textFill>
                    </w:rPr>
                    <w:t>。</w:t>
                  </w:r>
                </w:p>
              </w:tc>
              <w:tc>
                <w:tcPr>
                  <w:tcW w:w="282" w:type="pct"/>
                  <w:vAlign w:val="center"/>
                </w:tcPr>
                <w:p w14:paraId="4720ADB5">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5B515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713F5392">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43289D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vAlign w:val="center"/>
                </w:tcPr>
                <w:p w14:paraId="2E67D72F">
                  <w:pPr>
                    <w:pStyle w:val="28"/>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煤炭、石油、天然气勘探开发中使用放射性同位素和射线装置的，应当依照放射性污染防治法律、法规的规定办理辐射安全许可证。放射性同位素和放射性废物的运输、储存、保管和封装等活动，按照放射性污染防治法律、法规的相关规定执行</w:t>
                  </w:r>
                </w:p>
              </w:tc>
              <w:tc>
                <w:tcPr>
                  <w:tcW w:w="1258" w:type="pct"/>
                  <w:vAlign w:val="center"/>
                </w:tcPr>
                <w:p w14:paraId="010A241A">
                  <w:pPr>
                    <w:pStyle w:val="28"/>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本次天然气勘探不使用放射性同位素和射线装置</w:t>
                  </w:r>
                  <w:r>
                    <w:rPr>
                      <w:rFonts w:hint="eastAsia" w:cs="Times New Roman"/>
                      <w:color w:val="000000" w:themeColor="text1"/>
                      <w:sz w:val="21"/>
                      <w:szCs w:val="21"/>
                      <w:lang w:val="en-US" w:eastAsia="zh-CN"/>
                      <w14:textFill>
                        <w14:solidFill>
                          <w14:schemeClr w14:val="tx1"/>
                        </w14:solidFill>
                      </w14:textFill>
                    </w:rPr>
                    <w:t>。</w:t>
                  </w:r>
                </w:p>
              </w:tc>
              <w:tc>
                <w:tcPr>
                  <w:tcW w:w="282" w:type="pct"/>
                  <w:vAlign w:val="center"/>
                </w:tcPr>
                <w:p w14:paraId="7E930828">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507C8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vAlign w:val="center"/>
                </w:tcPr>
                <w:p w14:paraId="01DA6A4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3</w:t>
                  </w:r>
                </w:p>
              </w:tc>
              <w:tc>
                <w:tcPr>
                  <w:tcW w:w="1430" w:type="pct"/>
                  <w:vMerge w:val="restart"/>
                  <w:vAlign w:val="center"/>
                </w:tcPr>
                <w:p w14:paraId="6BE808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《石油天然气开采业污染防治技术政策》</w:t>
                  </w:r>
                </w:p>
              </w:tc>
              <w:tc>
                <w:tcPr>
                  <w:tcW w:w="1754" w:type="pct"/>
                  <w:vAlign w:val="center"/>
                </w:tcPr>
                <w:p w14:paraId="6EE5205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在环境敏感区进行石油天然气勘探、开采的，要在开发前对生态、环境影响进行充分论证，并严格执行环境影响评价文件的要求，积极采取缓解生态、环境破坏的措施</w:t>
                  </w:r>
                </w:p>
              </w:tc>
              <w:tc>
                <w:tcPr>
                  <w:tcW w:w="1258" w:type="pct"/>
                  <w:vAlign w:val="center"/>
                </w:tcPr>
                <w:p w14:paraId="27166C2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本项目在钻井前进行环境影响评价，并积极采取生态保护与恢复措施</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82" w:type="pct"/>
                  <w:vAlign w:val="center"/>
                </w:tcPr>
                <w:p w14:paraId="1491EE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2E6F3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2F0F3474">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23B55D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vAlign w:val="center"/>
                </w:tcPr>
                <w:p w14:paraId="734BB01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在油气勘探过程中，宜使用环保型炸药和可控震源，应采取防渗等措施预防燃料泄漏对环境的污染</w:t>
                  </w:r>
                </w:p>
              </w:tc>
              <w:tc>
                <w:tcPr>
                  <w:tcW w:w="1258" w:type="pct"/>
                  <w:vAlign w:val="center"/>
                </w:tcPr>
                <w:p w14:paraId="29F8B3B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项目属于气探井工程，勘探方式为钻探井，</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钻机采用</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电驱动机</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p>
              </w:tc>
              <w:tc>
                <w:tcPr>
                  <w:tcW w:w="282" w:type="pct"/>
                  <w:vAlign w:val="center"/>
                </w:tcPr>
                <w:p w14:paraId="610CDB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1F1F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649272A8">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5E5E1F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vAlign w:val="center"/>
                </w:tcPr>
                <w:p w14:paraId="39E4D32F">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钻井过程中，鼓励采用环境友好的钻井液体系；配备完善的固控设备，钻井液循环率达到95%以上；钻井过程产生的废水应回用</w:t>
                  </w:r>
                </w:p>
              </w:tc>
              <w:tc>
                <w:tcPr>
                  <w:tcW w:w="1258" w:type="pct"/>
                  <w:vAlign w:val="center"/>
                </w:tcPr>
                <w:p w14:paraId="2DBB479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本项目使用水基钻井泥浆，钻井废水用于配置泥浆，循环使用，钻井液循环使用率要求达到95%以上</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82" w:type="pct"/>
                  <w:vAlign w:val="center"/>
                </w:tcPr>
                <w:p w14:paraId="79E5C6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23F03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6D84D596">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57B0D3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vAlign w:val="center"/>
                </w:tcPr>
                <w:p w14:paraId="2DA4A359">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在井下作业过程中，酸化液和压裂液宜集中配制，酸化残液、压裂残液和返排液应回收利用或进行无害化处置，压裂放喷返排入罐率应达到100%。酸化、压裂作业和试油（气）过程应采取防喷、地面管线防刺、防漏、防溢等措施</w:t>
                  </w:r>
                </w:p>
              </w:tc>
              <w:tc>
                <w:tcPr>
                  <w:tcW w:w="1258" w:type="pct"/>
                  <w:vAlign w:val="center"/>
                </w:tcPr>
                <w:p w14:paraId="0FA1A78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本项目压裂返排液等交</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陕西</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榆佳环保科技有限公司处置</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压裂作业和试气过程采取防喷、地面管线防刺、防漏、防溢等措施。本项目勘探过程中不涉及酸化作业</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282" w:type="pct"/>
                  <w:vAlign w:val="center"/>
                </w:tcPr>
                <w:p w14:paraId="048248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12791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532DBC3C">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20F48C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vAlign w:val="center"/>
                </w:tcPr>
                <w:p w14:paraId="4B02F5BC">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油气田企业应对勘探开发过程进行环境风险因素识别，制定突发环境事件应急预案并定期进行演练。应开展特征污染物监测工作，采取环境风险防范和应急措施，防止发生由突发性油气泄漏产生的环境事故</w:t>
                  </w:r>
                </w:p>
              </w:tc>
              <w:tc>
                <w:tcPr>
                  <w:tcW w:w="1258" w:type="pct"/>
                  <w:vAlign w:val="center"/>
                </w:tcPr>
                <w:p w14:paraId="01FE0AB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本项目突发环境事件应急预案纳入中国石油天然气股份有限公司长庆油田分公司突发环境事件应急预案中。</w:t>
                  </w:r>
                </w:p>
              </w:tc>
              <w:tc>
                <w:tcPr>
                  <w:tcW w:w="282" w:type="pct"/>
                  <w:vAlign w:val="center"/>
                </w:tcPr>
                <w:p w14:paraId="034418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5D855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vAlign w:val="center"/>
                </w:tcPr>
                <w:p w14:paraId="76981EF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4</w:t>
                  </w:r>
                </w:p>
              </w:tc>
              <w:tc>
                <w:tcPr>
                  <w:tcW w:w="1430" w:type="pct"/>
                  <w:vMerge w:val="restart"/>
                  <w:vAlign w:val="center"/>
                </w:tcPr>
                <w:p w14:paraId="26294F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《生态环境部关于进一步加强石油天然气行业环境影响评价管理的通知》</w:t>
                  </w:r>
                </w:p>
              </w:tc>
              <w:tc>
                <w:tcPr>
                  <w:tcW w:w="1754" w:type="pct"/>
                  <w:vAlign w:val="center"/>
                </w:tcPr>
                <w:p w14:paraId="70B45D5C">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（三）</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规划环评应当结合油气开发区域的资源环境特征、主体功能区规划、自然保护地、生态保护红线管控等要求，切实维护生态系统完整性和稳定性，明确禁止开发区域和规划实施的资源环境制约因素，合理确定开发方案，明确预防和减轻不良环境影响的对策措施</w:t>
                  </w:r>
                </w:p>
              </w:tc>
              <w:tc>
                <w:tcPr>
                  <w:tcW w:w="1258" w:type="pct"/>
                  <w:vAlign w:val="center"/>
                </w:tcPr>
                <w:p w14:paraId="18847D7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本项目不涉及生态红线</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82" w:type="pct"/>
                  <w:vAlign w:val="center"/>
                </w:tcPr>
                <w:p w14:paraId="4D864A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35A9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1EF90714">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2DDC1F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vAlign w:val="center"/>
                </w:tcPr>
                <w:p w14:paraId="35620772">
                  <w:pPr>
                    <w:keepNext w:val="0"/>
                    <w:keepLines w:val="0"/>
                    <w:pageBreakBefore w:val="0"/>
                    <w:widowControl/>
                    <w:suppressLineNumbers w:val="0"/>
                    <w:kinsoku/>
                    <w:wordWrap/>
                    <w:overflowPunct/>
                    <w:topLinePunct w:val="0"/>
                    <w:autoSpaceDE/>
                    <w:autoSpaceDN/>
                    <w:bidi w:val="0"/>
                    <w:jc w:val="left"/>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（五）</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未确定产能建设规模的陆地油气开采新区块，建设勘探井应当依法编制环境影响报告表</w:t>
                  </w:r>
                </w:p>
              </w:tc>
              <w:tc>
                <w:tcPr>
                  <w:tcW w:w="1258" w:type="pct"/>
                  <w:vAlign w:val="center"/>
                </w:tcPr>
                <w:p w14:paraId="669E0E8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本项目区块不属于新区块，已取得采矿许可证，区块内滚动开发，为给后期产能项目提供</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依据，</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本次评价井</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已</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委托编制环境影响报告表。</w:t>
                  </w:r>
                </w:p>
              </w:tc>
              <w:tc>
                <w:tcPr>
                  <w:tcW w:w="282" w:type="pct"/>
                  <w:vAlign w:val="center"/>
                </w:tcPr>
                <w:p w14:paraId="421568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1AF9E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6CC47353">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155E42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vAlign w:val="center"/>
                </w:tcPr>
                <w:p w14:paraId="539BCE36">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（七）</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涉及向地表水体排放污染物的陆地油气开采项目，应当符合国家和地方污染物排放标准，满足重点污染物排放总量控制要求</w:t>
                  </w:r>
                </w:p>
              </w:tc>
              <w:tc>
                <w:tcPr>
                  <w:tcW w:w="1258" w:type="pct"/>
                  <w:vAlign w:val="center"/>
                </w:tcPr>
                <w:p w14:paraId="17DC6C1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本项目生活污水和施工废水均不外排</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82" w:type="pct"/>
                  <w:vAlign w:val="center"/>
                </w:tcPr>
                <w:p w14:paraId="09A6C1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42904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6155D90F">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33BF4D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vAlign w:val="center"/>
                </w:tcPr>
                <w:p w14:paraId="3B15E8DC">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（九）</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油气开采产生的废弃油基泥浆、含油钻屑及其他固体废物，应当遵循减量化、资源化、无害化原则，按照国家和地方有关固体废物的管理规定进行处置</w:t>
                  </w:r>
                </w:p>
              </w:tc>
              <w:tc>
                <w:tcPr>
                  <w:tcW w:w="1258" w:type="pct"/>
                  <w:vAlign w:val="center"/>
                </w:tcPr>
                <w:p w14:paraId="574C940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本项目采用水基泥浆钻井液，不产生废弃油基泥浆、含油钻屑</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82" w:type="pct"/>
                  <w:vAlign w:val="center"/>
                </w:tcPr>
                <w:p w14:paraId="3F18CB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4FD9B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70451BB8">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230D11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vAlign w:val="center"/>
                </w:tcPr>
                <w:p w14:paraId="15EBAF57">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（十）</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陆地油气开采项目的建设单位应当对挥发性有机物液体储存和装载损失、废水液面逸散、设备与管线组件泄漏、非正常工况等挥发性有机物无组织排放源进行有效管控，通过采取设备密闭、废气有效收集及配套高效末端处理设施等措施，有效控制挥发性有机物和恶臭气体无组织排放</w:t>
                  </w:r>
                </w:p>
              </w:tc>
              <w:tc>
                <w:tcPr>
                  <w:tcW w:w="1258" w:type="pct"/>
                  <w:vAlign w:val="center"/>
                </w:tcPr>
                <w:p w14:paraId="33E13CB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本项目采用电驱动钻井，钻井过程中不会产生有机废气及恶臭气体</w:t>
                  </w:r>
                </w:p>
              </w:tc>
              <w:tc>
                <w:tcPr>
                  <w:tcW w:w="282" w:type="pct"/>
                  <w:vAlign w:val="center"/>
                </w:tcPr>
                <w:p w14:paraId="4F48D5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322BC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6233B25A">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310F37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vAlign w:val="center"/>
                </w:tcPr>
                <w:p w14:paraId="24BAF5BA">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（十一）</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施工期应当尽量减少施工占地、缩短施工时间、选择合理施工方式、落实环境敏感区管控要求以及其他生态环境保护措施，降低生态环境影响。钻井和压裂设备应当优先使用网电、高标准清洁燃油，减少废气排放。选用低噪声设备，避免噪声扰民。施工结束后，应当及时落实环评提出的生态保护措施</w:t>
                  </w:r>
                </w:p>
              </w:tc>
              <w:tc>
                <w:tcPr>
                  <w:tcW w:w="1258" w:type="pct"/>
                  <w:vAlign w:val="center"/>
                </w:tcPr>
                <w:p w14:paraId="0A0C230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项目施工期较短，项目地周边100m范围内无环境敏感目标。项目选用低噪声设备，勘探结束后进行生态恢复</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82" w:type="pct"/>
                  <w:vAlign w:val="center"/>
                </w:tcPr>
                <w:p w14:paraId="0A1C92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063EC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vAlign w:val="center"/>
                </w:tcPr>
                <w:p w14:paraId="078F3DE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5</w:t>
                  </w:r>
                </w:p>
              </w:tc>
              <w:tc>
                <w:tcPr>
                  <w:tcW w:w="1430" w:type="pct"/>
                  <w:vMerge w:val="restart"/>
                  <w:vAlign w:val="center"/>
                </w:tcPr>
                <w:p w14:paraId="1CFEBF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《陕西省石油天然气开采项目环境影响评价文件审批要点》</w:t>
                  </w:r>
                </w:p>
              </w:tc>
              <w:tc>
                <w:tcPr>
                  <w:tcW w:w="1754" w:type="pct"/>
                  <w:vAlign w:val="center"/>
                </w:tcPr>
                <w:p w14:paraId="3126A002">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禁止在居民区和国务院或者省人民政府划定的重要水源涵养区、饮用水水源保护区，国家公园，自然保护区，风景名胜区、森林公园、地质公园、湿地公园等自然公园、文物保护单位等区域内进行石油、天然气开发</w:t>
                  </w:r>
                </w:p>
              </w:tc>
              <w:tc>
                <w:tcPr>
                  <w:tcW w:w="1258" w:type="pct"/>
                  <w:vAlign w:val="center"/>
                </w:tcPr>
                <w:p w14:paraId="2644EC1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项目不涉及生态红线，不涉及水源涵养区、饮用水水源保护区，国家公园，自然保护区，风景名胜区、森林公园、地质公园、湿地公园等自然公园、文物保护单位等</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82" w:type="pct"/>
                  <w:vAlign w:val="center"/>
                </w:tcPr>
                <w:p w14:paraId="0E4846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11686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2321770F">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20B2CF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vAlign w:val="center"/>
                </w:tcPr>
                <w:p w14:paraId="0F3B9732">
                  <w:pPr>
                    <w:keepNext w:val="0"/>
                    <w:keepLines w:val="0"/>
                    <w:pageBreakBefore w:val="0"/>
                    <w:widowControl/>
                    <w:suppressLineNumbers w:val="0"/>
                    <w:kinsoku/>
                    <w:wordWrap/>
                    <w:overflowPunct/>
                    <w:topLinePunct w:val="0"/>
                    <w:autoSpaceDE/>
                    <w:autoSpaceDN/>
                    <w:bidi w:val="0"/>
                    <w:jc w:val="left"/>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油气开采企业应对永久停用、拆除或弃置的各类井、管道等工程设施落实封堵、土壤及地下水修复、生态修复等措施</w:t>
                  </w:r>
                </w:p>
              </w:tc>
              <w:tc>
                <w:tcPr>
                  <w:tcW w:w="1258" w:type="pct"/>
                  <w:vAlign w:val="center"/>
                </w:tcPr>
                <w:p w14:paraId="0B9C531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本项目为天然气</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评价井建设</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项目，当</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评价</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井不具有开发价值时，采取永久封井，对井场临时占地以及进场道路恢复原状；当勘探井具有开发价值时，采取临时封井，除预留转成生产井所需的面积外，保留临时拓宽道路，其他区域恢复原有植被和生态景观，使区域生态景观和谐一致</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82" w:type="pct"/>
                  <w:vAlign w:val="center"/>
                </w:tcPr>
                <w:p w14:paraId="7CB0AB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65C4C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31EE9845">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3E9644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vAlign w:val="center"/>
                </w:tcPr>
                <w:p w14:paraId="76F03EF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涉及废水回注的油气开采项目，应当论证回注的环境可行性，不得回注与油气开采无关的废水</w:t>
                  </w:r>
                </w:p>
              </w:tc>
              <w:tc>
                <w:tcPr>
                  <w:tcW w:w="1258" w:type="pct"/>
                  <w:vAlign w:val="center"/>
                </w:tcPr>
                <w:p w14:paraId="7E741BB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本项目为天然气</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评价井</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勘探项目，不涉及废水回注</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82" w:type="pct"/>
                  <w:vAlign w:val="center"/>
                </w:tcPr>
                <w:p w14:paraId="389C91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2CF80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Align w:val="center"/>
                </w:tcPr>
                <w:p w14:paraId="5CD81F5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6</w:t>
                  </w:r>
                </w:p>
              </w:tc>
              <w:tc>
                <w:tcPr>
                  <w:tcW w:w="1430" w:type="pct"/>
                  <w:vAlign w:val="center"/>
                </w:tcPr>
                <w:p w14:paraId="20E595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《陕西省加强陕北地区环境保护的若干意见》</w:t>
                  </w:r>
                </w:p>
              </w:tc>
              <w:tc>
                <w:tcPr>
                  <w:tcW w:w="1754" w:type="pct"/>
                  <w:vAlign w:val="center"/>
                </w:tcPr>
                <w:p w14:paraId="7034CE8C">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城市规划区、生态防护区、试验区、自然保护区内不得开采煤、气、油、盐；城市饮用水水源一、二级保护区、革命圣地遗址、风景名胜区等具有特殊保护价值的地区，不得新建各类有污染的项目</w:t>
                  </w:r>
                </w:p>
              </w:tc>
              <w:tc>
                <w:tcPr>
                  <w:tcW w:w="1258" w:type="pct"/>
                  <w:vAlign w:val="center"/>
                </w:tcPr>
                <w:p w14:paraId="3FB36C8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项目建设内容不在城市规划区、生态防护区、试验区、自然保护区、一二级水源保护区内、革命圣地遗址、风景名胜区等具有特殊保护价值的地区内</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82" w:type="pct"/>
                  <w:vAlign w:val="center"/>
                </w:tcPr>
                <w:p w14:paraId="1113FA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1C7F3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Align w:val="center"/>
                </w:tcPr>
                <w:p w14:paraId="1676618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7</w:t>
                  </w:r>
                </w:p>
              </w:tc>
              <w:tc>
                <w:tcPr>
                  <w:tcW w:w="1430" w:type="pct"/>
                  <w:vAlign w:val="center"/>
                </w:tcPr>
                <w:p w14:paraId="1C186D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《陕西省防沙治沙规划（2021-2030年）》</w:t>
                  </w:r>
                </w:p>
              </w:tc>
              <w:tc>
                <w:tcPr>
                  <w:tcW w:w="1754" w:type="pct"/>
                  <w:shd w:val="clear" w:color="auto" w:fill="auto"/>
                  <w:vAlign w:val="center"/>
                </w:tcPr>
                <w:p w14:paraId="4682C7A8">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（四）黄土(丘陵)覆沙治理区</w:t>
                  </w:r>
                </w:p>
                <w:p w14:paraId="3F5B961A">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本区地处长城沿线毛乌素沙地治理区东南，包括榆阳、横山、神木、府谷、佳县5个县(市、区)46个乡镇，总面积920091.25公顷，占规划总面积的25.02%，其中沙化土地面积57931.05公顷。本区为沙地与黄土梁峁的过渡带，沟壑纵横深切，梁涧兼存，尤其是黄河沿线石质山区地势陡峭，侵蚀模数大;该区气候干燥，有效降水少，植被覆盖率低，水蚀、风蚀荒漠化并存。</w:t>
                  </w:r>
                </w:p>
                <w:p w14:paraId="042C154B">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主攻方向</w:t>
                  </w:r>
                  <w:r>
                    <w:rPr>
                      <w:rFonts w:hint="eastAsia" w:ascii="Times New Roman" w:hAnsi="Times New Roman" w:eastAsia="宋体" w:cs="Times New Roman"/>
                      <w:b/>
                      <w:bCs/>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保持水土，防治土地荒漠化和沙化。加强困难立地造林和飞播造林技术研究示范。重点营造防风固沙林和水土保持林，发展兼有生态经济功用的树种，加大经济林提质增效力度。环城市矿区、乡镇、村庄营造景观防护林，农田、河道营造农田防护林、护岸林，加快绿化速度，提高植被覆盖度</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1258" w:type="pct"/>
                  <w:shd w:val="clear" w:color="auto" w:fill="auto"/>
                  <w:vAlign w:val="center"/>
                </w:tcPr>
                <w:p w14:paraId="4AD05FC8">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本项目位于佳县方塌镇。根据陕西省防沙治沙规划（2021-2030年）附表5，本项目位于黄土（丘陵）覆沙治理区，不涉及沙化土地封禁保区。本报告已提出保持水土、防治土地荒漠化及土地沙化的防治措施。</w:t>
                  </w:r>
                </w:p>
              </w:tc>
              <w:tc>
                <w:tcPr>
                  <w:tcW w:w="282" w:type="pct"/>
                  <w:vAlign w:val="center"/>
                </w:tcPr>
                <w:p w14:paraId="311A95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3D647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Align w:val="center"/>
                </w:tcPr>
                <w:p w14:paraId="06A1F06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8</w:t>
                  </w:r>
                </w:p>
              </w:tc>
              <w:tc>
                <w:tcPr>
                  <w:tcW w:w="1430" w:type="pct"/>
                  <w:vAlign w:val="center"/>
                </w:tcPr>
                <w:p w14:paraId="7B33B5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《陕西省固体废物污染防治专项整治行动方案》</w:t>
                  </w:r>
                </w:p>
              </w:tc>
              <w:tc>
                <w:tcPr>
                  <w:tcW w:w="1754" w:type="pct"/>
                  <w:vAlign w:val="center"/>
                </w:tcPr>
                <w:p w14:paraId="269229F8">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落实产废企业污染防治主体责任。固体废物产生企业要对固体废物处置全过程负责，细化管理台账、落实申报登记制度，如实申报固体废物利用处置最终去向，实行申报登记信息承诺制，向社会公开固体废物产生种类、数量、利用、处置情况及承诺书等信息，接受社会监督</w:t>
                  </w:r>
                </w:p>
              </w:tc>
              <w:tc>
                <w:tcPr>
                  <w:tcW w:w="1258" w:type="pct"/>
                  <w:vAlign w:val="center"/>
                </w:tcPr>
                <w:p w14:paraId="091B62D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项目产生的废弃岩屑、泥饼运输过程实施全程GPS定位及监控，严禁运输过程中随意掩埋、抛洒废弃钻井岩屑、泥饼。</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陕西德禾鑫盛环保科技有限公司</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负责废弃泥饼、岩屑从产生地至合法处置场之间的运输以及运输过程中的污染防治，并应按照规定向榆林市生态环境局</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佳县</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分局提供废物的产生量、实际流向和处置等有关资料</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82" w:type="pct"/>
                  <w:vAlign w:val="center"/>
                </w:tcPr>
                <w:p w14:paraId="79ED69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32854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Align w:val="center"/>
                </w:tcPr>
                <w:p w14:paraId="5399D1E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9</w:t>
                  </w:r>
                </w:p>
              </w:tc>
              <w:tc>
                <w:tcPr>
                  <w:tcW w:w="1430" w:type="pct"/>
                  <w:vAlign w:val="center"/>
                </w:tcPr>
                <w:p w14:paraId="3DF88F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《榆林市油田开采废弃物不落地集中处置推广项目建设管理指南（试行）的通知》</w:t>
                  </w:r>
                </w:p>
              </w:tc>
              <w:tc>
                <w:tcPr>
                  <w:tcW w:w="1754" w:type="pct"/>
                  <w:vAlign w:val="center"/>
                </w:tcPr>
                <w:p w14:paraId="5354275D">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油气钻井现场配备移动式泥浆罐（槽）、振动筛、废弃泥浆混凝压滤机等预处理设备，泥渣、岩屑堆放场完成底部防渗处理，设置50公分防水围堰及堆场遮盖防雨设施。废弃泥浆岩屑经破乳、混凝、压滤后，含水率不高于50%，固相、液相废弃物在井场完井后10天内必须运往推广区域集中处置场所。废弃泥浆上清液、压裂返排液、渗滤收集液统一收集，送联合站、试点项目或集中处置站处理后回用于配制钻井液或压裂液，剩余部分由回注井实施同层达标回注</w:t>
                  </w:r>
                </w:p>
              </w:tc>
              <w:tc>
                <w:tcPr>
                  <w:tcW w:w="1258" w:type="pct"/>
                  <w:vAlign w:val="center"/>
                </w:tcPr>
                <w:p w14:paraId="7CA41BF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每个</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气井</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钻井</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现场设置</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个</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100</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移动式泥饼和岩屑收集罐，收集罐底部进行防渗处理并设置围堰。</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压裂返排液、钻井废水等</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交</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陕西</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榆佳环保科技有限公司处置</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282" w:type="pct"/>
                  <w:vAlign w:val="center"/>
                </w:tcPr>
                <w:p w14:paraId="04D3C1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63A33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Align w:val="center"/>
                </w:tcPr>
                <w:p w14:paraId="5E89555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10</w:t>
                  </w:r>
                </w:p>
              </w:tc>
              <w:tc>
                <w:tcPr>
                  <w:tcW w:w="1430" w:type="pct"/>
                  <w:vAlign w:val="center"/>
                </w:tcPr>
                <w:p w14:paraId="615FDC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《榆林市油（气）开采废弃物处置环保暂行管理办法》</w:t>
                  </w:r>
                </w:p>
              </w:tc>
              <w:tc>
                <w:tcPr>
                  <w:tcW w:w="1754" w:type="pct"/>
                  <w:vAlign w:val="center"/>
                </w:tcPr>
                <w:p w14:paraId="4BCB9CB8">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井场要在钻井前配备废弃钻井泥浆岩屑地上移动式收集设施，对钻井过程中废弃钻井泥浆岩屑进行不落地收集，收集设施不得混合收集其它废弃物；废弃钻井泥浆岩屑需在油（气）井完井后3天内，由防渗漏、防抛洒、防扬尘的运输车辆统一运送至油（气）开采废弃物集中处置场所处置</w:t>
                  </w:r>
                </w:p>
              </w:tc>
              <w:tc>
                <w:tcPr>
                  <w:tcW w:w="1258" w:type="pct"/>
                  <w:vAlign w:val="center"/>
                </w:tcPr>
                <w:p w14:paraId="029DAA1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每个气井现场均</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设置</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个</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100</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移动式泥饼和岩屑收集罐，</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定期由</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陕西</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德禾鑫盛环保科技有限公司拉运处置</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282" w:type="pct"/>
                  <w:vAlign w:val="center"/>
                </w:tcPr>
                <w:p w14:paraId="41308D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67940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vAlign w:val="center"/>
                </w:tcPr>
                <w:p w14:paraId="0D4D5BB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1</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1</w:t>
                  </w:r>
                </w:p>
              </w:tc>
              <w:tc>
                <w:tcPr>
                  <w:tcW w:w="1430" w:type="pct"/>
                  <w:vMerge w:val="restart"/>
                  <w:vAlign w:val="center"/>
                </w:tcPr>
                <w:p w14:paraId="4016E3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《陆上石油天然气开采钻井废物处置污染控制技术要求》</w:t>
                  </w:r>
                </w:p>
              </w:tc>
              <w:tc>
                <w:tcPr>
                  <w:tcW w:w="1754" w:type="pct"/>
                  <w:vAlign w:val="center"/>
                </w:tcPr>
                <w:p w14:paraId="23ACFA9E">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钻井废物的收集、贮存、利用、处置，以及处钻井废物处置工程的选址、设计、施工、验收和运行应符合国家和地方固体废物污染防治法律法规与标准要求</w:t>
                  </w:r>
                </w:p>
              </w:tc>
              <w:tc>
                <w:tcPr>
                  <w:tcW w:w="1258" w:type="pct"/>
                  <w:vAlign w:val="center"/>
                </w:tcPr>
                <w:p w14:paraId="49E60F3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本项目属于</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天然气评价井</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探井项目，仅涉及施工期，钻井产生的污染物均有妥善处置去向，不会对周边环境产生不良影响。</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项目钻井废水、洗井废水</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委托</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陕西</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榆佳环保科技有限公司处置，钻井废弃物交陕西德禾鑫盛环保科技有限公司处置</w:t>
                  </w:r>
                  <w:r>
                    <w:rPr>
                      <w:rFonts w:hint="eastAsia"/>
                      <w:color w:val="000000" w:themeColor="text1"/>
                      <w:sz w:val="21"/>
                      <w:szCs w:val="21"/>
                      <w:lang w:val="en-US" w:eastAsia="zh-CN"/>
                      <w14:textFill>
                        <w14:solidFill>
                          <w14:schemeClr w14:val="tx1"/>
                        </w14:solidFill>
                      </w14:textFill>
                    </w:rPr>
                    <w:t>。</w:t>
                  </w:r>
                </w:p>
              </w:tc>
              <w:tc>
                <w:tcPr>
                  <w:tcW w:w="282" w:type="pct"/>
                  <w:vAlign w:val="center"/>
                </w:tcPr>
                <w:p w14:paraId="277500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6C76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5190020A">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0C0597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vAlign w:val="center"/>
                </w:tcPr>
                <w:p w14:paraId="6EA09843">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钻井废水处置过程中使用环境友好的原材料与添加剂</w:t>
                  </w:r>
                </w:p>
              </w:tc>
              <w:tc>
                <w:tcPr>
                  <w:tcW w:w="1258" w:type="pct"/>
                  <w:vAlign w:val="center"/>
                </w:tcPr>
                <w:p w14:paraId="1143AC5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本项目气探井</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位于</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长庆油田分公司开发范围内，探井结束后，</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具备开采价值</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的</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交由长庆油田分公司</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第二采气厂</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进行</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评价井</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的开发</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维护</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废弃泥浆、钻井岩屑交由</w:t>
                  </w:r>
                  <w:r>
                    <w:rPr>
                      <w:rFonts w:hint="eastAsia"/>
                      <w:color w:val="000000" w:themeColor="text1"/>
                      <w:sz w:val="21"/>
                      <w:szCs w:val="21"/>
                      <w:lang w:val="en-US" w:eastAsia="zh-CN"/>
                      <w14:textFill>
                        <w14:solidFill>
                          <w14:schemeClr w14:val="tx1"/>
                        </w14:solidFill>
                      </w14:textFill>
                    </w:rPr>
                    <w:t>陕西德禾鑫盛环保科技有限公司处置</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82" w:type="pct"/>
                  <w:vAlign w:val="center"/>
                </w:tcPr>
                <w:p w14:paraId="1855FC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00009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0CA5A040">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0C9B4D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vAlign w:val="center"/>
                </w:tcPr>
                <w:p w14:paraId="2A7A14D4">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对水基钻井液体系钻井废物宜实施固液分离处置，优先考虑钻井液回收</w:t>
                  </w:r>
                </w:p>
              </w:tc>
              <w:tc>
                <w:tcPr>
                  <w:tcW w:w="1258" w:type="pct"/>
                  <w:vMerge w:val="restart"/>
                  <w:vAlign w:val="center"/>
                </w:tcPr>
                <w:p w14:paraId="073F60B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项目钻井废水、洗井废水</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委托</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陕西</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榆佳环保科技有限公司处理；施工前需签订</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压裂返排液裂液</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处置合同，钻井过程产生的各类废物均能够得到合理处置</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，对周边环境影响较小</w:t>
                  </w:r>
                </w:p>
              </w:tc>
              <w:tc>
                <w:tcPr>
                  <w:tcW w:w="282" w:type="pct"/>
                  <w:vAlign w:val="center"/>
                </w:tcPr>
                <w:p w14:paraId="46EF95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797C7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7492FCC0">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1FDD3A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vAlign w:val="center"/>
                </w:tcPr>
                <w:p w14:paraId="796B0B5B">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处置过程保护场地周边地表水，地下水、土壤、空气、植被以及野生动植物栖息环境，避免造成环境污染和生态破坏；对钻井废弃物宜采取现场不落地收集措施</w:t>
                  </w:r>
                </w:p>
              </w:tc>
              <w:tc>
                <w:tcPr>
                  <w:tcW w:w="1258" w:type="pct"/>
                  <w:vMerge w:val="continue"/>
                  <w:vAlign w:val="center"/>
                </w:tcPr>
                <w:p w14:paraId="1A4DDA5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82" w:type="pct"/>
                  <w:vAlign w:val="center"/>
                </w:tcPr>
                <w:p w14:paraId="525489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44FA2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vAlign w:val="center"/>
                </w:tcPr>
                <w:p w14:paraId="2CC8AC8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1</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2</w:t>
                  </w:r>
                </w:p>
              </w:tc>
              <w:tc>
                <w:tcPr>
                  <w:tcW w:w="1430" w:type="pct"/>
                  <w:vMerge w:val="restart"/>
                  <w:vAlign w:val="center"/>
                </w:tcPr>
                <w:p w14:paraId="302DEC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《石油天然气钻井井控技术规范》（GB/T31-33-2014）</w:t>
                  </w:r>
                </w:p>
              </w:tc>
              <w:tc>
                <w:tcPr>
                  <w:tcW w:w="1754" w:type="pct"/>
                  <w:vAlign w:val="center"/>
                </w:tcPr>
                <w:p w14:paraId="215CA999">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油气井井口距高压线及其他永久性设施不小于</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75m</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；距民宅不小于</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100m</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；距铁路及高速公路不小于</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200m</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；距学校、医院、油库、人口密集及高危场所等不小于</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500m</w:t>
                  </w:r>
                </w:p>
              </w:tc>
              <w:tc>
                <w:tcPr>
                  <w:tcW w:w="1258" w:type="pct"/>
                  <w:vAlign w:val="center"/>
                </w:tcPr>
                <w:p w14:paraId="1CA6DAA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本项目评价井勘探拟建地附近75m内无高压线及其他永久性设施、100m内无民宅、200m内无铁路及高速公路、500m内无学校、医院、油库、人口密集及高危场所等。</w:t>
                  </w:r>
                </w:p>
              </w:tc>
              <w:tc>
                <w:tcPr>
                  <w:tcW w:w="282" w:type="pct"/>
                  <w:vAlign w:val="center"/>
                </w:tcPr>
                <w:p w14:paraId="25BAB3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68AE9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1FEABD56">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7A10B7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vAlign w:val="center"/>
                </w:tcPr>
                <w:p w14:paraId="0E9CF88E">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油气井之间的井口间距不小于2m；高压油气井，高含硫油气井井口距其他井口之间的距离大于钻进本井所用钻机的钻台长度，且不小于8m</w:t>
                  </w:r>
                </w:p>
              </w:tc>
              <w:tc>
                <w:tcPr>
                  <w:tcW w:w="1258" w:type="pct"/>
                  <w:vAlign w:val="center"/>
                </w:tcPr>
                <w:p w14:paraId="40B8E80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项目新建4口天然气评价井，相距最近的两口井井口之间相距2.96km。</w:t>
                  </w:r>
                </w:p>
              </w:tc>
              <w:tc>
                <w:tcPr>
                  <w:tcW w:w="282" w:type="pct"/>
                  <w:vAlign w:val="center"/>
                </w:tcPr>
                <w:p w14:paraId="021240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07D71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023F965A">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798B0D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vAlign w:val="center"/>
                </w:tcPr>
                <w:p w14:paraId="5BEBA37D">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井筒与地下矿产采掘坑道、矿井通道之间的距离不小于100m</w:t>
                  </w:r>
                </w:p>
              </w:tc>
              <w:tc>
                <w:tcPr>
                  <w:tcW w:w="1258" w:type="pct"/>
                  <w:vAlign w:val="center"/>
                </w:tcPr>
                <w:p w14:paraId="452EA5B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本项目附近无地下矿产采掘坑道。</w:t>
                  </w:r>
                </w:p>
              </w:tc>
              <w:tc>
                <w:tcPr>
                  <w:tcW w:w="282" w:type="pct"/>
                  <w:vAlign w:val="center"/>
                </w:tcPr>
                <w:p w14:paraId="2D53B7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5854D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vAlign w:val="center"/>
                </w:tcPr>
                <w:p w14:paraId="4C9A8DB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1</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3</w:t>
                  </w:r>
                </w:p>
              </w:tc>
              <w:tc>
                <w:tcPr>
                  <w:tcW w:w="1430" w:type="pct"/>
                  <w:vMerge w:val="restart"/>
                  <w:vAlign w:val="center"/>
                </w:tcPr>
                <w:p w14:paraId="146194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《石油天然气工程项目用地控制指标》（国土资规【2016】14号）</w:t>
                  </w:r>
                </w:p>
              </w:tc>
              <w:tc>
                <w:tcPr>
                  <w:tcW w:w="1754" w:type="pct"/>
                  <w:vAlign w:val="center"/>
                </w:tcPr>
                <w:p w14:paraId="489F40AF">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进井场道路用地指保证建井及生产期内通往井场的各型车辆安全通行，并能满足抢险车辆通行的新建或扩建道路所占用的土地。</w:t>
                  </w:r>
                </w:p>
                <w:p w14:paraId="57B57867">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进井场道路用地按道路宽度乘以道路长度进行计算。进井场道路路基用地宽度指标不应大于</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4.5m</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，边沟、护坡、防洪坝、挡土墙、错车道等用地按实际情况计算</w:t>
                  </w:r>
                </w:p>
              </w:tc>
              <w:tc>
                <w:tcPr>
                  <w:tcW w:w="1258" w:type="pct"/>
                  <w:vAlign w:val="center"/>
                </w:tcPr>
                <w:p w14:paraId="6C6C2EB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本项目新建进场道路653m，采用砂石路面，宽度为4m。</w:t>
                  </w:r>
                </w:p>
              </w:tc>
              <w:tc>
                <w:tcPr>
                  <w:tcW w:w="282" w:type="pct"/>
                  <w:vAlign w:val="center"/>
                </w:tcPr>
                <w:p w14:paraId="44F280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517DD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7E7285B0">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787C1E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vAlign w:val="center"/>
                </w:tcPr>
                <w:p w14:paraId="2D4C9FD9">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采气井场用地指保证建井和生产期内钻井作业、井下作业和摆放各种采气设施所占用的土地</w:t>
                  </w:r>
                </w:p>
              </w:tc>
              <w:tc>
                <w:tcPr>
                  <w:tcW w:w="1258" w:type="pct"/>
                  <w:vAlign w:val="center"/>
                </w:tcPr>
                <w:p w14:paraId="137B755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本项目井场临时占地可保证施工期内钻井作业和摆放各种采气设施。</w:t>
                  </w:r>
                </w:p>
              </w:tc>
              <w:tc>
                <w:tcPr>
                  <w:tcW w:w="282" w:type="pct"/>
                  <w:vAlign w:val="center"/>
                </w:tcPr>
                <w:p w14:paraId="5BF5A7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57E63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vAlign w:val="center"/>
                </w:tcPr>
                <w:p w14:paraId="4E82091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1</w:t>
                  </w:r>
                  <w:r>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t>4</w:t>
                  </w:r>
                </w:p>
              </w:tc>
              <w:tc>
                <w:tcPr>
                  <w:tcW w:w="1430" w:type="pct"/>
                  <w:vMerge w:val="restart"/>
                  <w:vAlign w:val="center"/>
                </w:tcPr>
                <w:p w14:paraId="4C6ED4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榆林市生态环境局关于印发《榆林市油气开发压裂返排液处置管理规定》的通知（榆政环发【2023】71号）</w:t>
                  </w:r>
                </w:p>
              </w:tc>
              <w:tc>
                <w:tcPr>
                  <w:tcW w:w="1754" w:type="pct"/>
                  <w:vAlign w:val="center"/>
                </w:tcPr>
                <w:p w14:paraId="6E998C0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油气开发企业是油气开发压裂返排液污染防治的责任主体，要将压裂返排液处置纳入油气开发项目生态环境保护总体规划及突发环境事件应急预案，制定油气开发压裂返排液治理方案</w:t>
                  </w:r>
                </w:p>
              </w:tc>
              <w:tc>
                <w:tcPr>
                  <w:tcW w:w="1258" w:type="pct"/>
                  <w:vAlign w:val="center"/>
                </w:tcPr>
                <w:p w14:paraId="3ABE9F9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本项目施工过程中将压裂返排液处置纳入油气开发项目生态环境保护总体规划及突发环境事件应急预案中，并且制定压裂返排液治理方案，能够确保压裂返排液得到合理处置</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82" w:type="pct"/>
                  <w:vAlign w:val="center"/>
                </w:tcPr>
                <w:p w14:paraId="43D6D2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6DB62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2B6C1D54">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7028D5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vAlign w:val="center"/>
                </w:tcPr>
                <w:p w14:paraId="409B383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无法自行处置压裂返排液的油气开发企业或井下作业总包单位，可与第三方单位签订压裂返排液处置协议，处置协议应明确双方污染防治责任</w:t>
                  </w:r>
                </w:p>
              </w:tc>
              <w:tc>
                <w:tcPr>
                  <w:tcW w:w="1258" w:type="pct"/>
                  <w:vAlign w:val="center"/>
                </w:tcPr>
                <w:p w14:paraId="574ADD8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已签订压裂返排液处置合同，合同中已明确双方污染防治责任。</w:t>
                  </w:r>
                </w:p>
              </w:tc>
              <w:tc>
                <w:tcPr>
                  <w:tcW w:w="282" w:type="pct"/>
                  <w:vAlign w:val="center"/>
                </w:tcPr>
                <w:p w14:paraId="7681EE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2A4CA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7E29C29A">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62ACD6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vAlign w:val="center"/>
                </w:tcPr>
                <w:p w14:paraId="60926D6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油气开发压裂返排液处置项目的中水用于油田同层回注的，油田回注单位应制定中水回注计划，计划要与回注区域油气开发总体规划及生产回注方案相符，明确回注水质、水量、压强及回注时限等相关指标，其中回注水水质需符合国家相关行业或者企业标准</w:t>
                  </w:r>
                </w:p>
              </w:tc>
              <w:tc>
                <w:tcPr>
                  <w:tcW w:w="1258" w:type="pct"/>
                  <w:vAlign w:val="center"/>
                </w:tcPr>
                <w:p w14:paraId="34480B0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本项目不涉及中水回注</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82" w:type="pct"/>
                  <w:vAlign w:val="center"/>
                </w:tcPr>
                <w:p w14:paraId="0BB5F0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3E856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3DEE3F7B">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2C030B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vAlign w:val="center"/>
                </w:tcPr>
                <w:p w14:paraId="1FCC36DD">
                  <w:pPr>
                    <w:pStyle w:val="28"/>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危险废物风险防范提升行动。持续开展年度危险废物规范化环境管理评估，危险废物安全处置率达到100%</w:t>
                  </w:r>
                </w:p>
              </w:tc>
              <w:tc>
                <w:tcPr>
                  <w:tcW w:w="1258" w:type="pct"/>
                  <w:vAlign w:val="center"/>
                </w:tcPr>
                <w:p w14:paraId="53EC4D94">
                  <w:pPr>
                    <w:pStyle w:val="28"/>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项目产生的压裂返排液收集于压裂返排液罐中，待施工结束后由防渗漏、防溢流的运输车辆统一转移至有</w:t>
                  </w:r>
                  <w:r>
                    <w:rPr>
                      <w:rFonts w:hint="eastAsia" w:cs="Times New Roman"/>
                      <w:color w:val="000000" w:themeColor="text1"/>
                      <w:sz w:val="21"/>
                      <w:szCs w:val="21"/>
                      <w:lang w:val="en-US" w:eastAsia="zh-CN"/>
                      <w14:textFill>
                        <w14:solidFill>
                          <w14:schemeClr w14:val="tx1"/>
                        </w14:solidFill>
                      </w14:textFill>
                    </w:rPr>
                    <w:t>能力</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单位处置</w:t>
                  </w:r>
                  <w:r>
                    <w:rPr>
                      <w:rFonts w:hint="eastAsia" w:cs="Times New Roman"/>
                      <w:color w:val="000000" w:themeColor="text1"/>
                      <w:sz w:val="21"/>
                      <w:szCs w:val="21"/>
                      <w:lang w:val="en-US" w:eastAsia="zh-CN"/>
                      <w14:textFill>
                        <w14:solidFill>
                          <w14:schemeClr w14:val="tx1"/>
                        </w14:solidFill>
                      </w14:textFill>
                    </w:rPr>
                    <w:t>。</w:t>
                  </w:r>
                </w:p>
              </w:tc>
              <w:tc>
                <w:tcPr>
                  <w:tcW w:w="282" w:type="pct"/>
                  <w:vAlign w:val="center"/>
                </w:tcPr>
                <w:p w14:paraId="2B3132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7DC38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Align w:val="center"/>
                </w:tcPr>
                <w:p w14:paraId="7A45DDB0">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15</w:t>
                  </w:r>
                </w:p>
              </w:tc>
              <w:tc>
                <w:tcPr>
                  <w:tcW w:w="1430" w:type="pct"/>
                  <w:vAlign w:val="center"/>
                </w:tcPr>
                <w:p w14:paraId="124502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《榆林市2025年生态环境保护铁腕治污攻坚行动方案》（榆字办〔2025〕4号）</w:t>
                  </w:r>
                </w:p>
              </w:tc>
              <w:tc>
                <w:tcPr>
                  <w:tcW w:w="1754" w:type="pct"/>
                  <w:vAlign w:val="center"/>
                </w:tcPr>
                <w:p w14:paraId="341CCE80">
                  <w:pPr>
                    <w:pStyle w:val="28"/>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扬尘整治精细化管控行动。严格落实企业主体责任和建筑工地扬尘管控“六个百分 之百”措施，将防治扬尘污染费用纳入工程造价；成立联合检查专班，按月开展联合执法，并监理问题台账，对产生扬尘污染防治的工地按职责权属依法查处，对拒不改正的工地责令停工整治。</w:t>
                  </w:r>
                </w:p>
              </w:tc>
              <w:tc>
                <w:tcPr>
                  <w:tcW w:w="1258" w:type="pct"/>
                  <w:vAlign w:val="center"/>
                </w:tcPr>
                <w:p w14:paraId="270158D5">
                  <w:pPr>
                    <w:pStyle w:val="28"/>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项目施工严格落实工地周边围挡、物料裸土覆盖、土方开挖(拆迁)湿法作业、路面硬化、出入车辆清洗、渣土车辆密闭运输“六个百分之百”以及车辆出入工地清洗制度，严禁带泥上路。工地场界建设喷淋设施</w:t>
                  </w:r>
                  <w:r>
                    <w:rPr>
                      <w:rFonts w:hint="eastAsia" w:cs="Times New Roman"/>
                      <w:color w:val="000000" w:themeColor="text1"/>
                      <w:sz w:val="21"/>
                      <w:szCs w:val="21"/>
                      <w:lang w:val="en-US" w:eastAsia="zh-CN"/>
                      <w14:textFill>
                        <w14:solidFill>
                          <w14:schemeClr w14:val="tx1"/>
                        </w14:solidFill>
                      </w14:textFill>
                    </w:rPr>
                    <w:t>降低扬尘排放量。</w:t>
                  </w:r>
                </w:p>
              </w:tc>
              <w:tc>
                <w:tcPr>
                  <w:tcW w:w="282" w:type="pct"/>
                  <w:vAlign w:val="center"/>
                </w:tcPr>
                <w:p w14:paraId="17FE19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1A116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273" w:type="pct"/>
                  <w:vMerge w:val="restart"/>
                  <w:vAlign w:val="center"/>
                </w:tcPr>
                <w:p w14:paraId="15F84F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16</w:t>
                  </w:r>
                </w:p>
              </w:tc>
              <w:tc>
                <w:tcPr>
                  <w:tcW w:w="1430" w:type="pct"/>
                  <w:vMerge w:val="restart"/>
                  <w:vAlign w:val="center"/>
                </w:tcPr>
                <w:p w14:paraId="4B6376B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《佳县2025年生态环境保护铁腕治污攻坚行动方案</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》佳办</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字</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〔202</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号）</w:t>
                  </w:r>
                </w:p>
              </w:tc>
              <w:tc>
                <w:tcPr>
                  <w:tcW w:w="1754" w:type="pct"/>
                  <w:vAlign w:val="center"/>
                </w:tcPr>
                <w:p w14:paraId="4A9E4AF7">
                  <w:pPr>
                    <w:pStyle w:val="28"/>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eastAsia" w:cs="Times New Roman"/>
                      <w:color w:val="000000" w:themeColor="text1"/>
                      <w:kern w:val="0"/>
                      <w:sz w:val="21"/>
                      <w:szCs w:val="21"/>
                      <w:highlight w:val="none"/>
                      <w:lang w:val="en-US" w:eastAsia="zh-CN" w:bidi="ar-SA"/>
                      <w14:textFill>
                        <w14:solidFill>
                          <w14:schemeClr w14:val="tx1"/>
                        </w14:solidFill>
                      </w14:textFill>
                    </w:rPr>
                    <w:t>一</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eastAsia" w:cs="Times New Roman"/>
                      <w:color w:val="000000" w:themeColor="text1"/>
                      <w:kern w:val="0"/>
                      <w:sz w:val="21"/>
                      <w:szCs w:val="21"/>
                      <w:highlight w:val="none"/>
                      <w:lang w:val="en-US" w:eastAsia="zh-CN" w:bidi="ar-SA"/>
                      <w14:textFill>
                        <w14:solidFill>
                          <w14:schemeClr w14:val="tx1"/>
                        </w14:solidFill>
                      </w14:textFill>
                    </w:rPr>
                    <w:t>扬尘整治精细化管控行动。严格落实企业主体责任和建筑工地扬尘管控“六个百分之百”措施。将防治扬尘污染费用纳入工程造价；成立联合检查专班，按月开展联合执法，对拒不改正的工地责令停工整治。</w:t>
                  </w:r>
                </w:p>
              </w:tc>
              <w:tc>
                <w:tcPr>
                  <w:tcW w:w="1258" w:type="pct"/>
                  <w:vAlign w:val="center"/>
                </w:tcPr>
                <w:p w14:paraId="1F13D2DC">
                  <w:pPr>
                    <w:pStyle w:val="28"/>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项目施工严格落实工地周边围挡、物料裸土覆盖、土方开挖(拆迁)湿法作业、路面硬化、出入车辆清洗、渣土车辆密闭运输“六个百分之百”以及车辆出入工地清洗制度，严禁带泥上路。工地场界建设喷淋设施</w:t>
                  </w:r>
                  <w:r>
                    <w:rPr>
                      <w:rFonts w:hint="eastAsia" w:cs="Times New Roman"/>
                      <w:color w:val="000000" w:themeColor="text1"/>
                      <w:sz w:val="21"/>
                      <w:szCs w:val="21"/>
                      <w:lang w:val="en-US" w:eastAsia="zh-CN"/>
                      <w14:textFill>
                        <w14:solidFill>
                          <w14:schemeClr w14:val="tx1"/>
                        </w14:solidFill>
                      </w14:textFill>
                    </w:rPr>
                    <w:t>降低扬尘排放量。</w:t>
                  </w:r>
                </w:p>
              </w:tc>
              <w:tc>
                <w:tcPr>
                  <w:tcW w:w="282" w:type="pct"/>
                  <w:vAlign w:val="center"/>
                </w:tcPr>
                <w:p w14:paraId="2CA1B5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yellow"/>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符合</w:t>
                  </w:r>
                </w:p>
              </w:tc>
            </w:tr>
            <w:tr w14:paraId="2A206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273" w:type="pct"/>
                  <w:vMerge w:val="continue"/>
                  <w:vAlign w:val="center"/>
                </w:tcPr>
                <w:p w14:paraId="5E33EE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46EE75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vAlign w:val="center"/>
                </w:tcPr>
                <w:p w14:paraId="6C455E6E">
                  <w:pPr>
                    <w:pStyle w:val="28"/>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三）机动车尾气管控行动。加强机动车污染源头控制，全面落实《关于预下达国I及以下排放标准柴油货车淘汰计划(2023-2025年)的通知》(榆政交发(2023】195号)要求，逐步淘汰国II及以下排放标准柴油货车。……鼓励加快非道路移动机械清洁能源替代。</w:t>
                  </w:r>
                </w:p>
              </w:tc>
              <w:tc>
                <w:tcPr>
                  <w:tcW w:w="1258" w:type="pct"/>
                  <w:vAlign w:val="center"/>
                </w:tcPr>
                <w:p w14:paraId="493BD7A2">
                  <w:pPr>
                    <w:pStyle w:val="28"/>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本项目施工期采用电驱动，施工期机械尾气达到</w:t>
                  </w:r>
                  <w:r>
                    <w:rPr>
                      <w:rFonts w:hint="default" w:cs="Times New Roman"/>
                      <w:color w:val="000000" w:themeColor="text1"/>
                      <w:sz w:val="21"/>
                      <w:szCs w:val="21"/>
                      <w:vertAlign w:val="baseline"/>
                      <w:lang w:val="en-US" w:eastAsia="zh-CN"/>
                      <w14:textFill>
                        <w14:solidFill>
                          <w14:schemeClr w14:val="tx1"/>
                        </w14:solidFill>
                      </w14:textFill>
                    </w:rPr>
                    <w:t>《非道路移动机械用柴油机排气污染物排放限值及测量方法（中国第四阶段）》（GB20891-2014）</w:t>
                  </w:r>
                  <w:r>
                    <w:rPr>
                      <w:rFonts w:hint="eastAsia" w:cs="Times New Roman"/>
                      <w:color w:val="000000" w:themeColor="text1"/>
                      <w:sz w:val="21"/>
                      <w:szCs w:val="21"/>
                      <w:vertAlign w:val="baseline"/>
                      <w:lang w:val="en-US" w:eastAsia="zh-CN"/>
                      <w14:textFill>
                        <w14:solidFill>
                          <w14:schemeClr w14:val="tx1"/>
                        </w14:solidFill>
                      </w14:textFill>
                    </w:rPr>
                    <w:t>限值要求</w:t>
                  </w:r>
                </w:p>
              </w:tc>
              <w:tc>
                <w:tcPr>
                  <w:tcW w:w="282" w:type="pct"/>
                  <w:vAlign w:val="center"/>
                </w:tcPr>
                <w:p w14:paraId="131395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4476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vAlign w:val="center"/>
                </w:tcPr>
                <w:p w14:paraId="5BB3D9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17</w:t>
                  </w:r>
                </w:p>
              </w:tc>
              <w:tc>
                <w:tcPr>
                  <w:tcW w:w="1430" w:type="pct"/>
                  <w:vMerge w:val="restart"/>
                  <w:vAlign w:val="center"/>
                </w:tcPr>
                <w:p w14:paraId="2AD5F1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《陕西省矿产资源总体规划》（2021-2025年）</w:t>
                  </w:r>
                </w:p>
              </w:tc>
              <w:tc>
                <w:tcPr>
                  <w:tcW w:w="1754" w:type="pct"/>
                  <w:vAlign w:val="center"/>
                </w:tcPr>
                <w:p w14:paraId="585C4867">
                  <w:pPr>
                    <w:pStyle w:val="28"/>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在鄂尔多斯盆地煤油气盐赋存区，加强石油、天然气、页岩气、煤层气等能源矿产的调查评价，加大石油、天然气勘探力度，稳步提高油气产能。</w:t>
                  </w:r>
                </w:p>
              </w:tc>
              <w:tc>
                <w:tcPr>
                  <w:tcW w:w="1258" w:type="pct"/>
                  <w:vMerge w:val="restart"/>
                  <w:vAlign w:val="center"/>
                </w:tcPr>
                <w:p w14:paraId="266FF6DD">
                  <w:pPr>
                    <w:pStyle w:val="28"/>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本项目属于天然气勘探工程，选址位于陕西鄂尔多斯盆地</w:t>
                  </w:r>
                  <w:r>
                    <w:rPr>
                      <w:rFonts w:hint="eastAsia" w:cs="Times New Roman"/>
                      <w:color w:val="000000" w:themeColor="text1"/>
                      <w:sz w:val="21"/>
                      <w:szCs w:val="21"/>
                      <w:highlight w:val="none"/>
                      <w:lang w:val="en-US" w:eastAsia="zh-CN"/>
                      <w14:textFill>
                        <w14:solidFill>
                          <w14:schemeClr w14:val="tx1"/>
                        </w14:solidFill>
                      </w14:textFill>
                    </w:rPr>
                    <w:t>神木气田米38区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天然气开采范围内，该区域已开采多年，宁榆天然气评价组为判断该区块后期是否具备继续大规模开采的价值，并评估如何开采，</w:t>
                  </w:r>
                  <w:r>
                    <w:rPr>
                      <w:rFonts w:hint="eastAsia" w:cs="Times New Roman"/>
                      <w:color w:val="000000" w:themeColor="text1"/>
                      <w:sz w:val="21"/>
                      <w:szCs w:val="21"/>
                      <w:highlight w:val="none"/>
                      <w:lang w:val="en-US" w:eastAsia="zh-CN"/>
                      <w14:textFill>
                        <w14:solidFill>
                          <w14:schemeClr w14:val="tx1"/>
                        </w14:solidFill>
                      </w14:textFill>
                    </w:rPr>
                    <w:t>本次</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为远期气田产能建设提供依据。</w:t>
                  </w:r>
                </w:p>
              </w:tc>
              <w:tc>
                <w:tcPr>
                  <w:tcW w:w="282" w:type="pct"/>
                  <w:vAlign w:val="center"/>
                </w:tcPr>
                <w:p w14:paraId="501BC1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30D18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2FD750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767E28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vAlign w:val="center"/>
                </w:tcPr>
                <w:p w14:paraId="6DE97966">
                  <w:pPr>
                    <w:pStyle w:val="28"/>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按照“稳油增气、常非并举”的部署，推进石油增储稳产天然气增储扩产、煤层气增储上产。加强鄂尔多斯盆地油气勘查，加大页岩气、煤层气等非常规油气勘查力度，形成新的资源接续区。</w:t>
                  </w:r>
                </w:p>
              </w:tc>
              <w:tc>
                <w:tcPr>
                  <w:tcW w:w="1258" w:type="pct"/>
                  <w:vMerge w:val="continue"/>
                  <w:vAlign w:val="center"/>
                </w:tcPr>
                <w:p w14:paraId="016FEB66">
                  <w:pPr>
                    <w:pStyle w:val="28"/>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82" w:type="pct"/>
                  <w:vAlign w:val="center"/>
                </w:tcPr>
                <w:p w14:paraId="712EF7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2C14F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0C124E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796613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vAlign w:val="center"/>
                </w:tcPr>
                <w:p w14:paraId="68D843EB">
                  <w:pPr>
                    <w:pStyle w:val="28"/>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严格勘查空间布局管控，生态保护红线范围内原则上禁止不符合管控要求的矿产资源勘查。</w:t>
                  </w:r>
                </w:p>
              </w:tc>
              <w:tc>
                <w:tcPr>
                  <w:tcW w:w="1258" w:type="pct"/>
                  <w:vMerge w:val="continue"/>
                  <w:vAlign w:val="center"/>
                </w:tcPr>
                <w:p w14:paraId="2A0D99C5">
                  <w:pPr>
                    <w:pStyle w:val="28"/>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82" w:type="pct"/>
                  <w:vAlign w:val="center"/>
                </w:tcPr>
                <w:p w14:paraId="60B23A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2B50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vAlign w:val="center"/>
                </w:tcPr>
                <w:p w14:paraId="059BCF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18</w:t>
                  </w:r>
                </w:p>
              </w:tc>
              <w:tc>
                <w:tcPr>
                  <w:tcW w:w="1430" w:type="pct"/>
                  <w:vMerge w:val="restart"/>
                  <w:vAlign w:val="center"/>
                </w:tcPr>
                <w:p w14:paraId="458D76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《榆林市关于开展油气开采废弃物集中处置的通知》</w:t>
                  </w:r>
                </w:p>
              </w:tc>
              <w:tc>
                <w:tcPr>
                  <w:tcW w:w="1754" w:type="pct"/>
                  <w:vAlign w:val="center"/>
                </w:tcPr>
                <w:p w14:paraId="1A3146E5">
                  <w:pPr>
                    <w:pStyle w:val="28"/>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申报登记：根据《中华人民共和国固体废物污染环境防治法》及《中华人民共和国水污染防治法》相关规定，油气开发业主单位在井场钻井作业15日前，须向所在县区环保局报送《榆林市油气开采废弃物申报表》（见附件1），就单井油气开采废弃物产生情况及“三统一”实施计划进行申报，同时报市局备案； </w:t>
                  </w:r>
                </w:p>
              </w:tc>
              <w:tc>
                <w:tcPr>
                  <w:tcW w:w="1258" w:type="pct"/>
                  <w:vAlign w:val="center"/>
                </w:tcPr>
                <w:p w14:paraId="34F45D33">
                  <w:pPr>
                    <w:pStyle w:val="28"/>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本项目拟</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在井场钻井作业15日前向</w:t>
                  </w:r>
                  <w:r>
                    <w:rPr>
                      <w:rFonts w:hint="eastAsia" w:cs="Times New Roman"/>
                      <w:color w:val="000000" w:themeColor="text1"/>
                      <w:sz w:val="21"/>
                      <w:szCs w:val="21"/>
                      <w:lang w:val="en-US" w:eastAsia="zh-CN"/>
                      <w14:textFill>
                        <w14:solidFill>
                          <w14:schemeClr w14:val="tx1"/>
                        </w14:solidFill>
                      </w14:textFill>
                    </w:rPr>
                    <w:t>榆林市佳县生态环境局</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报送《榆林市油气开采废弃物申报表》就单井油气开采废弃物产生情况及“三统一”实施计划进行申报，同时报市局备案</w:t>
                  </w:r>
                  <w:r>
                    <w:rPr>
                      <w:rFonts w:hint="eastAsia" w:cs="Times New Roman"/>
                      <w:color w:val="000000" w:themeColor="text1"/>
                      <w:sz w:val="21"/>
                      <w:szCs w:val="21"/>
                      <w:lang w:val="en-US" w:eastAsia="zh-CN"/>
                      <w14:textFill>
                        <w14:solidFill>
                          <w14:schemeClr w14:val="tx1"/>
                        </w14:solidFill>
                      </w14:textFill>
                    </w:rPr>
                    <w:t>。</w:t>
                  </w:r>
                </w:p>
              </w:tc>
              <w:tc>
                <w:tcPr>
                  <w:tcW w:w="282" w:type="pct"/>
                  <w:vAlign w:val="center"/>
                </w:tcPr>
                <w:p w14:paraId="4A0AFF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090F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2BDB2D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2DD31C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vAlign w:val="center"/>
                </w:tcPr>
                <w:p w14:paraId="15C3112B">
                  <w:pPr>
                    <w:pStyle w:val="28"/>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管理台帐：根据《陕西省煤炭石油天然气开发环境保护条例》及《陕西省固体废物污染环境防治条例》相关规定，油气开发业主单位要建立健全污染环境防治责任制度，采取油气开采废弃物防扬散、防流失、防渗漏或者其他防止污染环境的收集措施，分类贮存。</w:t>
                  </w:r>
                </w:p>
              </w:tc>
              <w:tc>
                <w:tcPr>
                  <w:tcW w:w="1258" w:type="pct"/>
                  <w:vAlign w:val="center"/>
                </w:tcPr>
                <w:p w14:paraId="777536E9">
                  <w:pPr>
                    <w:pStyle w:val="28"/>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中国石油天然气股份有限公司长庆油田分公司设质量安全环保科，设专职人员进行安全环保管理。在施工期制定安全环境管理制度，贯彻执行国家和地方各项环保方针，政策和法规，并采取天然气开采废弃物防扬散、防流失、防渗漏或者其他防止污染环境的收集措施，分类贮存。</w:t>
                  </w:r>
                </w:p>
              </w:tc>
              <w:tc>
                <w:tcPr>
                  <w:tcW w:w="282" w:type="pct"/>
                  <w:vAlign w:val="center"/>
                </w:tcPr>
                <w:p w14:paraId="490D9C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621E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22719D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1479B7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vAlign w:val="center"/>
                </w:tcPr>
                <w:p w14:paraId="57AA3D1E">
                  <w:pPr>
                    <w:pStyle w:val="28"/>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处置：根据《中华人民共和国固体废物污染环境防治法》、《中华人民共和国水污染防治法》及《陕西省固体废物污染环境防治条例》相关规定，油气开发业主单位应对油气开采废弃物加以利用，对不能利用的，委托有资质单位进行规范化处置，严禁就地固化掩埋。</w:t>
                  </w:r>
                </w:p>
              </w:tc>
              <w:tc>
                <w:tcPr>
                  <w:tcW w:w="1258" w:type="pct"/>
                  <w:vAlign w:val="center"/>
                </w:tcPr>
                <w:p w14:paraId="31635C2B">
                  <w:pPr>
                    <w:pStyle w:val="28"/>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项目泥浆上清液排入地上移动式污水罐，用于配制泥浆，循环使用，对钻井完不能利用的交</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陕西</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榆佳环保科技有限公司</w:t>
                  </w:r>
                  <w:r>
                    <w:rPr>
                      <w:rFonts w:hint="eastAsia" w:cs="Times New Roman"/>
                      <w:color w:val="000000" w:themeColor="text1"/>
                      <w:sz w:val="21"/>
                      <w:szCs w:val="21"/>
                      <w:vertAlign w:val="baseline"/>
                      <w:lang w:val="en-US" w:eastAsia="zh-CN"/>
                      <w14:textFill>
                        <w14:solidFill>
                          <w14:schemeClr w14:val="tx1"/>
                        </w14:solidFill>
                      </w14:textFill>
                    </w:rPr>
                    <w:t>处置</w:t>
                  </w:r>
                </w:p>
              </w:tc>
              <w:tc>
                <w:tcPr>
                  <w:tcW w:w="282" w:type="pct"/>
                  <w:vAlign w:val="center"/>
                </w:tcPr>
                <w:p w14:paraId="0F32A9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607DF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vAlign w:val="center"/>
                </w:tcPr>
                <w:p w14:paraId="65D23E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19</w:t>
                  </w:r>
                </w:p>
              </w:tc>
              <w:tc>
                <w:tcPr>
                  <w:tcW w:w="1430" w:type="pct"/>
                  <w:vMerge w:val="restart"/>
                  <w:vAlign w:val="center"/>
                </w:tcPr>
                <w:p w14:paraId="7E5F6D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《榆林市矿产资源总体规划》（2021-2025年）</w:t>
                  </w:r>
                </w:p>
              </w:tc>
              <w:tc>
                <w:tcPr>
                  <w:tcW w:w="1754" w:type="pct"/>
                  <w:shd w:val="clear" w:color="auto" w:fill="auto"/>
                  <w:vAlign w:val="center"/>
                </w:tcPr>
                <w:p w14:paraId="26C7B771">
                  <w:pPr>
                    <w:pStyle w:val="28"/>
                    <w:keepNext w:val="0"/>
                    <w:keepLines w:val="0"/>
                    <w:pageBreakBefore w:val="0"/>
                    <w:numPr>
                      <w:ilvl w:val="0"/>
                      <w:numId w:val="2"/>
                    </w:numPr>
                    <w:kinsoku/>
                    <w:wordWrap/>
                    <w:overflowPunct/>
                    <w:topLinePunct w:val="0"/>
                    <w:autoSpaceDE/>
                    <w:autoSpaceDN/>
                    <w:bidi w:val="0"/>
                    <w:ind w:firstLine="0" w:firstLineChars="0"/>
                    <w:jc w:val="both"/>
                    <w:rPr>
                      <w:rFonts w:hint="eastAsia"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统筹勘察开发保护区域布局</w:t>
                  </w:r>
                </w:p>
                <w:p w14:paraId="577C0F3B">
                  <w:pPr>
                    <w:pStyle w:val="28"/>
                    <w:keepNext w:val="0"/>
                    <w:keepLines w:val="0"/>
                    <w:pageBreakBefore w:val="0"/>
                    <w:numPr>
                      <w:ilvl w:val="0"/>
                      <w:numId w:val="0"/>
                    </w:numPr>
                    <w:kinsoku/>
                    <w:wordWrap/>
                    <w:overflowPunct/>
                    <w:topLinePunct w:val="0"/>
                    <w:autoSpaceDE/>
                    <w:autoSpaceDN/>
                    <w:bidi w:val="0"/>
                    <w:ind w:left="0" w:leftChars="0" w:firstLine="0" w:firstLineChars="0"/>
                    <w:jc w:val="both"/>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加快神木、榆阳、米脂、佳县岩盐的勘察开发程度，大力推进煤、油、气、盐一体化格局发展。</w:t>
                  </w:r>
                </w:p>
              </w:tc>
              <w:tc>
                <w:tcPr>
                  <w:tcW w:w="1258" w:type="pct"/>
                  <w:shd w:val="clear" w:color="auto" w:fill="auto"/>
                  <w:vAlign w:val="center"/>
                </w:tcPr>
                <w:p w14:paraId="7ECD4048">
                  <w:pPr>
                    <w:pStyle w:val="28"/>
                    <w:keepNext w:val="0"/>
                    <w:keepLines w:val="0"/>
                    <w:pageBreakBefore w:val="0"/>
                    <w:kinsoku/>
                    <w:wordWrap/>
                    <w:overflowPunct/>
                    <w:topLinePunct w:val="0"/>
                    <w:autoSpaceDE/>
                    <w:autoSpaceDN/>
                    <w:bidi w:val="0"/>
                    <w:ind w:firstLine="0" w:firstLineChars="0"/>
                    <w:jc w:val="both"/>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本项目位于佳县方塌，为天然气勘探项目，符合“</w:t>
                  </w:r>
                  <w:r>
                    <w:rPr>
                      <w:rFonts w:hint="eastAsia" w:cs="Times New Roman"/>
                      <w:b w:val="0"/>
                      <w:bCs w:val="0"/>
                      <w:color w:val="000000" w:themeColor="text1"/>
                      <w:sz w:val="21"/>
                      <w:szCs w:val="21"/>
                      <w:lang w:val="en-US" w:eastAsia="zh-CN"/>
                      <w14:textFill>
                        <w14:solidFill>
                          <w14:schemeClr w14:val="tx1"/>
                        </w14:solidFill>
                      </w14:textFill>
                    </w:rPr>
                    <w:t>大力推进煤、油、气、盐一体化格局发展</w:t>
                  </w:r>
                  <w:r>
                    <w:rPr>
                      <w:rFonts w:hint="eastAsia" w:cs="Times New Roman"/>
                      <w:color w:val="000000" w:themeColor="text1"/>
                      <w:sz w:val="21"/>
                      <w:szCs w:val="21"/>
                      <w:lang w:val="en-US" w:eastAsia="zh-CN"/>
                      <w14:textFill>
                        <w14:solidFill>
                          <w14:schemeClr w14:val="tx1"/>
                        </w14:solidFill>
                      </w14:textFill>
                    </w:rPr>
                    <w:t>”要求</w:t>
                  </w:r>
                </w:p>
              </w:tc>
              <w:tc>
                <w:tcPr>
                  <w:tcW w:w="282" w:type="pct"/>
                  <w:shd w:val="clear" w:color="auto" w:fill="auto"/>
                  <w:vAlign w:val="center"/>
                </w:tcPr>
                <w:p w14:paraId="69CD0C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7193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4457C0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56D731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shd w:val="clear" w:color="auto" w:fill="auto"/>
                  <w:vAlign w:val="center"/>
                </w:tcPr>
                <w:p w14:paraId="0DECA10A">
                  <w:pPr>
                    <w:pStyle w:val="28"/>
                    <w:keepNext w:val="0"/>
                    <w:keepLines w:val="0"/>
                    <w:pageBreakBefore w:val="0"/>
                    <w:numPr>
                      <w:ilvl w:val="0"/>
                      <w:numId w:val="3"/>
                    </w:numPr>
                    <w:kinsoku/>
                    <w:wordWrap/>
                    <w:overflowPunct/>
                    <w:topLinePunct w:val="0"/>
                    <w:autoSpaceDE/>
                    <w:autoSpaceDN/>
                    <w:bidi w:val="0"/>
                    <w:jc w:val="both"/>
                    <w:rPr>
                      <w:rFonts w:hint="eastAsia"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明确矿产资源勘查开采调控方向</w:t>
                  </w:r>
                </w:p>
                <w:p w14:paraId="1D33911D">
                  <w:pPr>
                    <w:pStyle w:val="28"/>
                    <w:keepNext w:val="0"/>
                    <w:keepLines w:val="0"/>
                    <w:pageBreakBefore w:val="0"/>
                    <w:numPr>
                      <w:ilvl w:val="0"/>
                      <w:numId w:val="0"/>
                    </w:numPr>
                    <w:kinsoku/>
                    <w:wordWrap/>
                    <w:overflowPunct/>
                    <w:topLinePunct w:val="0"/>
                    <w:autoSpaceDE/>
                    <w:autoSpaceDN/>
                    <w:bidi w:val="0"/>
                    <w:ind w:left="0" w:leftChars="0" w:firstLine="0" w:firstLineChars="0"/>
                    <w:jc w:val="both"/>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限制勘察高硫煤，勘察区块投放前应做好论证。结合国家战略性矿产、省市优势紧缺矿产的找矿目标及榆林煤、油、气、盐一体化发展格局，重点勘察石油、天然气、煤炭、煤层气、地热等矿产。</w:t>
                  </w:r>
                </w:p>
              </w:tc>
              <w:tc>
                <w:tcPr>
                  <w:tcW w:w="1258" w:type="pct"/>
                  <w:shd w:val="clear" w:color="auto" w:fill="auto"/>
                  <w:vAlign w:val="center"/>
                </w:tcPr>
                <w:p w14:paraId="72074DBE">
                  <w:pPr>
                    <w:pStyle w:val="28"/>
                    <w:keepNext w:val="0"/>
                    <w:keepLines w:val="0"/>
                    <w:pageBreakBefore w:val="0"/>
                    <w:kinsoku/>
                    <w:wordWrap/>
                    <w:overflowPunct/>
                    <w:topLinePunct w:val="0"/>
                    <w:autoSpaceDE/>
                    <w:autoSpaceDN/>
                    <w:bidi w:val="0"/>
                    <w:ind w:firstLine="0" w:firstLineChars="0"/>
                    <w:jc w:val="both"/>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本项目位于佳县方塌镇，为天然气勘探项目，符合“</w:t>
                  </w:r>
                  <w:r>
                    <w:rPr>
                      <w:rFonts w:hint="eastAsia" w:cs="Times New Roman"/>
                      <w:b w:val="0"/>
                      <w:bCs w:val="0"/>
                      <w:color w:val="000000" w:themeColor="text1"/>
                      <w:sz w:val="21"/>
                      <w:szCs w:val="21"/>
                      <w:lang w:val="en-US" w:eastAsia="zh-CN"/>
                      <w14:textFill>
                        <w14:solidFill>
                          <w14:schemeClr w14:val="tx1"/>
                        </w14:solidFill>
                      </w14:textFill>
                    </w:rPr>
                    <w:t>重点勘察石油、天然气、煤炭、煤层气、地热等矿产</w:t>
                  </w:r>
                  <w:r>
                    <w:rPr>
                      <w:rFonts w:hint="eastAsia" w:cs="Times New Roman"/>
                      <w:color w:val="000000" w:themeColor="text1"/>
                      <w:sz w:val="21"/>
                      <w:szCs w:val="21"/>
                      <w:lang w:val="en-US" w:eastAsia="zh-CN"/>
                      <w14:textFill>
                        <w14:solidFill>
                          <w14:schemeClr w14:val="tx1"/>
                        </w14:solidFill>
                      </w14:textFill>
                    </w:rPr>
                    <w:t>”要求</w:t>
                  </w:r>
                </w:p>
              </w:tc>
              <w:tc>
                <w:tcPr>
                  <w:tcW w:w="282" w:type="pct"/>
                  <w:shd w:val="clear" w:color="auto" w:fill="auto"/>
                  <w:vAlign w:val="center"/>
                </w:tcPr>
                <w:p w14:paraId="344CF8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4EF77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7AC154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25ADFB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shd w:val="clear" w:color="auto" w:fill="auto"/>
                  <w:vAlign w:val="center"/>
                </w:tcPr>
                <w:p w14:paraId="4A657FD4">
                  <w:pPr>
                    <w:pStyle w:val="28"/>
                    <w:keepNext w:val="0"/>
                    <w:keepLines w:val="0"/>
                    <w:pageBreakBefore w:val="0"/>
                    <w:numPr>
                      <w:ilvl w:val="0"/>
                      <w:numId w:val="0"/>
                    </w:numPr>
                    <w:kinsoku/>
                    <w:wordWrap/>
                    <w:overflowPunct/>
                    <w:topLinePunct w:val="0"/>
                    <w:autoSpaceDE/>
                    <w:autoSpaceDN/>
                    <w:bidi w:val="0"/>
                    <w:ind w:left="0" w:leftChars="0" w:firstLine="0" w:firstLineChars="0"/>
                    <w:jc w:val="both"/>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全面推进地质勘查全过程绿色勘查。勘查工作开展前应不断优化勘查设计，明确绿色勘查工作的具体内容、技术标准要求和保障措施，做好设计审查工作；勘查施工中应采用先进技术、方法、工艺、设备和新材料，积极开展勘查技术与管理的创新；勘查工作结束后，应鼓励提炼出可复制、能推广的绿色勘查经验。通过谋划在前、过程监管、事后总结将绿色勘查贯穿于勘查活动的全过程。</w:t>
                  </w:r>
                </w:p>
              </w:tc>
              <w:tc>
                <w:tcPr>
                  <w:tcW w:w="1258" w:type="pct"/>
                  <w:shd w:val="clear" w:color="auto" w:fill="auto"/>
                  <w:vAlign w:val="center"/>
                </w:tcPr>
                <w:p w14:paraId="3A2015AE">
                  <w:pPr>
                    <w:pStyle w:val="28"/>
                    <w:keepNext w:val="0"/>
                    <w:keepLines w:val="0"/>
                    <w:pageBreakBefore w:val="0"/>
                    <w:kinsoku/>
                    <w:wordWrap/>
                    <w:overflowPunct/>
                    <w:topLinePunct w:val="0"/>
                    <w:autoSpaceDE/>
                    <w:autoSpaceDN/>
                    <w:bidi w:val="0"/>
                    <w:ind w:firstLine="0" w:firstLineChars="0"/>
                    <w:jc w:val="both"/>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本项目勘察过程中使用电驱动，属于清洁能源，钻进过程采用水基钻井液，勘探工程结束后对场地进行绿化恢复，符合绿色勘察要求。</w:t>
                  </w:r>
                </w:p>
              </w:tc>
              <w:tc>
                <w:tcPr>
                  <w:tcW w:w="282" w:type="pct"/>
                  <w:shd w:val="clear" w:color="auto" w:fill="auto"/>
                  <w:vAlign w:val="center"/>
                </w:tcPr>
                <w:p w14:paraId="215C37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40D77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restart"/>
                  <w:vAlign w:val="center"/>
                </w:tcPr>
                <w:p w14:paraId="76282B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20</w:t>
                  </w:r>
                </w:p>
              </w:tc>
              <w:tc>
                <w:tcPr>
                  <w:tcW w:w="1430" w:type="pct"/>
                  <w:vMerge w:val="restart"/>
                  <w:vAlign w:val="center"/>
                </w:tcPr>
                <w:p w14:paraId="510543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《佳县矿产资源总体规划（2021-2025年）》</w:t>
                  </w:r>
                </w:p>
              </w:tc>
              <w:tc>
                <w:tcPr>
                  <w:tcW w:w="1754" w:type="pct"/>
                  <w:shd w:val="clear" w:color="auto" w:fill="auto"/>
                  <w:vAlign w:val="center"/>
                </w:tcPr>
                <w:p w14:paraId="253D6CAE">
                  <w:pPr>
                    <w:pStyle w:val="28"/>
                    <w:keepNext w:val="0"/>
                    <w:keepLines w:val="0"/>
                    <w:pageBreakBefore w:val="0"/>
                    <w:numPr>
                      <w:ilvl w:val="0"/>
                      <w:numId w:val="0"/>
                    </w:numPr>
                    <w:kinsoku/>
                    <w:wordWrap/>
                    <w:overflowPunct/>
                    <w:topLinePunct w:val="0"/>
                    <w:autoSpaceDE/>
                    <w:autoSpaceDN/>
                    <w:bidi w:val="0"/>
                    <w:ind w:left="0" w:leftChars="0" w:firstLine="0" w:firstLineChars="0"/>
                    <w:jc w:val="both"/>
                    <w:rPr>
                      <w:rFonts w:hint="eastAsia" w:cs="Times New Roman"/>
                      <w:b w:val="0"/>
                      <w:bCs w:val="0"/>
                      <w:color w:val="000000" w:themeColor="text1"/>
                      <w:sz w:val="21"/>
                      <w:szCs w:val="21"/>
                      <w:lang w:val="en-US" w:eastAsia="zh-CN"/>
                      <w14:textFill>
                        <w14:solidFill>
                          <w14:schemeClr w14:val="tx1"/>
                        </w14:solidFill>
                      </w14:textFill>
                    </w:rPr>
                  </w:pPr>
                  <w:bookmarkStart w:id="1" w:name="_Hlk103097076"/>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加强</w:t>
                  </w:r>
                  <w:r>
                    <w:rPr>
                      <w:rFonts w:hint="eastAsia" w:ascii="Times New Roman" w:hAnsi="Times New Roman" w:eastAsia="宋体" w:cs="Times New Roman"/>
                      <w:b w:val="0"/>
                      <w:bCs w:val="0"/>
                      <w:color w:val="000000" w:themeColor="text1"/>
                      <w:sz w:val="21"/>
                      <w:szCs w:val="21"/>
                      <w:lang w:val="en" w:eastAsia="en-US"/>
                      <w14:textFill>
                        <w14:solidFill>
                          <w14:schemeClr w14:val="tx1"/>
                        </w14:solidFill>
                      </w14:textFill>
                    </w:rPr>
                    <w:t>矿产资源勘查</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程度，增加资源储量，提高资源保障程度；提高</w:t>
                  </w:r>
                  <w:r>
                    <w:rPr>
                      <w:rFonts w:hint="eastAsia" w:ascii="Times New Roman" w:hAnsi="Times New Roman" w:eastAsia="宋体" w:cs="Times New Roman"/>
                      <w:b w:val="0"/>
                      <w:bCs w:val="0"/>
                      <w:color w:val="000000" w:themeColor="text1"/>
                      <w:sz w:val="21"/>
                      <w:szCs w:val="21"/>
                      <w:lang w:val="en" w:eastAsia="en-US"/>
                      <w14:textFill>
                        <w14:solidFill>
                          <w14:schemeClr w14:val="tx1"/>
                        </w14:solidFill>
                      </w14:textFill>
                    </w:rPr>
                    <w:t>矿产资源开发利用与保护</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力度</w:t>
                  </w:r>
                  <w:r>
                    <w:rPr>
                      <w:rFonts w:hint="eastAsia" w:ascii="Times New Roman" w:hAnsi="Times New Roman" w:eastAsia="宋体" w:cs="Times New Roman"/>
                      <w:b w:val="0"/>
                      <w:bCs w:val="0"/>
                      <w:color w:val="000000" w:themeColor="text1"/>
                      <w:sz w:val="21"/>
                      <w:szCs w:val="21"/>
                      <w:lang w:val="en" w:eastAsia="en-US"/>
                      <w14:textFill>
                        <w14:solidFill>
                          <w14:schemeClr w14:val="tx1"/>
                        </w14:solidFill>
                      </w14:textFill>
                    </w:rPr>
                    <w:t>，合理调控开发总量</w:t>
                  </w:r>
                  <w:r>
                    <w:rPr>
                      <w:rFonts w:hint="eastAsia" w:ascii="Times New Roman" w:hAnsi="Times New Roman" w:eastAsia="宋体" w:cs="Times New Roman"/>
                      <w:b w:val="0"/>
                      <w:bCs w:val="0"/>
                      <w:color w:val="000000" w:themeColor="text1"/>
                      <w:sz w:val="21"/>
                      <w:szCs w:val="21"/>
                      <w:lang w:val="en"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矿山</w:t>
                  </w:r>
                  <w:r>
                    <w:rPr>
                      <w:rFonts w:hint="eastAsia" w:ascii="Times New Roman" w:hAnsi="Times New Roman" w:eastAsia="宋体" w:cs="Times New Roman"/>
                      <w:b w:val="0"/>
                      <w:bCs w:val="0"/>
                      <w:color w:val="000000" w:themeColor="text1"/>
                      <w:sz w:val="21"/>
                      <w:szCs w:val="21"/>
                      <w:lang w:val="en" w:eastAsia="en-US"/>
                      <w14:textFill>
                        <w14:solidFill>
                          <w14:schemeClr w14:val="tx1"/>
                        </w14:solidFill>
                      </w14:textFill>
                    </w:rPr>
                    <w:t>开发利用布局与结构更加</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合理</w:t>
                  </w:r>
                  <w:r>
                    <w:rPr>
                      <w:rFonts w:hint="eastAsia" w:ascii="Times New Roman" w:hAnsi="Times New Roman" w:eastAsia="宋体" w:cs="Times New Roman"/>
                      <w:b w:val="0"/>
                      <w:bCs w:val="0"/>
                      <w:color w:val="000000" w:themeColor="text1"/>
                      <w:sz w:val="21"/>
                      <w:szCs w:val="21"/>
                      <w:lang w:val="en" w:eastAsia="en-US"/>
                      <w14:textFill>
                        <w14:solidFill>
                          <w14:schemeClr w14:val="tx1"/>
                        </w14:solidFill>
                      </w14:textFill>
                    </w:rPr>
                    <w:t>，资源节约集约和高效利用水平</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进一步</w:t>
                  </w:r>
                  <w:r>
                    <w:rPr>
                      <w:rFonts w:hint="eastAsia" w:ascii="Times New Roman" w:hAnsi="Times New Roman" w:eastAsia="宋体" w:cs="Times New Roman"/>
                      <w:b w:val="0"/>
                      <w:bCs w:val="0"/>
                      <w:color w:val="000000" w:themeColor="text1"/>
                      <w:sz w:val="21"/>
                      <w:szCs w:val="21"/>
                      <w:lang w:val="en" w:eastAsia="en-US"/>
                      <w14:textFill>
                        <w14:solidFill>
                          <w14:schemeClr w14:val="tx1"/>
                        </w14:solidFill>
                      </w14:textFill>
                    </w:rPr>
                    <w:t>提升。矿产资源绿色</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勘查</w:t>
                  </w:r>
                  <w:r>
                    <w:rPr>
                      <w:rFonts w:hint="eastAsia" w:ascii="Times New Roman" w:hAnsi="Times New Roman" w:eastAsia="宋体" w:cs="Times New Roman"/>
                      <w:b w:val="0"/>
                      <w:bCs w:val="0"/>
                      <w:color w:val="000000" w:themeColor="text1"/>
                      <w:sz w:val="21"/>
                      <w:szCs w:val="21"/>
                      <w:lang w:val="en" w:eastAsia="en-US"/>
                      <w14:textFill>
                        <w14:solidFill>
                          <w14:schemeClr w14:val="tx1"/>
                        </w14:solidFill>
                      </w14:textFill>
                    </w:rPr>
                    <w:t>开采稳步推进</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lang w:val="en" w:eastAsia="en-US"/>
                      <w14:textFill>
                        <w14:solidFill>
                          <w14:schemeClr w14:val="tx1"/>
                        </w14:solidFill>
                      </w14:textFill>
                    </w:rPr>
                    <w:t>绿色发展新格局基本形成。</w:t>
                  </w:r>
                  <w:bookmarkEnd w:id="1"/>
                </w:p>
              </w:tc>
              <w:tc>
                <w:tcPr>
                  <w:tcW w:w="1258" w:type="pct"/>
                  <w:shd w:val="clear" w:color="auto" w:fill="auto"/>
                  <w:vAlign w:val="center"/>
                </w:tcPr>
                <w:p w14:paraId="6770892C">
                  <w:pPr>
                    <w:pStyle w:val="28"/>
                    <w:keepNext w:val="0"/>
                    <w:keepLines w:val="0"/>
                    <w:pageBreakBefore w:val="0"/>
                    <w:kinsoku/>
                    <w:wordWrap/>
                    <w:overflowPunct/>
                    <w:topLinePunct w:val="0"/>
                    <w:autoSpaceDE/>
                    <w:autoSpaceDN/>
                    <w:bidi w:val="0"/>
                    <w:ind w:firstLine="0" w:firstLineChars="0"/>
                    <w:jc w:val="both"/>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本项目位于榆林市佳县方塌镇，属于天然气勘探，勘探过程采用电驱动，符合“加强矿产资源勘查程度”、“</w:t>
                  </w:r>
                  <w:r>
                    <w:rPr>
                      <w:rFonts w:hint="eastAsia" w:ascii="Times New Roman" w:hAnsi="Times New Roman" w:eastAsia="宋体" w:cs="Times New Roman"/>
                      <w:b w:val="0"/>
                      <w:bCs w:val="0"/>
                      <w:color w:val="000000" w:themeColor="text1"/>
                      <w:sz w:val="21"/>
                      <w:szCs w:val="21"/>
                      <w:lang w:val="en" w:eastAsia="en-US"/>
                      <w14:textFill>
                        <w14:solidFill>
                          <w14:schemeClr w14:val="tx1"/>
                        </w14:solidFill>
                      </w14:textFill>
                    </w:rPr>
                    <w:t>矿产资源绿色</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勘查</w:t>
                  </w:r>
                  <w:r>
                    <w:rPr>
                      <w:rFonts w:hint="eastAsia" w:ascii="Times New Roman" w:hAnsi="Times New Roman" w:eastAsia="宋体" w:cs="Times New Roman"/>
                      <w:b w:val="0"/>
                      <w:bCs w:val="0"/>
                      <w:color w:val="000000" w:themeColor="text1"/>
                      <w:sz w:val="21"/>
                      <w:szCs w:val="21"/>
                      <w:lang w:val="en" w:eastAsia="en-US"/>
                      <w14:textFill>
                        <w14:solidFill>
                          <w14:schemeClr w14:val="tx1"/>
                        </w14:solidFill>
                      </w14:textFill>
                    </w:rPr>
                    <w:t>开采稳步推进</w:t>
                  </w:r>
                  <w:r>
                    <w:rPr>
                      <w:rFonts w:hint="eastAsia" w:cs="Times New Roman"/>
                      <w:color w:val="000000" w:themeColor="text1"/>
                      <w:sz w:val="21"/>
                      <w:szCs w:val="21"/>
                      <w:lang w:val="en-US" w:eastAsia="zh-CN"/>
                      <w14:textFill>
                        <w14:solidFill>
                          <w14:schemeClr w14:val="tx1"/>
                        </w14:solidFill>
                      </w14:textFill>
                    </w:rPr>
                    <w:t>”等要求</w:t>
                  </w:r>
                </w:p>
              </w:tc>
              <w:tc>
                <w:tcPr>
                  <w:tcW w:w="282" w:type="pct"/>
                  <w:shd w:val="clear" w:color="auto" w:fill="auto"/>
                  <w:vAlign w:val="center"/>
                </w:tcPr>
                <w:p w14:paraId="3E0415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36C6C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Merge w:val="continue"/>
                  <w:vAlign w:val="center"/>
                </w:tcPr>
                <w:p w14:paraId="25572B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430" w:type="pct"/>
                  <w:vMerge w:val="continue"/>
                  <w:vAlign w:val="center"/>
                </w:tcPr>
                <w:p w14:paraId="69408A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54" w:type="pct"/>
                  <w:shd w:val="clear" w:color="auto" w:fill="auto"/>
                  <w:vAlign w:val="center"/>
                </w:tcPr>
                <w:p w14:paraId="3FB4906C">
                  <w:pPr>
                    <w:pStyle w:val="28"/>
                    <w:keepNext w:val="0"/>
                    <w:keepLines w:val="0"/>
                    <w:pageBreakBefore w:val="0"/>
                    <w:numPr>
                      <w:ilvl w:val="0"/>
                      <w:numId w:val="0"/>
                    </w:numPr>
                    <w:kinsoku/>
                    <w:wordWrap/>
                    <w:overflowPunct/>
                    <w:topLinePunct w:val="0"/>
                    <w:autoSpaceDE/>
                    <w:autoSpaceDN/>
                    <w:bidi w:val="0"/>
                    <w:ind w:left="0" w:leftChars="0" w:firstLine="0" w:firstLineChars="0"/>
                    <w:jc w:val="both"/>
                    <w:rPr>
                      <w:rFonts w:hint="eastAsia"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 w:eastAsia="en-US"/>
                      <w14:textFill>
                        <w14:solidFill>
                          <w14:schemeClr w14:val="tx1"/>
                        </w14:solidFill>
                      </w14:textFill>
                    </w:rPr>
                    <w:t>资源勘查程度进一步提高。</w:t>
                  </w:r>
                  <w:r>
                    <w:rPr>
                      <w:rFonts w:hint="eastAsia" w:ascii="Times New Roman" w:hAnsi="Times New Roman" w:eastAsia="宋体" w:cs="Times New Roman"/>
                      <w:b w:val="0"/>
                      <w:bCs w:val="0"/>
                      <w:color w:val="000000" w:themeColor="text1"/>
                      <w:sz w:val="21"/>
                      <w:szCs w:val="21"/>
                      <w:lang w:val="en" w:eastAsia="en-US"/>
                      <w14:textFill>
                        <w14:solidFill>
                          <w14:schemeClr w14:val="tx1"/>
                        </w14:solidFill>
                      </w14:textFill>
                    </w:rPr>
                    <w:t>加</w:t>
                  </w: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强煤炭、天然气、岩盐矿产的勘查评价，增加资源储量，稳步提升资源保障水平</w:t>
                  </w:r>
                  <w:r>
                    <w:rPr>
                      <w:rFonts w:hint="eastAsia" w:ascii="Times New Roman" w:hAnsi="Times New Roman" w:eastAsia="宋体" w:cs="Times New Roman"/>
                      <w:b w:val="0"/>
                      <w:bCs w:val="0"/>
                      <w:color w:val="000000" w:themeColor="text1"/>
                      <w:sz w:val="21"/>
                      <w:szCs w:val="21"/>
                      <w:lang w:val="en" w:eastAsia="en-US"/>
                      <w14:textFill>
                        <w14:solidFill>
                          <w14:schemeClr w14:val="tx1"/>
                        </w14:solidFill>
                      </w14:textFill>
                    </w:rPr>
                    <w:t>。</w:t>
                  </w:r>
                </w:p>
              </w:tc>
              <w:tc>
                <w:tcPr>
                  <w:tcW w:w="1258" w:type="pct"/>
                  <w:shd w:val="clear" w:color="auto" w:fill="auto"/>
                  <w:vAlign w:val="center"/>
                </w:tcPr>
                <w:p w14:paraId="0A9E0638">
                  <w:pPr>
                    <w:pStyle w:val="28"/>
                    <w:keepNext w:val="0"/>
                    <w:keepLines w:val="0"/>
                    <w:pageBreakBefore w:val="0"/>
                    <w:kinsoku/>
                    <w:wordWrap/>
                    <w:overflowPunct/>
                    <w:topLinePunct w:val="0"/>
                    <w:autoSpaceDE/>
                    <w:autoSpaceDN/>
                    <w:bidi w:val="0"/>
                    <w:ind w:firstLine="0" w:firstLineChars="0"/>
                    <w:jc w:val="both"/>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本项目属于天然气勘探井建设项目</w:t>
                  </w:r>
                </w:p>
              </w:tc>
              <w:tc>
                <w:tcPr>
                  <w:tcW w:w="282" w:type="pct"/>
                  <w:shd w:val="clear" w:color="auto" w:fill="auto"/>
                  <w:vAlign w:val="center"/>
                </w:tcPr>
                <w:p w14:paraId="1B430F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bl>
          <w:p w14:paraId="46A09722">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5、与《钻前工程及井场布置技术要求》符合性分析</w:t>
            </w:r>
          </w:p>
          <w:p w14:paraId="55951F1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根据《钻前工程及井场布置技术要求》（SY/T5466-2013）中3.2.2节规定，井口位置应满足“距高压线及其它永久性设施不小于75m，距民宅不小于100m，距铁路、高速公路不小于200m，距学校、医院和大型油库等密集型、高危性场所不小于500m”的规定。根据现场踏勘，项目井口75m范围内无高压线及其它永久性设施，100m范围内无居民住宅，200m范围内无高速公路、铁路，500m范围内无学校、医院和大型油库等人口密集性、高危性场所。项目气探井井口选址符合《钻前工程及井场布置技术要求》（SY/T5466-2013）中3.2.2节规定，具体分析见表1-</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w:t>
            </w:r>
          </w:p>
          <w:p w14:paraId="349DD7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表1-</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10</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 xml:space="preserve">  钻前工程及井场布置技术要求</w:t>
            </w:r>
          </w:p>
          <w:tbl>
            <w:tblPr>
              <w:tblStyle w:val="2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2645"/>
              <w:gridCol w:w="3309"/>
              <w:gridCol w:w="915"/>
            </w:tblGrid>
            <w:tr w14:paraId="2A7ED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6" w:type="pct"/>
                  <w:gridSpan w:val="2"/>
                  <w:vAlign w:val="center"/>
                </w:tcPr>
                <w:p w14:paraId="1DDFD2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《钻前工程及井场布置技术要求》（SY/T5466-2013）</w:t>
                  </w:r>
                </w:p>
              </w:tc>
              <w:tc>
                <w:tcPr>
                  <w:tcW w:w="2117" w:type="pct"/>
                  <w:vAlign w:val="center"/>
                </w:tcPr>
                <w:p w14:paraId="193718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本项目情况</w:t>
                  </w:r>
                </w:p>
              </w:tc>
              <w:tc>
                <w:tcPr>
                  <w:tcW w:w="585" w:type="pct"/>
                  <w:vAlign w:val="center"/>
                </w:tcPr>
                <w:p w14:paraId="42CFCF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符合性分析</w:t>
                  </w:r>
                </w:p>
              </w:tc>
            </w:tr>
            <w:tr w14:paraId="5FFEA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restart"/>
                  <w:vAlign w:val="center"/>
                </w:tcPr>
                <w:p w14:paraId="2FEB28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3.1井场选择原则</w:t>
                  </w:r>
                </w:p>
              </w:tc>
              <w:tc>
                <w:tcPr>
                  <w:tcW w:w="1691" w:type="pct"/>
                  <w:vAlign w:val="center"/>
                </w:tcPr>
                <w:p w14:paraId="68A61E0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井场应避开滑坡、泥石流等不良地质地段，在河滩、海滩地区应避开讯、潮期进行钻前施工</w:t>
                  </w:r>
                </w:p>
              </w:tc>
              <w:tc>
                <w:tcPr>
                  <w:tcW w:w="2117" w:type="pct"/>
                  <w:vAlign w:val="center"/>
                </w:tcPr>
                <w:p w14:paraId="264B1FE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本项目井场选址不属于滑坡、泥石流等不良地段，也不属于河滩地区</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585" w:type="pct"/>
                  <w:vAlign w:val="center"/>
                </w:tcPr>
                <w:p w14:paraId="26AD51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0FA38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continue"/>
                  <w:vAlign w:val="center"/>
                </w:tcPr>
                <w:p w14:paraId="1F6C91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691" w:type="pct"/>
                  <w:vAlign w:val="center"/>
                </w:tcPr>
                <w:p w14:paraId="0DF7F87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满足防洪、防喷、防爆、防毒、防冻等安全要求</w:t>
                  </w:r>
                </w:p>
              </w:tc>
              <w:tc>
                <w:tcPr>
                  <w:tcW w:w="2117" w:type="pct"/>
                  <w:vAlign w:val="center"/>
                </w:tcPr>
                <w:p w14:paraId="415A143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本项目选址满足防洪、防喷、防爆、防毒、防冻等安全要求</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585" w:type="pct"/>
                  <w:vAlign w:val="center"/>
                </w:tcPr>
                <w:p w14:paraId="24E823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394AE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restart"/>
                  <w:vAlign w:val="center"/>
                </w:tcPr>
                <w:p w14:paraId="3CB77F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3.2井位的确定</w:t>
                  </w:r>
                </w:p>
              </w:tc>
              <w:tc>
                <w:tcPr>
                  <w:tcW w:w="1691" w:type="pct"/>
                  <w:vAlign w:val="center"/>
                </w:tcPr>
                <w:p w14:paraId="4B440FC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油、气井井口距高压线及其他永久性设施不小于75m，距民宅不小于100m，距铁路、高速公路不小于200m，距学校、医院和大型油库等人口密集型、高危性场所不小于500m。</w:t>
                  </w:r>
                </w:p>
              </w:tc>
              <w:tc>
                <w:tcPr>
                  <w:tcW w:w="2117" w:type="pct"/>
                  <w:vAlign w:val="center"/>
                </w:tcPr>
                <w:p w14:paraId="708E906F">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各井场</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周围75m无高压线及其他永久性设施，100m范围内无民宅，200m范围内无铁路、高速公路，500米范围内无学校、医院和大型油库等人口密集性、高危性场所</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585" w:type="pct"/>
                  <w:vAlign w:val="center"/>
                </w:tcPr>
                <w:p w14:paraId="4618A0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568A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continue"/>
                  <w:vAlign w:val="center"/>
                </w:tcPr>
                <w:p w14:paraId="47504D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691" w:type="pct"/>
                  <w:vAlign w:val="center"/>
                </w:tcPr>
                <w:p w14:paraId="721A823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在地下矿产采掘区钻井，井筒与采掘坑道、矿井坑道之间的距离不小于100m</w:t>
                  </w:r>
                </w:p>
              </w:tc>
              <w:tc>
                <w:tcPr>
                  <w:tcW w:w="2117" w:type="pct"/>
                  <w:vAlign w:val="center"/>
                </w:tcPr>
                <w:p w14:paraId="71963B84">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本项目钻井区域不涉及地下矿产采掘区</w:t>
                  </w:r>
                </w:p>
              </w:tc>
              <w:tc>
                <w:tcPr>
                  <w:tcW w:w="585" w:type="pct"/>
                  <w:vAlign w:val="center"/>
                </w:tcPr>
                <w:p w14:paraId="53366E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6779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continue"/>
                  <w:vAlign w:val="center"/>
                </w:tcPr>
                <w:p w14:paraId="479E71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691" w:type="pct"/>
                  <w:vAlign w:val="center"/>
                </w:tcPr>
                <w:p w14:paraId="5FFAB2D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井口距堤坝、水库的位置应根据国家水利部门的有关规定执行</w:t>
                  </w:r>
                </w:p>
              </w:tc>
              <w:tc>
                <w:tcPr>
                  <w:tcW w:w="2117" w:type="pct"/>
                  <w:vAlign w:val="center"/>
                </w:tcPr>
                <w:p w14:paraId="017E854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本项目井口周边不涉及堤坝、水库</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585" w:type="pct"/>
                  <w:vAlign w:val="center"/>
                </w:tcPr>
                <w:p w14:paraId="5C53C1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bl>
          <w:p w14:paraId="33182E5B">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6、与《陕北油气田开采清洁文明井场验收标准》符合性分析</w:t>
            </w:r>
          </w:p>
          <w:p w14:paraId="6CDEA38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本项目与《陕北油气田开采清洁文明井场验收标准》（陕环办发【2016】31号）符合性分析见下表：</w:t>
            </w:r>
          </w:p>
          <w:p w14:paraId="12835A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表1-</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11</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 xml:space="preserve"> 与《陕北油气田开采清洁文明井场验收标准》符合性分析</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3655"/>
              <w:gridCol w:w="2729"/>
              <w:gridCol w:w="706"/>
            </w:tblGrid>
            <w:tr w14:paraId="0850B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1" w:type="pct"/>
                  <w:gridSpan w:val="2"/>
                  <w:vAlign w:val="center"/>
                </w:tcPr>
                <w:p w14:paraId="56B828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陕环办发【2016】31号</w:t>
                  </w:r>
                </w:p>
              </w:tc>
              <w:tc>
                <w:tcPr>
                  <w:tcW w:w="1746" w:type="pct"/>
                  <w:vAlign w:val="center"/>
                </w:tcPr>
                <w:p w14:paraId="1059CE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本项目情况</w:t>
                  </w:r>
                </w:p>
              </w:tc>
              <w:tc>
                <w:tcPr>
                  <w:tcW w:w="452" w:type="pct"/>
                  <w:vAlign w:val="center"/>
                </w:tcPr>
                <w:p w14:paraId="1123E1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符合性</w:t>
                  </w:r>
                </w:p>
              </w:tc>
            </w:tr>
            <w:tr w14:paraId="05AB7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restart"/>
                  <w:vAlign w:val="center"/>
                </w:tcPr>
                <w:p w14:paraId="657610A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一、钻探井场</w:t>
                  </w:r>
                </w:p>
              </w:tc>
              <w:tc>
                <w:tcPr>
                  <w:tcW w:w="2339" w:type="pct"/>
                  <w:vAlign w:val="center"/>
                </w:tcPr>
                <w:p w14:paraId="4FA512B5">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（一）</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钻井作业的泥浆池和泥浆槽必须采取防渗漏、防外溢措施。泥浆上清液应循环使用或处理达标后回注油层。钻井泥浆应当交由有资质单位处置，岩屑及其他废弃物要进行无害化处理</w:t>
                  </w:r>
                </w:p>
              </w:tc>
              <w:tc>
                <w:tcPr>
                  <w:tcW w:w="1746" w:type="pct"/>
                </w:tcPr>
                <w:p w14:paraId="3206A4F5">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本项目钻井作业的泥浆罐区、岩屑暂存池等区域进行重点防渗，</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并设置围堰，</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围堰整体铺设防渗材料（HDPE膜，</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双层</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），HDPE膜敷设面积应适当扩大，覆盖围堰区外延1.0m；泥浆上清液回用于钻井液</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配置</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；废弃泥浆、钻井岩屑委托具有相应处置能力的单位处置；废油、含油废棉纱等其它危险废物委托资质单位处置。</w:t>
                  </w:r>
                </w:p>
              </w:tc>
              <w:tc>
                <w:tcPr>
                  <w:tcW w:w="452" w:type="pct"/>
                  <w:vAlign w:val="center"/>
                </w:tcPr>
                <w:p w14:paraId="7992A0BD">
                  <w:pPr>
                    <w:keepNext w:val="0"/>
                    <w:keepLines w:val="0"/>
                    <w:widowControl/>
                    <w:suppressLineNumbers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符合</w:t>
                  </w:r>
                </w:p>
              </w:tc>
            </w:tr>
            <w:tr w14:paraId="58CA8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continue"/>
                </w:tcPr>
                <w:p w14:paraId="628EB63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339" w:type="pct"/>
                </w:tcPr>
                <w:p w14:paraId="00D1878E">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（二）</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钻井作业必须采取防止污油外泄和渗漏等有效措施，污油要及时回收，废弃污油泥应当交由有资质单位处置</w:t>
                  </w:r>
                </w:p>
              </w:tc>
              <w:tc>
                <w:tcPr>
                  <w:tcW w:w="1746" w:type="pct"/>
                  <w:vAlign w:val="center"/>
                </w:tcPr>
                <w:p w14:paraId="6C7BB494">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本项目采用水基钻井液，无废弃污油泥产生。</w:t>
                  </w:r>
                </w:p>
              </w:tc>
              <w:tc>
                <w:tcPr>
                  <w:tcW w:w="452" w:type="pct"/>
                  <w:vAlign w:val="center"/>
                </w:tcPr>
                <w:p w14:paraId="2E880F6E">
                  <w:pPr>
                    <w:keepNext w:val="0"/>
                    <w:keepLines w:val="0"/>
                    <w:widowControl/>
                    <w:suppressLineNumbers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符合</w:t>
                  </w:r>
                </w:p>
              </w:tc>
            </w:tr>
            <w:tr w14:paraId="52BD4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continue"/>
                </w:tcPr>
                <w:p w14:paraId="01B24DD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339" w:type="pct"/>
                </w:tcPr>
                <w:p w14:paraId="2FDA60DD">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（三）</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试油（气）作业必须采取防喷、导流等有效措施。试油(气)完成后，应在60日内完成泥浆处置、岩屑固化及善后处理</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1746" w:type="pct"/>
                </w:tcPr>
                <w:p w14:paraId="1D6E1AE4">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本项目试气作业采取有效的防喷措施。要求企业试气完成后，及时完成泥浆、岩屑等善后处理。</w:t>
                  </w:r>
                </w:p>
              </w:tc>
              <w:tc>
                <w:tcPr>
                  <w:tcW w:w="452" w:type="pct"/>
                  <w:vAlign w:val="center"/>
                </w:tcPr>
                <w:p w14:paraId="4ED1DEEB">
                  <w:pPr>
                    <w:keepNext w:val="0"/>
                    <w:keepLines w:val="0"/>
                    <w:widowControl/>
                    <w:suppressLineNumbers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符合</w:t>
                  </w:r>
                </w:p>
              </w:tc>
            </w:tr>
            <w:tr w14:paraId="4D29F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restart"/>
                  <w:vAlign w:val="center"/>
                </w:tcPr>
                <w:p w14:paraId="40E64E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三、生态环境修复</w:t>
                  </w:r>
                </w:p>
              </w:tc>
              <w:tc>
                <w:tcPr>
                  <w:tcW w:w="2339" w:type="pct"/>
                  <w:vAlign w:val="center"/>
                </w:tcPr>
                <w:p w14:paraId="0A9E8A6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井场的道路两侧和围墙内外宜绿化区域应实现林草覆盖，有效覆盖面积不低于98％</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1746" w:type="pct"/>
                  <w:vMerge w:val="restart"/>
                </w:tcPr>
                <w:p w14:paraId="2B1E944C">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本项目属于</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评价井钻</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井工程，施工期结束后</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。当勘探井不具有开发价值时，采取永久封井，对临时占地恢复原状；当勘探井具有开发价值时，采取临时封井，除预留转成生产井所需的面积外，其他区域恢复原有植被和生态景观，使区域生态景观和谐一致。</w:t>
                  </w:r>
                </w:p>
              </w:tc>
              <w:tc>
                <w:tcPr>
                  <w:tcW w:w="452" w:type="pct"/>
                  <w:vAlign w:val="center"/>
                </w:tcPr>
                <w:p w14:paraId="23F5B91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符合</w:t>
                  </w:r>
                </w:p>
              </w:tc>
            </w:tr>
            <w:tr w14:paraId="690B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continue"/>
                  <w:vAlign w:val="center"/>
                </w:tcPr>
                <w:p w14:paraId="187A76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339" w:type="pct"/>
                  <w:vAlign w:val="center"/>
                </w:tcPr>
                <w:p w14:paraId="32F8D9C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关闭油（气）井应封堵油（气）层、封闭井口，并同步实施井场复垦还田或植树种草工程措施。</w:t>
                  </w:r>
                </w:p>
              </w:tc>
              <w:tc>
                <w:tcPr>
                  <w:tcW w:w="1746" w:type="pct"/>
                  <w:vMerge w:val="continue"/>
                </w:tcPr>
                <w:p w14:paraId="5424A48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452" w:type="pct"/>
                  <w:vAlign w:val="center"/>
                </w:tcPr>
                <w:p w14:paraId="3F680E7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符合</w:t>
                  </w:r>
                </w:p>
              </w:tc>
            </w:tr>
            <w:tr w14:paraId="677C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restart"/>
                </w:tcPr>
                <w:p w14:paraId="09B3FAA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四、清洁文明井场管理</w:t>
                  </w:r>
                </w:p>
              </w:tc>
              <w:tc>
                <w:tcPr>
                  <w:tcW w:w="2339" w:type="pct"/>
                  <w:vAlign w:val="center"/>
                </w:tcPr>
                <w:p w14:paraId="33A2590E">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井场应做到清洁卫生，无跑、冒、滴、漏现象，场外无油污、无垃圾，杜绝污染物乱堆乱放。</w:t>
                  </w:r>
                </w:p>
              </w:tc>
              <w:tc>
                <w:tcPr>
                  <w:tcW w:w="1746" w:type="pct"/>
                </w:tcPr>
                <w:p w14:paraId="41031D94">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要求企业在勘探期井场做到清洁卫生，无跑、冒、滴、漏现象，场外无油污、无垃圾，杜绝污染物乱堆乱放。</w:t>
                  </w:r>
                </w:p>
              </w:tc>
              <w:tc>
                <w:tcPr>
                  <w:tcW w:w="452" w:type="pct"/>
                  <w:vAlign w:val="center"/>
                </w:tcPr>
                <w:p w14:paraId="38C2DE7A">
                  <w:pPr>
                    <w:keepNext w:val="0"/>
                    <w:keepLines w:val="0"/>
                    <w:widowControl/>
                    <w:suppressLineNumbers w:val="0"/>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符合</w:t>
                  </w:r>
                </w:p>
              </w:tc>
            </w:tr>
            <w:tr w14:paraId="501B4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continue"/>
                </w:tcPr>
                <w:p w14:paraId="702C514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339" w:type="pct"/>
                  <w:vAlign w:val="center"/>
                </w:tcPr>
                <w:p w14:paraId="0D07F3B1">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按照环境事故应急预案，要对井场操作人员进行应急培训，并储备相应抢险应急物资。</w:t>
                  </w:r>
                </w:p>
              </w:tc>
              <w:tc>
                <w:tcPr>
                  <w:tcW w:w="1746" w:type="pct"/>
                </w:tcPr>
                <w:p w14:paraId="0A1916B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企业已设立安全环保科，并针对单井由专人负责，对井场操作人员进行应急培训，并储备相应抢险应急物资。</w:t>
                  </w:r>
                </w:p>
              </w:tc>
              <w:tc>
                <w:tcPr>
                  <w:tcW w:w="452" w:type="pct"/>
                  <w:vAlign w:val="center"/>
                </w:tcPr>
                <w:p w14:paraId="74CF1C04">
                  <w:pPr>
                    <w:keepNext w:val="0"/>
                    <w:keepLines w:val="0"/>
                    <w:widowControl/>
                    <w:suppressLineNumbers w:val="0"/>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符合</w:t>
                  </w:r>
                </w:p>
              </w:tc>
            </w:tr>
          </w:tbl>
          <w:p w14:paraId="710FAEFA">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7、与《绿色勘察指南》（T/CMAS0001-2018）符合性分析</w:t>
            </w:r>
          </w:p>
          <w:p w14:paraId="54637FE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本项目与《绿色勘察指南》（T/CMAS0001-2018）符合性分析见表1-10。</w:t>
            </w:r>
          </w:p>
          <w:p w14:paraId="10D7B4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表1-12 本项目与《绿色勘察指南》（T/CMAS0001-2018）符合性分析</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3668"/>
              <w:gridCol w:w="3108"/>
              <w:gridCol w:w="469"/>
            </w:tblGrid>
            <w:tr w14:paraId="2D33E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261F45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序号</w:t>
                  </w:r>
                </w:p>
              </w:tc>
              <w:tc>
                <w:tcPr>
                  <w:tcW w:w="2346" w:type="pct"/>
                  <w:vAlign w:val="center"/>
                </w:tcPr>
                <w:p w14:paraId="003575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相关条款</w:t>
                  </w:r>
                </w:p>
              </w:tc>
              <w:tc>
                <w:tcPr>
                  <w:tcW w:w="1988" w:type="pct"/>
                  <w:vAlign w:val="center"/>
                </w:tcPr>
                <w:p w14:paraId="410333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本项目情况</w:t>
                  </w:r>
                </w:p>
              </w:tc>
              <w:tc>
                <w:tcPr>
                  <w:tcW w:w="300" w:type="pct"/>
                  <w:vAlign w:val="center"/>
                </w:tcPr>
                <w:p w14:paraId="35B270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符合性</w:t>
                  </w:r>
                </w:p>
              </w:tc>
            </w:tr>
            <w:tr w14:paraId="3D2AB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338A47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2346" w:type="pct"/>
                  <w:vAlign w:val="center"/>
                </w:tcPr>
                <w:p w14:paraId="23C9ECA9">
                  <w:pPr>
                    <w:keepNext w:val="0"/>
                    <w:keepLines w:val="0"/>
                    <w:widowControl/>
                    <w:suppressLineNumbers w:val="0"/>
                    <w:jc w:val="left"/>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施工剥离的适合复垦的表土，应当收集存放管理，作为施工结束后的复垦、复绿用土。宜将开挖的土石用于工程回填、路基建设及边坡填筑。需外运土石应指定位置并规范管理</w:t>
                  </w:r>
                </w:p>
              </w:tc>
              <w:tc>
                <w:tcPr>
                  <w:tcW w:w="1988" w:type="pct"/>
                  <w:vAlign w:val="center"/>
                </w:tcPr>
                <w:p w14:paraId="4FFDF899">
                  <w:pPr>
                    <w:keepNext w:val="0"/>
                    <w:keepLines w:val="0"/>
                    <w:widowControl/>
                    <w:suppressLineNumbers w:val="0"/>
                    <w:jc w:val="left"/>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项目施工剥离的表土，收集存放于临时堆土场，作为施工结束后的复垦、绿化用土。开挖的土石用于工程回填。本项目不需要外运土方。</w:t>
                  </w:r>
                </w:p>
              </w:tc>
              <w:tc>
                <w:tcPr>
                  <w:tcW w:w="300" w:type="pct"/>
                  <w:vAlign w:val="center"/>
                </w:tcPr>
                <w:p w14:paraId="6C8499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7CD88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1EAFCF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2346" w:type="pct"/>
                  <w:vAlign w:val="center"/>
                </w:tcPr>
                <w:p w14:paraId="3DFC1F08">
                  <w:pPr>
                    <w:keepNext w:val="0"/>
                    <w:keepLines w:val="0"/>
                    <w:widowControl/>
                    <w:suppressLineNumbers w:val="0"/>
                    <w:jc w:val="left"/>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施工中挖填形成的边坡及土石堆场边坡应做好支护或拦挡，预防崩塌、滑坡、泥石流等地质灾害，尽量减少土石压占土地面积。</w:t>
                  </w:r>
                </w:p>
              </w:tc>
              <w:tc>
                <w:tcPr>
                  <w:tcW w:w="1988" w:type="pct"/>
                  <w:vAlign w:val="center"/>
                </w:tcPr>
                <w:p w14:paraId="622F6FC6">
                  <w:pPr>
                    <w:keepNext w:val="0"/>
                    <w:keepLines w:val="0"/>
                    <w:widowControl/>
                    <w:suppressLineNumbers w:val="0"/>
                    <w:jc w:val="left"/>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施工过程中尽量减少土石压占土地面积。挖填形成的边坡及土石堆场边坡做好拦挡，预防各类地质灾害。</w:t>
                  </w:r>
                </w:p>
              </w:tc>
              <w:tc>
                <w:tcPr>
                  <w:tcW w:w="300" w:type="pct"/>
                  <w:vAlign w:val="center"/>
                </w:tcPr>
                <w:p w14:paraId="5B56B0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6B9C9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6F5E27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2346" w:type="pct"/>
                  <w:vAlign w:val="center"/>
                </w:tcPr>
                <w:p w14:paraId="0AAD26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统筹规划勘察场地进入通道，充分利用已有可利用的公路、村道等</w:t>
                  </w:r>
                </w:p>
              </w:tc>
              <w:tc>
                <w:tcPr>
                  <w:tcW w:w="1988" w:type="pct"/>
                  <w:vMerge w:val="restart"/>
                  <w:vAlign w:val="center"/>
                </w:tcPr>
                <w:p w14:paraId="0D68B7E0">
                  <w:pPr>
                    <w:keepNext w:val="0"/>
                    <w:keepLines w:val="0"/>
                    <w:widowControl/>
                    <w:suppressLineNumbers w:val="0"/>
                    <w:jc w:val="left"/>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项目充分利用已有公路、村道、油区道路等现有道路，本次新增进场道路约</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122</w:t>
                  </w:r>
                  <w:r>
                    <w:rPr>
                      <w:rFonts w:hint="eastAsia" w:ascii="宋体" w:hAnsi="宋体" w:eastAsia="宋体" w:cs="宋体"/>
                      <w:color w:val="000000" w:themeColor="text1"/>
                      <w:kern w:val="0"/>
                      <w:sz w:val="21"/>
                      <w:szCs w:val="21"/>
                      <w:lang w:val="en-US" w:eastAsia="zh-CN" w:bidi="ar"/>
                      <w14:textFill>
                        <w14:solidFill>
                          <w14:schemeClr w14:val="tx1"/>
                        </w14:solidFill>
                      </w14:textFill>
                    </w:rPr>
                    <w:t>米，减少植被破坏。</w:t>
                  </w:r>
                </w:p>
              </w:tc>
              <w:tc>
                <w:tcPr>
                  <w:tcW w:w="300" w:type="pct"/>
                  <w:vAlign w:val="center"/>
                </w:tcPr>
                <w:p w14:paraId="4B77F7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0C291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2B9F13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w:t>
                  </w:r>
                </w:p>
              </w:tc>
              <w:tc>
                <w:tcPr>
                  <w:tcW w:w="2346" w:type="pct"/>
                  <w:vAlign w:val="center"/>
                </w:tcPr>
                <w:p w14:paraId="2DE3D64F">
                  <w:pPr>
                    <w:keepNext w:val="0"/>
                    <w:keepLines w:val="0"/>
                    <w:widowControl/>
                    <w:suppressLineNumbers w:val="0"/>
                    <w:jc w:val="left"/>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在确保安全情况下，道路修筑尽可能减少占用土地、植物移植，以及对水环境和野生动物保护的影响。</w:t>
                  </w:r>
                </w:p>
              </w:tc>
              <w:tc>
                <w:tcPr>
                  <w:tcW w:w="1988" w:type="pct"/>
                  <w:vMerge w:val="continue"/>
                  <w:vAlign w:val="center"/>
                </w:tcPr>
                <w:p w14:paraId="59A40F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00" w:type="pct"/>
                  <w:vAlign w:val="center"/>
                </w:tcPr>
                <w:p w14:paraId="706997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18DD7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2FA143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w:t>
                  </w:r>
                </w:p>
              </w:tc>
              <w:tc>
                <w:tcPr>
                  <w:tcW w:w="2346" w:type="pct"/>
                  <w:vAlign w:val="center"/>
                </w:tcPr>
                <w:p w14:paraId="4ED89965">
                  <w:pPr>
                    <w:keepNext w:val="0"/>
                    <w:keepLines w:val="0"/>
                    <w:widowControl/>
                    <w:suppressLineNumbers w:val="0"/>
                    <w:jc w:val="left"/>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钻探（钻井）施工场地一般应按照现场施工设备、附属设施安装、施工操作、钻进液循环系统、材料物资存放、临建房屋等施工需要，依据现场地形条件进行分区布置，以满足减小环境影响和安全文明施工为原则，严格控制场地平整使用土地面积</w:t>
                  </w:r>
                </w:p>
              </w:tc>
              <w:tc>
                <w:tcPr>
                  <w:tcW w:w="1988" w:type="pct"/>
                  <w:vAlign w:val="center"/>
                </w:tcPr>
                <w:p w14:paraId="1F5416ED">
                  <w:pPr>
                    <w:keepNext w:val="0"/>
                    <w:keepLines w:val="0"/>
                    <w:widowControl/>
                    <w:suppressLineNumbers w:val="0"/>
                    <w:jc w:val="left"/>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项目钻探施工场地按要求分区布设，满足安全距离要求同时严格控制占地面积，进行文明施工。</w:t>
                  </w:r>
                </w:p>
              </w:tc>
              <w:tc>
                <w:tcPr>
                  <w:tcW w:w="300" w:type="pct"/>
                  <w:vAlign w:val="center"/>
                </w:tcPr>
                <w:p w14:paraId="721834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741B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243987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6</w:t>
                  </w:r>
                </w:p>
              </w:tc>
              <w:tc>
                <w:tcPr>
                  <w:tcW w:w="2346" w:type="pct"/>
                  <w:vAlign w:val="center"/>
                </w:tcPr>
                <w:p w14:paraId="4F0C9EA8">
                  <w:pPr>
                    <w:keepNext w:val="0"/>
                    <w:keepLines w:val="0"/>
                    <w:widowControl/>
                    <w:suppressLineNumbers w:val="0"/>
                    <w:jc w:val="left"/>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钻探设备安装及其施工操作场地，鼓励优先采用模块化的便携式探矿设备</w:t>
                  </w:r>
                </w:p>
              </w:tc>
              <w:tc>
                <w:tcPr>
                  <w:tcW w:w="1988" w:type="pct"/>
                  <w:vAlign w:val="center"/>
                </w:tcPr>
                <w:p w14:paraId="78B17AFC">
                  <w:pPr>
                    <w:keepNext w:val="0"/>
                    <w:keepLines w:val="0"/>
                    <w:widowControl/>
                    <w:suppressLineNumbers w:val="0"/>
                    <w:jc w:val="left"/>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项目钻探工程采用模块化的便携式探矿设备。</w:t>
                  </w:r>
                </w:p>
              </w:tc>
              <w:tc>
                <w:tcPr>
                  <w:tcW w:w="300" w:type="pct"/>
                  <w:vAlign w:val="center"/>
                </w:tcPr>
                <w:p w14:paraId="1C854F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713AD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00B23C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7</w:t>
                  </w:r>
                </w:p>
              </w:tc>
              <w:tc>
                <w:tcPr>
                  <w:tcW w:w="2346" w:type="pct"/>
                  <w:vAlign w:val="center"/>
                </w:tcPr>
                <w:p w14:paraId="15C9BC1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钻进液循环系统场地，清水池或浆液池及废浆液池可不与钻进施工机场同一场地布置，其开挖容积应按钻孔深度进行计算，不宜小于钻孔容积的2倍</w:t>
                  </w:r>
                </w:p>
              </w:tc>
              <w:tc>
                <w:tcPr>
                  <w:tcW w:w="1988" w:type="pct"/>
                  <w:vAlign w:val="center"/>
                </w:tcPr>
                <w:p w14:paraId="28ACFDD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项目采用最新要求的泥浆不落地成套设备，钻井泥浆采用泥浆罐收集并循环使用。</w:t>
                  </w:r>
                </w:p>
              </w:tc>
              <w:tc>
                <w:tcPr>
                  <w:tcW w:w="300" w:type="pct"/>
                  <w:vAlign w:val="center"/>
                </w:tcPr>
                <w:p w14:paraId="76B49C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27DE1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34DE8E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8</w:t>
                  </w:r>
                </w:p>
              </w:tc>
              <w:tc>
                <w:tcPr>
                  <w:tcW w:w="2346" w:type="pct"/>
                  <w:vAlign w:val="center"/>
                </w:tcPr>
                <w:p w14:paraId="271FFAEA">
                  <w:pPr>
                    <w:keepNext w:val="0"/>
                    <w:keepLines w:val="0"/>
                    <w:widowControl/>
                    <w:suppressLineNumbers w:val="0"/>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岩心棚及材料库、备用管材物资堆场、值班休息房、油料堆场、废弃物资及垃圾场、工地厕所场地等附属设备设施场地，按照附属设备、设施安装及操作使用需求，在最大限度减少环境扰动前提下，依地形分区平整场地</w:t>
                  </w:r>
                </w:p>
              </w:tc>
              <w:tc>
                <w:tcPr>
                  <w:tcW w:w="1988" w:type="pct"/>
                  <w:vAlign w:val="center"/>
                </w:tcPr>
                <w:p w14:paraId="4F360D0C">
                  <w:pPr>
                    <w:keepNext w:val="0"/>
                    <w:keepLines w:val="0"/>
                    <w:widowControl/>
                    <w:suppressLineNumbers w:val="0"/>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岩心棚及材料库、备用管材物资堆场、值班休息房、油料堆场、废弃物资及垃圾场、工地厕所场地等附属设备设施场地按相关要求分区布设。</w:t>
                  </w:r>
                </w:p>
              </w:tc>
              <w:tc>
                <w:tcPr>
                  <w:tcW w:w="300" w:type="pct"/>
                  <w:vAlign w:val="center"/>
                </w:tcPr>
                <w:p w14:paraId="1C74D4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69852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294BBB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9</w:t>
                  </w:r>
                </w:p>
              </w:tc>
              <w:tc>
                <w:tcPr>
                  <w:tcW w:w="2346" w:type="pct"/>
                  <w:vAlign w:val="center"/>
                </w:tcPr>
                <w:p w14:paraId="2E473EC8">
                  <w:pPr>
                    <w:keepNext w:val="0"/>
                    <w:keepLines w:val="0"/>
                    <w:widowControl/>
                    <w:suppressLineNumbers w:val="0"/>
                    <w:jc w:val="left"/>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钻探（钻井）施工场地应设置排水沟，确保现场无低洼积水。若施工机场边坡上方汇水面大或位于冲沟附近，应设置截水沟</w:t>
                  </w:r>
                </w:p>
              </w:tc>
              <w:tc>
                <w:tcPr>
                  <w:tcW w:w="1988" w:type="pct"/>
                  <w:vAlign w:val="center"/>
                </w:tcPr>
                <w:p w14:paraId="7C51AA77">
                  <w:pPr>
                    <w:keepNext w:val="0"/>
                    <w:keepLines w:val="0"/>
                    <w:widowControl/>
                    <w:suppressLineNumbers w:val="0"/>
                    <w:jc w:val="left"/>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钻探（钻井）施工场地四周设置截排水沟对雨水进行引流，防止井场水土流失。</w:t>
                  </w:r>
                </w:p>
              </w:tc>
              <w:tc>
                <w:tcPr>
                  <w:tcW w:w="300" w:type="pct"/>
                  <w:vAlign w:val="center"/>
                </w:tcPr>
                <w:p w14:paraId="654ACC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6E889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141CCD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10</w:t>
                  </w:r>
                </w:p>
              </w:tc>
              <w:tc>
                <w:tcPr>
                  <w:tcW w:w="2346" w:type="pct"/>
                  <w:vAlign w:val="center"/>
                </w:tcPr>
                <w:p w14:paraId="20B45239">
                  <w:pPr>
                    <w:keepNext w:val="0"/>
                    <w:keepLines w:val="0"/>
                    <w:widowControl/>
                    <w:suppressLineNumbers w:val="0"/>
                    <w:jc w:val="left"/>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钻探施工主要设备及配套技术应处于国内先进水平。施工设备应具备安、拆快捷、便于搬运，机械化、智能化程度高，施工操作安全简便、劳动强度低、生产效率高，工程质量好、节能、环保等特点。优先采用模块化、轻便化、小型化、集成度高的钻探施工及其配套设备</w:t>
                  </w:r>
                </w:p>
              </w:tc>
              <w:tc>
                <w:tcPr>
                  <w:tcW w:w="1988" w:type="pct"/>
                  <w:vAlign w:val="center"/>
                </w:tcPr>
                <w:p w14:paraId="061FCEAB">
                  <w:pPr>
                    <w:keepNext w:val="0"/>
                    <w:keepLines w:val="0"/>
                    <w:widowControl/>
                    <w:suppressLineNumbers w:val="0"/>
                    <w:jc w:val="left"/>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项目采用目前先进的</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ZJ50</w:t>
                  </w:r>
                  <w:r>
                    <w:rPr>
                      <w:rFonts w:hint="eastAsia" w:ascii="宋体" w:hAnsi="宋体" w:eastAsia="宋体" w:cs="宋体"/>
                      <w:color w:val="000000" w:themeColor="text1"/>
                      <w:kern w:val="0"/>
                      <w:sz w:val="21"/>
                      <w:szCs w:val="21"/>
                      <w:lang w:val="en-US" w:eastAsia="zh-CN" w:bidi="ar"/>
                      <w14:textFill>
                        <w14:solidFill>
                          <w14:schemeClr w14:val="tx1"/>
                        </w14:solidFill>
                      </w14:textFill>
                    </w:rPr>
                    <w:t>钻机及配套钻井设备，属于模块化、轻便化、小型化、集成度高的设备。且采用先进的泥浆收集循环利用成套设备。均具有机械化、智能化程度高，施工操作安全简便、劳动强度低、生产效率高，工程质量好、节能、环保等特点。</w:t>
                  </w:r>
                </w:p>
              </w:tc>
              <w:tc>
                <w:tcPr>
                  <w:tcW w:w="300" w:type="pct"/>
                  <w:vAlign w:val="center"/>
                </w:tcPr>
                <w:p w14:paraId="5376D0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55F86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4962AA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11</w:t>
                  </w:r>
                </w:p>
              </w:tc>
              <w:tc>
                <w:tcPr>
                  <w:tcW w:w="2346" w:type="pct"/>
                  <w:vAlign w:val="center"/>
                </w:tcPr>
                <w:p w14:paraId="7ABE2F7B">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钻探施工技术工艺应先进合理，切合勘查施工要求，钻进效率高，质量优，节能减排，安全环保。积极采用定向钻探、绳索取心金刚石钻进、冲击回转钻进、空气潜孔钻进、不提钻换钻头等先进的钻探施工方法及技术工艺。除浅表层开孔外，尽量采用金刚石绳索取心、双层管或三层管钻进技术工艺</w:t>
                  </w:r>
                </w:p>
              </w:tc>
              <w:tc>
                <w:tcPr>
                  <w:tcW w:w="1988" w:type="pct"/>
                  <w:vAlign w:val="center"/>
                </w:tcPr>
                <w:p w14:paraId="6C725BA3">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项目采用目前先进的</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ZJ50</w:t>
                  </w:r>
                  <w:r>
                    <w:rPr>
                      <w:rFonts w:hint="eastAsia" w:ascii="宋体" w:hAnsi="宋体" w:eastAsia="宋体" w:cs="宋体"/>
                      <w:color w:val="000000" w:themeColor="text1"/>
                      <w:kern w:val="0"/>
                      <w:sz w:val="21"/>
                      <w:szCs w:val="21"/>
                      <w:lang w:val="en-US" w:eastAsia="zh-CN" w:bidi="ar"/>
                      <w14:textFill>
                        <w14:solidFill>
                          <w14:schemeClr w14:val="tx1"/>
                        </w14:solidFill>
                      </w14:textFill>
                    </w:rPr>
                    <w:t>钻机及配套钻井设备，钻进效率高，质量优，节能减排，安全环保。</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ZJ50</w:t>
                  </w:r>
                  <w:r>
                    <w:rPr>
                      <w:rFonts w:hint="eastAsia" w:ascii="宋体" w:hAnsi="宋体" w:eastAsia="宋体" w:cs="宋体"/>
                      <w:color w:val="000000" w:themeColor="text1"/>
                      <w:kern w:val="0"/>
                      <w:sz w:val="21"/>
                      <w:szCs w:val="21"/>
                      <w:lang w:val="en-US" w:eastAsia="zh-CN" w:bidi="ar"/>
                      <w14:textFill>
                        <w14:solidFill>
                          <w14:schemeClr w14:val="tx1"/>
                        </w14:solidFill>
                      </w14:textFill>
                    </w:rPr>
                    <w:t>钻机主要用于岩心勘探的钻机。项目采用金刚石绳索取心钻进工艺，在钻探施工过程的回次钻进中，不用提出全套钻柱(包括外管)、而借助绳索打捞器打捞内管取心，可实现长孔段连续钻进，工艺较为先进。</w:t>
                  </w:r>
                </w:p>
              </w:tc>
              <w:tc>
                <w:tcPr>
                  <w:tcW w:w="300" w:type="pct"/>
                  <w:vAlign w:val="center"/>
                </w:tcPr>
                <w:p w14:paraId="055BC5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406EA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611B1A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12</w:t>
                  </w:r>
                </w:p>
              </w:tc>
              <w:tc>
                <w:tcPr>
                  <w:tcW w:w="2346" w:type="pct"/>
                  <w:vAlign w:val="center"/>
                </w:tcPr>
                <w:p w14:paraId="2AFCF78C">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钻探施工循环液使用泥浆时，应采用无固相或低固相的优质环保浆液。泥浆材料及处理剂具备无毒无害、可自然降解性能，符合环保标准要求。加强循环液的现场使用管理，做好施工中防渗、护壁及净化处理，预防浆液使用中造成地面及地下污染</w:t>
                  </w:r>
                </w:p>
              </w:tc>
              <w:tc>
                <w:tcPr>
                  <w:tcW w:w="1988" w:type="pct"/>
                  <w:vAlign w:val="center"/>
                </w:tcPr>
                <w:p w14:paraId="196C6C86">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项目采用水基型钻井液，具有无毒无害、可自然降解的特点，钻井泥浆采用泥浆罐收集并循环利用，要求泥浆不落地。</w:t>
                  </w:r>
                </w:p>
              </w:tc>
              <w:tc>
                <w:tcPr>
                  <w:tcW w:w="300" w:type="pct"/>
                  <w:vAlign w:val="center"/>
                </w:tcPr>
                <w:p w14:paraId="49226A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2B24A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0F13FB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13</w:t>
                  </w:r>
                </w:p>
              </w:tc>
              <w:tc>
                <w:tcPr>
                  <w:tcW w:w="2346" w:type="pct"/>
                  <w:vAlign w:val="center"/>
                </w:tcPr>
                <w:p w14:paraId="63D8BBA1">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勘查产生的废水可循环利用的应循环利用；对外排放应经沉淀和按规定进行技术处理，按照</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GB8978</w:t>
                  </w:r>
                  <w:r>
                    <w:rPr>
                      <w:rFonts w:hint="eastAsia" w:ascii="宋体" w:hAnsi="宋体" w:eastAsia="宋体" w:cs="宋体"/>
                      <w:color w:val="000000" w:themeColor="text1"/>
                      <w:kern w:val="0"/>
                      <w:sz w:val="21"/>
                      <w:szCs w:val="21"/>
                      <w:lang w:val="en-US" w:eastAsia="zh-CN" w:bidi="ar"/>
                      <w14:textFill>
                        <w14:solidFill>
                          <w14:schemeClr w14:val="tx1"/>
                        </w14:solidFill>
                      </w14:textFill>
                    </w:rPr>
                    <w:t>标准执行</w:t>
                  </w:r>
                </w:p>
              </w:tc>
              <w:tc>
                <w:tcPr>
                  <w:tcW w:w="1988" w:type="pct"/>
                  <w:vAlign w:val="center"/>
                </w:tcPr>
                <w:p w14:paraId="4D9E4D63">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项目泥浆上清液排入地上移动式污水罐，用于配制泥浆，循环使用，洗井废水、压裂返排液排入井场设置的地上废水收集罐，交</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陕西</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榆佳环保科技有限公司</w:t>
                  </w:r>
                  <w:r>
                    <w:rPr>
                      <w:rFonts w:hint="eastAsia" w:ascii="宋体" w:hAnsi="宋体" w:eastAsia="宋体" w:cs="宋体"/>
                      <w:color w:val="000000" w:themeColor="text1"/>
                      <w:kern w:val="0"/>
                      <w:sz w:val="21"/>
                      <w:szCs w:val="21"/>
                      <w:lang w:val="en-US" w:eastAsia="zh-CN" w:bidi="ar"/>
                      <w14:textFill>
                        <w14:solidFill>
                          <w14:schemeClr w14:val="tx1"/>
                        </w14:solidFill>
                      </w14:textFill>
                    </w:rPr>
                    <w:t>处理；生活污水排入移动式环保厕所内后清掏用作农肥。</w:t>
                  </w:r>
                </w:p>
              </w:tc>
              <w:tc>
                <w:tcPr>
                  <w:tcW w:w="300" w:type="pct"/>
                  <w:vAlign w:val="center"/>
                </w:tcPr>
                <w:p w14:paraId="44BC58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7BAB9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4869B5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14</w:t>
                  </w:r>
                </w:p>
              </w:tc>
              <w:tc>
                <w:tcPr>
                  <w:tcW w:w="2346" w:type="pct"/>
                  <w:vAlign w:val="center"/>
                </w:tcPr>
                <w:p w14:paraId="2BE33719">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油气表层钻井应使用空气钻或清水钻进方式，钻进过程中遇到水层，固井时应避开水层，防止地表水受到污染。油气钻进施工中，如出现孔内泥浆严重漏失及涌水现象，应快速穿越漏失及涌水地层后，及时对漏失及涌水地层孔段采用快干水泥基堵漏材料进行封堵，孔深较浅时，亦可采用套管隔离，预防泥浆对地下水造成污染破坏</w:t>
                  </w:r>
                </w:p>
              </w:tc>
              <w:tc>
                <w:tcPr>
                  <w:tcW w:w="1988" w:type="pct"/>
                  <w:vAlign w:val="center"/>
                </w:tcPr>
                <w:p w14:paraId="035D3524">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项目表层钻井使用清水钻，钻进过程中遇到水层，固井时避开水层，防止地表水受到污染。钻进施工中，如出现孔内泥浆严重漏失及涌水现象，应快速穿越漏失及涌水地层后，及时对漏失及涌水地层孔段采用快干水泥基堵漏材料进行封堵，孔深较浅时，亦可采用套管隔离，预防泥浆对地下水造成污染和破坏。</w:t>
                  </w:r>
                </w:p>
              </w:tc>
              <w:tc>
                <w:tcPr>
                  <w:tcW w:w="300" w:type="pct"/>
                  <w:vAlign w:val="center"/>
                </w:tcPr>
                <w:p w14:paraId="226285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1F07C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375205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15</w:t>
                  </w:r>
                </w:p>
              </w:tc>
              <w:tc>
                <w:tcPr>
                  <w:tcW w:w="2346" w:type="pct"/>
                  <w:vAlign w:val="center"/>
                </w:tcPr>
                <w:p w14:paraId="210F2A7E">
                  <w:pPr>
                    <w:pStyle w:val="29"/>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勘查施工道路、场地平整、现场作业应充分考虑到野生动植物保护。勘查机械设备应安装消声装置或场地修隔音设施，降低施工噪音；在有人居住区和野生动物栖息附近，夜间应停止有噪声影响的作业活动</w:t>
                  </w:r>
                </w:p>
              </w:tc>
              <w:tc>
                <w:tcPr>
                  <w:tcW w:w="1988" w:type="pct"/>
                  <w:vAlign w:val="center"/>
                </w:tcPr>
                <w:p w14:paraId="01410FF0">
                  <w:pPr>
                    <w:pStyle w:val="29"/>
                    <w:keepNext w:val="0"/>
                    <w:keepLines w:val="0"/>
                    <w:pageBreakBefore w:val="0"/>
                    <w:widowControl w:val="0"/>
                    <w:kinsoku/>
                    <w:overflowPunct/>
                    <w:topLinePunct w:val="0"/>
                    <w:bidi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场地平整、现场作业选用低噪声设备，文明施工，减少占地，做好野生动植物保护的施工宣传。项目钻井和泥浆收集处理成套设备均配备减震基座和减震垫，空气动力设备安装消声装置</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300" w:type="pct"/>
                  <w:vAlign w:val="center"/>
                </w:tcPr>
                <w:p w14:paraId="4C6E43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71B04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51147E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16</w:t>
                  </w:r>
                </w:p>
              </w:tc>
              <w:tc>
                <w:tcPr>
                  <w:tcW w:w="2346" w:type="pct"/>
                  <w:vAlign w:val="center"/>
                </w:tcPr>
                <w:p w14:paraId="6E613B74">
                  <w:pPr>
                    <w:pStyle w:val="29"/>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对容易产生粉尘的作业，采取喷雾、洒水等措施最大限度地降低勘查施工作业中产生的粉尘</w:t>
                  </w:r>
                </w:p>
              </w:tc>
              <w:tc>
                <w:tcPr>
                  <w:tcW w:w="1988" w:type="pct"/>
                  <w:vAlign w:val="center"/>
                </w:tcPr>
                <w:p w14:paraId="0FDF2899">
                  <w:pPr>
                    <w:pStyle w:val="29"/>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项目土方施工过程中配套洒水车进行洒水抑尘</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300" w:type="pct"/>
                  <w:vAlign w:val="center"/>
                </w:tcPr>
                <w:p w14:paraId="43A365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7AD2A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3C36E1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17</w:t>
                  </w:r>
                </w:p>
              </w:tc>
              <w:tc>
                <w:tcPr>
                  <w:tcW w:w="2346" w:type="pct"/>
                  <w:vAlign w:val="center"/>
                </w:tcPr>
                <w:p w14:paraId="5DA2B124">
                  <w:pPr>
                    <w:pStyle w:val="29"/>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采用喷雾、洒水、加设除尘装置等措施处置运输过程中产生的粉尘及其扩散</w:t>
                  </w:r>
                </w:p>
              </w:tc>
              <w:tc>
                <w:tcPr>
                  <w:tcW w:w="1988" w:type="pct"/>
                  <w:vAlign w:val="center"/>
                </w:tcPr>
                <w:p w14:paraId="73592AE8">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项目运输过程中加盖篷布防止扬尘，对运输道路配套洒水车进行洒水抑尘</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300" w:type="pct"/>
                  <w:vAlign w:val="center"/>
                </w:tcPr>
                <w:p w14:paraId="40F9DA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6132A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4F0D02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18</w:t>
                  </w:r>
                </w:p>
              </w:tc>
              <w:tc>
                <w:tcPr>
                  <w:tcW w:w="2346" w:type="pct"/>
                  <w:vAlign w:val="center"/>
                </w:tcPr>
                <w:p w14:paraId="40041631">
                  <w:pPr>
                    <w:pStyle w:val="29"/>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勘查过程中，柴油机动力设备应安装尾气净化装置，尾气排放执行国家环保排放标准，不同地区应满足勘查所在地地方相关标准要求</w:t>
                  </w:r>
                </w:p>
              </w:tc>
              <w:tc>
                <w:tcPr>
                  <w:tcW w:w="1988" w:type="pct"/>
                  <w:vAlign w:val="center"/>
                </w:tcPr>
                <w:p w14:paraId="7D49EBAB">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本项目钻井期使用电驱动，不设置柴油发电机，</w:t>
                  </w:r>
                  <w:r>
                    <w:rPr>
                      <w:rFonts w:hint="default" w:ascii="Times New Roman" w:hAnsi="Times New Roman" w:cs="Times New Roman"/>
                      <w:color w:val="000000" w:themeColor="text1"/>
                      <w:sz w:val="21"/>
                      <w:szCs w:val="21"/>
                      <w:lang w:val="en-US" w:eastAsia="zh-CN"/>
                      <w14:textFill>
                        <w14:solidFill>
                          <w14:schemeClr w14:val="tx1"/>
                        </w14:solidFill>
                      </w14:textFill>
                    </w:rPr>
                    <w:t>根据《榆林市人民政府关于禁止使用高排放非道路移动机械的通告》要求，项目施工现场</w:t>
                  </w:r>
                  <w:r>
                    <w:rPr>
                      <w:rFonts w:hint="default" w:ascii="Times New Roman" w:hAnsi="Times New Roman" w:cs="Times New Roman"/>
                      <w:color w:val="000000" w:themeColor="text1"/>
                      <w:sz w:val="21"/>
                      <w:szCs w:val="21"/>
                      <w14:textFill>
                        <w14:solidFill>
                          <w14:schemeClr w14:val="tx1"/>
                        </w14:solidFill>
                      </w14:textFill>
                    </w:rPr>
                    <w:t>禁止使用高排放非道路移动机械，禁止使用未编码登记挂牌及环保检测不达标的非道路移动机械</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300" w:type="pct"/>
                  <w:vAlign w:val="center"/>
                </w:tcPr>
                <w:p w14:paraId="0748B0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2BA96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2B3556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19</w:t>
                  </w:r>
                </w:p>
              </w:tc>
              <w:tc>
                <w:tcPr>
                  <w:tcW w:w="2346" w:type="pct"/>
                  <w:vAlign w:val="center"/>
                </w:tcPr>
                <w:p w14:paraId="472FCEF9">
                  <w:pPr>
                    <w:pStyle w:val="29"/>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施工现场不应燃烧秸秆、衣物及其他产生烟尘、废气污染的物品</w:t>
                  </w:r>
                </w:p>
              </w:tc>
              <w:tc>
                <w:tcPr>
                  <w:tcW w:w="1988" w:type="pct"/>
                  <w:vAlign w:val="center"/>
                </w:tcPr>
                <w:p w14:paraId="2CE4216F">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施工现场按要求不允许燃烧秸秆、衣物及其他产生烟尘、废气污染的物品</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300" w:type="pct"/>
                  <w:vAlign w:val="center"/>
                </w:tcPr>
                <w:p w14:paraId="7E6A70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58724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0787B3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20</w:t>
                  </w:r>
                </w:p>
              </w:tc>
              <w:tc>
                <w:tcPr>
                  <w:tcW w:w="2346" w:type="pct"/>
                  <w:vAlign w:val="center"/>
                </w:tcPr>
                <w:p w14:paraId="2C8597A9">
                  <w:pPr>
                    <w:pStyle w:val="29"/>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废弃物管理按照GB18599执行</w:t>
                  </w:r>
                </w:p>
              </w:tc>
              <w:tc>
                <w:tcPr>
                  <w:tcW w:w="1988" w:type="pct"/>
                  <w:vAlign w:val="center"/>
                </w:tcPr>
                <w:p w14:paraId="52718020">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项目钻井过程中采取不落地收集措施，废弃泥浆实施固液分离处理，钻井泥浆</w:t>
                  </w:r>
                  <w:r>
                    <w:rPr>
                      <w:rFonts w:hint="eastAsia" w:ascii="Times New Roman" w:hAnsi="Times New Roman" w:cs="Times New Roman"/>
                      <w:snapToGrid w:val="0"/>
                      <w:color w:val="000000" w:themeColor="text1"/>
                      <w:kern w:val="0"/>
                      <w:sz w:val="21"/>
                      <w:szCs w:val="21"/>
                      <w:lang w:val="en-US" w:eastAsia="zh-CN"/>
                      <w14:textFill>
                        <w14:solidFill>
                          <w14:schemeClr w14:val="tx1"/>
                        </w14:solidFill>
                      </w14:textFill>
                    </w:rPr>
                    <w:t>和岩屑</w:t>
                  </w:r>
                  <w:r>
                    <w:rPr>
                      <w:rFonts w:hint="default" w:ascii="Times New Roman" w:hAnsi="Times New Roman" w:cs="Times New Roman"/>
                      <w:bCs/>
                      <w:color w:val="000000" w:themeColor="text1"/>
                      <w:sz w:val="21"/>
                      <w:szCs w:val="21"/>
                      <w14:textFill>
                        <w14:solidFill>
                          <w14:schemeClr w14:val="tx1"/>
                        </w14:solidFill>
                      </w14:textFill>
                    </w:rPr>
                    <w:t>外运处置</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tc>
              <w:tc>
                <w:tcPr>
                  <w:tcW w:w="300" w:type="pct"/>
                  <w:vAlign w:val="center"/>
                </w:tcPr>
                <w:p w14:paraId="637C43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3E213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1D6311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21</w:t>
                  </w:r>
                </w:p>
              </w:tc>
              <w:tc>
                <w:tcPr>
                  <w:tcW w:w="2346" w:type="pct"/>
                  <w:vAlign w:val="center"/>
                </w:tcPr>
                <w:p w14:paraId="544C6D22">
                  <w:pPr>
                    <w:pStyle w:val="29"/>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生活固体废弃物应分类处置，按照GB18485、CJJ17执行</w:t>
                  </w:r>
                </w:p>
              </w:tc>
              <w:tc>
                <w:tcPr>
                  <w:tcW w:w="1988" w:type="pct"/>
                  <w:vAlign w:val="center"/>
                </w:tcPr>
                <w:p w14:paraId="5F168A20">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生活垃圾集中收集后送环卫部门指定地点堆放</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300" w:type="pct"/>
                  <w:vAlign w:val="center"/>
                </w:tcPr>
                <w:p w14:paraId="4CB1A1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39F5A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402CDE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22</w:t>
                  </w:r>
                </w:p>
              </w:tc>
              <w:tc>
                <w:tcPr>
                  <w:tcW w:w="2346" w:type="pct"/>
                  <w:vAlign w:val="center"/>
                </w:tcPr>
                <w:p w14:paraId="5427428B">
                  <w:pPr>
                    <w:pStyle w:val="29"/>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勘查施工区（点）工作结束后，应及时拆除现场施工设备、物资和临时设施，清除现场各类杂物、垃圾及污染物</w:t>
                  </w:r>
                </w:p>
              </w:tc>
              <w:tc>
                <w:tcPr>
                  <w:tcW w:w="1988" w:type="pct"/>
                  <w:vAlign w:val="center"/>
                </w:tcPr>
                <w:p w14:paraId="22E8E014">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项目施工结束后，立即拆除现场施工设备、物资和临时设施，清除现场各类杂物、垃圾及污染物</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300" w:type="pct"/>
                  <w:vAlign w:val="center"/>
                </w:tcPr>
                <w:p w14:paraId="25FCD2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44AC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32DD23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23</w:t>
                  </w:r>
                </w:p>
              </w:tc>
              <w:tc>
                <w:tcPr>
                  <w:tcW w:w="2346" w:type="pct"/>
                  <w:vAlign w:val="center"/>
                </w:tcPr>
                <w:p w14:paraId="1C90990D">
                  <w:pPr>
                    <w:pStyle w:val="29"/>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现场的垃圾、油污、废液、沉渣及其它固体废物应进行分类清理、收集，按照GB18599等相关规定进行焚烧、消毒、沉淀、固化等处理</w:t>
                  </w:r>
                </w:p>
              </w:tc>
              <w:tc>
                <w:tcPr>
                  <w:tcW w:w="1988" w:type="pct"/>
                  <w:vAlign w:val="center"/>
                </w:tcPr>
                <w:p w14:paraId="18A0F470">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项目产生的落地油及时回收，保证落地油回收率能够达到100%；废机油等危险废物严格执行国家和本省的有关规定，进行收集、贮存、利用和处置，施工结束后，交给有</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资质</w:t>
                  </w:r>
                  <w:r>
                    <w:rPr>
                      <w:rFonts w:hint="default" w:ascii="Times New Roman" w:hAnsi="Times New Roman" w:cs="Times New Roman"/>
                      <w:color w:val="000000" w:themeColor="text1"/>
                      <w:sz w:val="21"/>
                      <w:szCs w:val="21"/>
                      <w14:textFill>
                        <w14:solidFill>
                          <w14:schemeClr w14:val="tx1"/>
                        </w14:solidFill>
                      </w14:textFill>
                    </w:rPr>
                    <w:t>的单位进行处置</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300" w:type="pct"/>
                  <w:vAlign w:val="center"/>
                </w:tcPr>
                <w:p w14:paraId="67959D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6F84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763DB6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24</w:t>
                  </w:r>
                </w:p>
              </w:tc>
              <w:tc>
                <w:tcPr>
                  <w:tcW w:w="2346" w:type="pct"/>
                  <w:vAlign w:val="center"/>
                </w:tcPr>
                <w:p w14:paraId="15009D7A">
                  <w:pPr>
                    <w:pStyle w:val="29"/>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对于现场不能处置的污染物，应外运到专业处理场处理</w:t>
                  </w:r>
                </w:p>
              </w:tc>
              <w:tc>
                <w:tcPr>
                  <w:tcW w:w="1988" w:type="pct"/>
                  <w:vAlign w:val="center"/>
                </w:tcPr>
                <w:p w14:paraId="0DF14B44">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项目危险废物委托有资质单位外运处置；废钻井泥浆、岩屑进行不落地收集，井场配备地上移动收集设施，并委托陕西</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德禾鑫盛环保科技</w:t>
                  </w:r>
                  <w:r>
                    <w:rPr>
                      <w:rFonts w:hint="default" w:ascii="Times New Roman" w:hAnsi="Times New Roman" w:cs="Times New Roman"/>
                      <w:color w:val="000000" w:themeColor="text1"/>
                      <w:sz w:val="21"/>
                      <w:szCs w:val="21"/>
                      <w14:textFill>
                        <w14:solidFill>
                          <w14:schemeClr w14:val="tx1"/>
                        </w14:solidFill>
                      </w14:textFill>
                    </w:rPr>
                    <w:t>有限公司进行处置；生活垃圾收集后送环卫部门指定地点堆放。</w:t>
                  </w:r>
                </w:p>
              </w:tc>
              <w:tc>
                <w:tcPr>
                  <w:tcW w:w="300" w:type="pct"/>
                  <w:vAlign w:val="center"/>
                </w:tcPr>
                <w:p w14:paraId="1A385D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6781F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32F119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25</w:t>
                  </w:r>
                </w:p>
              </w:tc>
              <w:tc>
                <w:tcPr>
                  <w:tcW w:w="2346" w:type="pct"/>
                  <w:vAlign w:val="center"/>
                </w:tcPr>
                <w:p w14:paraId="7129CF3F">
                  <w:pPr>
                    <w:pStyle w:val="29"/>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场地恢复平整应根据恢复治理设计要求，结合现场情况，尽可能按原始地形地貌平整。难以复原的地段，应按恢复治理设计场地平整标高进行平整，尽可能与自然环境相协调</w:t>
                  </w:r>
                </w:p>
              </w:tc>
              <w:tc>
                <w:tcPr>
                  <w:tcW w:w="1988" w:type="pct"/>
                  <w:vAlign w:val="center"/>
                </w:tcPr>
                <w:p w14:paraId="69C23AD9">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评价要求项目施工结束后，对不具有利用价值的勘探井进行永久封井，</w:t>
                  </w:r>
                  <w:r>
                    <w:rPr>
                      <w:rFonts w:hint="eastAsia" w:ascii="Times New Roman" w:hAnsi="Times New Roman" w:cs="Times New Roman"/>
                      <w:color w:val="000000" w:themeColor="text1"/>
                      <w:sz w:val="21"/>
                      <w:szCs w:val="21"/>
                      <w:lang w:val="en-US" w:eastAsia="zh-CN"/>
                      <w14:textFill>
                        <w14:solidFill>
                          <w14:schemeClr w14:val="tx1"/>
                        </w14:solidFill>
                      </w14:textFill>
                    </w:rPr>
                    <w:t>临时占地</w:t>
                  </w:r>
                  <w:r>
                    <w:rPr>
                      <w:rFonts w:hint="default" w:ascii="Times New Roman" w:hAnsi="Times New Roman" w:cs="Times New Roman"/>
                      <w:color w:val="000000" w:themeColor="text1"/>
                      <w:sz w:val="21"/>
                      <w:szCs w:val="21"/>
                      <w14:textFill>
                        <w14:solidFill>
                          <w14:schemeClr w14:val="tx1"/>
                        </w14:solidFill>
                      </w14:textFill>
                    </w:rPr>
                    <w:t>恢复原土地类型</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300" w:type="pct"/>
                  <w:vAlign w:val="center"/>
                </w:tcPr>
                <w:p w14:paraId="0C26C4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4B76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6841B1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26</w:t>
                  </w:r>
                </w:p>
              </w:tc>
              <w:tc>
                <w:tcPr>
                  <w:tcW w:w="2346" w:type="pct"/>
                  <w:vAlign w:val="center"/>
                </w:tcPr>
                <w:p w14:paraId="2524C9F6">
                  <w:pPr>
                    <w:pStyle w:val="29"/>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钻探及其他施工现场场地平整中，应彻底清除场地上污染物。废浆，废液应进行固化处理，深埋于开挖的坑、池底部，上部回填无污染的土壤</w:t>
                  </w:r>
                </w:p>
              </w:tc>
              <w:tc>
                <w:tcPr>
                  <w:tcW w:w="1988" w:type="pct"/>
                  <w:vAlign w:val="center"/>
                </w:tcPr>
                <w:p w14:paraId="1A4A86B7">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项目采用泥浆不落地工艺，废弃钻井泥浆和岩屑进行收集后，委托外运处置</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300" w:type="pct"/>
                  <w:vAlign w:val="center"/>
                </w:tcPr>
                <w:p w14:paraId="1CF233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083C2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2C6EA6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27</w:t>
                  </w:r>
                </w:p>
              </w:tc>
              <w:tc>
                <w:tcPr>
                  <w:tcW w:w="2346" w:type="pct"/>
                  <w:vAlign w:val="center"/>
                </w:tcPr>
                <w:p w14:paraId="32BEE9DF">
                  <w:pPr>
                    <w:pStyle w:val="29"/>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钻探现场应严格按照地质设计要求认真做好封孔工作，保证封孔质量，孔口用水泥砂浆树立规范的标志桩</w:t>
                  </w:r>
                </w:p>
              </w:tc>
              <w:tc>
                <w:tcPr>
                  <w:tcW w:w="1988" w:type="pct"/>
                  <w:vAlign w:val="center"/>
                </w:tcPr>
                <w:p w14:paraId="344F26D6">
                  <w:pPr>
                    <w:pStyle w:val="29"/>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项目已提出封井要求，建设单位应根据相关要求认真做好封孔工作，保证封孔质量，孔口用水泥砂浆树立规范的标志桩</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300" w:type="pct"/>
                  <w:vAlign w:val="center"/>
                </w:tcPr>
                <w:p w14:paraId="1A180E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76EAC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5326FA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28</w:t>
                  </w:r>
                </w:p>
              </w:tc>
              <w:tc>
                <w:tcPr>
                  <w:tcW w:w="2346" w:type="pct"/>
                  <w:vAlign w:val="center"/>
                </w:tcPr>
                <w:p w14:paraId="491E443C">
                  <w:pPr>
                    <w:pStyle w:val="29"/>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施工道路及临建场地根据设计恢复地类及保留需求进行平整</w:t>
                  </w:r>
                </w:p>
              </w:tc>
              <w:tc>
                <w:tcPr>
                  <w:tcW w:w="1988" w:type="pct"/>
                  <w:vAlign w:val="center"/>
                </w:tcPr>
                <w:p w14:paraId="3B8B225E">
                  <w:pPr>
                    <w:pStyle w:val="29"/>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项目施工便道依托井场周边已有道路</w:t>
                  </w:r>
                  <w:r>
                    <w:rPr>
                      <w:rFonts w:hint="default" w:ascii="Times New Roman" w:hAnsi="Times New Roman" w:cs="Times New Roman"/>
                      <w:color w:val="000000" w:themeColor="text1"/>
                      <w:sz w:val="21"/>
                      <w:szCs w:val="21"/>
                      <w14:textFill>
                        <w14:solidFill>
                          <w14:schemeClr w14:val="tx1"/>
                        </w14:solidFill>
                      </w14:textFill>
                    </w:rPr>
                    <w:t>，若永久封井，占用的临时用地进行恢复原土地类型</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300" w:type="pct"/>
                  <w:vAlign w:val="center"/>
                </w:tcPr>
                <w:p w14:paraId="5B2503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46C95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2778CF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29</w:t>
                  </w:r>
                </w:p>
              </w:tc>
              <w:tc>
                <w:tcPr>
                  <w:tcW w:w="2346" w:type="pct"/>
                  <w:vAlign w:val="center"/>
                </w:tcPr>
                <w:p w14:paraId="624D64C1">
                  <w:pPr>
                    <w:pStyle w:val="29"/>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场地的覆土厚度及土质应符合恢复地类的复绿设计及相关行业的规范标准要求</w:t>
                  </w:r>
                </w:p>
              </w:tc>
              <w:tc>
                <w:tcPr>
                  <w:tcW w:w="1988" w:type="pct"/>
                  <w:vAlign w:val="center"/>
                </w:tcPr>
                <w:p w14:paraId="14B50896">
                  <w:pPr>
                    <w:pStyle w:val="29"/>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项目要求场地的覆土厚度及土质必须</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符合</w:t>
                  </w:r>
                  <w:r>
                    <w:rPr>
                      <w:rFonts w:hint="default" w:ascii="Times New Roman" w:hAnsi="Times New Roman" w:cs="Times New Roman"/>
                      <w:color w:val="000000" w:themeColor="text1"/>
                      <w:sz w:val="21"/>
                      <w:szCs w:val="21"/>
                      <w14:textFill>
                        <w14:solidFill>
                          <w14:schemeClr w14:val="tx1"/>
                        </w14:solidFill>
                      </w14:textFill>
                    </w:rPr>
                    <w:t>相关规范标准要求</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300" w:type="pct"/>
                  <w:vAlign w:val="center"/>
                </w:tcPr>
                <w:p w14:paraId="771196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4CA30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627970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30</w:t>
                  </w:r>
                </w:p>
              </w:tc>
              <w:tc>
                <w:tcPr>
                  <w:tcW w:w="2346" w:type="pct"/>
                  <w:vAlign w:val="center"/>
                </w:tcPr>
                <w:p w14:paraId="10092A31">
                  <w:pPr>
                    <w:pStyle w:val="29"/>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仅压占未挖损及污染的场地，可采取深翻，松土、培土等方式，满足相关规定和设计恢复治理要求</w:t>
                  </w:r>
                </w:p>
              </w:tc>
              <w:tc>
                <w:tcPr>
                  <w:tcW w:w="1988" w:type="pct"/>
                  <w:vAlign w:val="center"/>
                </w:tcPr>
                <w:p w14:paraId="72000B8C">
                  <w:pPr>
                    <w:pStyle w:val="29"/>
                    <w:keepNext w:val="0"/>
                    <w:keepLines w:val="0"/>
                    <w:pageBreakBefore w:val="0"/>
                    <w:widowControl w:val="0"/>
                    <w:kinsoku/>
                    <w:overflowPunct/>
                    <w:topLinePunct w:val="0"/>
                    <w:bidi w:val="0"/>
                    <w:snapToGrid w:val="0"/>
                    <w:spacing w:line="240" w:lineRule="auto"/>
                    <w:ind w:left="0" w:leftChars="0" w:right="0" w:rightChars="0" w:firstLine="0" w:firstLineChars="0"/>
                    <w:jc w:val="left"/>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宋体"/>
                      <w:color w:val="000000" w:themeColor="text1"/>
                      <w:sz w:val="21"/>
                      <w:szCs w:val="21"/>
                      <w:lang w:bidi="ar"/>
                      <w14:textFill>
                        <w14:solidFill>
                          <w14:schemeClr w14:val="tx1"/>
                        </w14:solidFill>
                      </w14:textFill>
                    </w:rPr>
                    <w:t>项目仅压占未挖损及污染的场地，要求采取深翻，松土、培土等方式</w:t>
                  </w:r>
                  <w:r>
                    <w:rPr>
                      <w:rFonts w:hint="eastAsia" w:eastAsia="宋体" w:cs="宋体"/>
                      <w:color w:val="000000" w:themeColor="text1"/>
                      <w:sz w:val="21"/>
                      <w:szCs w:val="21"/>
                      <w:lang w:eastAsia="zh-CN" w:bidi="ar"/>
                      <w14:textFill>
                        <w14:solidFill>
                          <w14:schemeClr w14:val="tx1"/>
                        </w14:solidFill>
                      </w14:textFill>
                    </w:rPr>
                    <w:t>。</w:t>
                  </w:r>
                </w:p>
              </w:tc>
              <w:tc>
                <w:tcPr>
                  <w:tcW w:w="300" w:type="pct"/>
                  <w:vAlign w:val="center"/>
                </w:tcPr>
                <w:p w14:paraId="69069A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533FB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0007CE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31</w:t>
                  </w:r>
                </w:p>
              </w:tc>
              <w:tc>
                <w:tcPr>
                  <w:tcW w:w="2346" w:type="pct"/>
                  <w:vAlign w:val="center"/>
                </w:tcPr>
                <w:p w14:paraId="1F4C5BA7">
                  <w:pPr>
                    <w:pStyle w:val="29"/>
                    <w:keepNext w:val="0"/>
                    <w:keepLines w:val="0"/>
                    <w:pageBreakBefore w:val="0"/>
                    <w:widowControl w:val="0"/>
                    <w:kinsoku/>
                    <w:overflowPunct/>
                    <w:topLinePunct w:val="0"/>
                    <w:bidi w:val="0"/>
                    <w:snapToGrid w:val="0"/>
                    <w:spacing w:line="240" w:lineRule="auto"/>
                    <w:ind w:left="0" w:leftChars="0" w:right="0" w:rightChars="0" w:firstLine="0" w:firstLineChars="0"/>
                    <w:jc w:val="left"/>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草地复绿，一般采用播撒方式培植，草种应适应当地生长并与原草地环境协调。</w:t>
                  </w:r>
                  <w:r>
                    <w:rPr>
                      <w:rFonts w:hint="eastAsia" w:ascii="Times New Roman" w:hAnsi="Times New Roman" w:cs="Times New Roman"/>
                      <w:color w:val="000000" w:themeColor="text1"/>
                      <w:sz w:val="21"/>
                      <w:szCs w:val="21"/>
                      <w:lang w:eastAsia="zh-CN"/>
                      <w14:textFill>
                        <w14:solidFill>
                          <w14:schemeClr w14:val="tx1"/>
                        </w14:solidFill>
                      </w14:textFill>
                    </w:rPr>
                    <w:t>草地</w:t>
                  </w:r>
                  <w:r>
                    <w:rPr>
                      <w:rFonts w:hint="default" w:ascii="Times New Roman" w:hAnsi="Times New Roman" w:cs="Times New Roman"/>
                      <w:color w:val="000000" w:themeColor="text1"/>
                      <w:sz w:val="21"/>
                      <w:szCs w:val="21"/>
                      <w14:textFill>
                        <w14:solidFill>
                          <w14:schemeClr w14:val="tx1"/>
                        </w14:solidFill>
                      </w14:textFill>
                    </w:rPr>
                    <w:t>复绿，林木品种适合当地生长，应结合当地居民及社会经济发展及环境的协调要求，林木的种植施工应符合相关行业规程及规范标准。耕地复垦，经现场深翻、松土及覆土后，应满足当地农作物耕种条件</w:t>
                  </w:r>
                </w:p>
              </w:tc>
              <w:tc>
                <w:tcPr>
                  <w:tcW w:w="1988" w:type="pct"/>
                  <w:vAlign w:val="center"/>
                </w:tcPr>
                <w:p w14:paraId="6252F2D4">
                  <w:pPr>
                    <w:pStyle w:val="29"/>
                    <w:keepNext w:val="0"/>
                    <w:keepLines w:val="0"/>
                    <w:pageBreakBefore w:val="0"/>
                    <w:widowControl w:val="0"/>
                    <w:kinsoku/>
                    <w:overflowPunct/>
                    <w:topLinePunct w:val="0"/>
                    <w:bidi w:val="0"/>
                    <w:snapToGrid w:val="0"/>
                    <w:spacing w:line="240" w:lineRule="auto"/>
                    <w:ind w:left="0" w:leftChars="0" w:right="0" w:rightChars="0" w:firstLine="0" w:firstLineChars="0"/>
                    <w:jc w:val="both"/>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宋体"/>
                      <w:color w:val="000000" w:themeColor="text1"/>
                      <w:sz w:val="21"/>
                      <w:szCs w:val="21"/>
                      <w:highlight w:val="none"/>
                      <w:lang w:val="en-US" w:eastAsia="zh-CN" w:bidi="ar"/>
                      <w14:textFill>
                        <w14:solidFill>
                          <w14:schemeClr w14:val="tx1"/>
                        </w14:solidFill>
                      </w14:textFill>
                    </w:rPr>
                    <w:t>项目临时占地类型主要为林地和草地、园地、交通运输用地，施工结束后，永久封井时，生态恢复根据原有占地类型和</w:t>
                  </w:r>
                  <w:r>
                    <w:rPr>
                      <w:rFonts w:hint="eastAsia" w:cs="宋体"/>
                      <w:color w:val="000000" w:themeColor="text1"/>
                      <w:sz w:val="21"/>
                      <w:szCs w:val="21"/>
                      <w:highlight w:val="none"/>
                      <w:lang w:bidi="ar"/>
                      <w14:textFill>
                        <w14:solidFill>
                          <w14:schemeClr w14:val="tx1"/>
                        </w14:solidFill>
                      </w14:textFill>
                    </w:rPr>
                    <w:t>环境条件，</w:t>
                  </w:r>
                  <w:r>
                    <w:rPr>
                      <w:rFonts w:hint="eastAsia" w:cs="宋体"/>
                      <w:color w:val="000000" w:themeColor="text1"/>
                      <w:sz w:val="21"/>
                      <w:szCs w:val="21"/>
                      <w:highlight w:val="none"/>
                      <w:lang w:val="en-US" w:eastAsia="zh-CN" w:bidi="ar"/>
                      <w14:textFill>
                        <w14:solidFill>
                          <w14:schemeClr w14:val="tx1"/>
                        </w14:solidFill>
                      </w14:textFill>
                    </w:rPr>
                    <w:t>林地和草地</w:t>
                  </w:r>
                  <w:r>
                    <w:rPr>
                      <w:rFonts w:hint="eastAsia" w:cs="宋体"/>
                      <w:color w:val="000000" w:themeColor="text1"/>
                      <w:sz w:val="21"/>
                      <w:szCs w:val="21"/>
                      <w:highlight w:val="none"/>
                      <w:lang w:bidi="ar"/>
                      <w14:textFill>
                        <w14:solidFill>
                          <w14:schemeClr w14:val="tx1"/>
                        </w14:solidFill>
                      </w14:textFill>
                    </w:rPr>
                    <w:t>选择当地土著种和优势种进行</w:t>
                  </w:r>
                  <w:r>
                    <w:rPr>
                      <w:rFonts w:hint="eastAsia" w:cs="宋体"/>
                      <w:color w:val="000000" w:themeColor="text1"/>
                      <w:sz w:val="21"/>
                      <w:szCs w:val="21"/>
                      <w:highlight w:val="none"/>
                      <w:lang w:val="en-US" w:eastAsia="zh-CN" w:bidi="ar"/>
                      <w14:textFill>
                        <w14:solidFill>
                          <w14:schemeClr w14:val="tx1"/>
                        </w14:solidFill>
                      </w14:textFill>
                    </w:rPr>
                    <w:t>植被</w:t>
                  </w:r>
                  <w:r>
                    <w:rPr>
                      <w:rFonts w:hint="eastAsia" w:cs="宋体"/>
                      <w:color w:val="000000" w:themeColor="text1"/>
                      <w:sz w:val="21"/>
                      <w:szCs w:val="21"/>
                      <w:highlight w:val="none"/>
                      <w:lang w:bidi="ar"/>
                      <w14:textFill>
                        <w14:solidFill>
                          <w14:schemeClr w14:val="tx1"/>
                        </w14:solidFill>
                      </w14:textFill>
                    </w:rPr>
                    <w:t>恢复，并需符合相关行业规程及规范标准</w:t>
                  </w:r>
                  <w:r>
                    <w:rPr>
                      <w:rFonts w:hint="eastAsia" w:eastAsia="宋体" w:cs="宋体"/>
                      <w:color w:val="000000" w:themeColor="text1"/>
                      <w:sz w:val="21"/>
                      <w:szCs w:val="21"/>
                      <w:highlight w:val="none"/>
                      <w:lang w:eastAsia="zh-CN" w:bidi="ar"/>
                      <w14:textFill>
                        <w14:solidFill>
                          <w14:schemeClr w14:val="tx1"/>
                        </w14:solidFill>
                      </w14:textFill>
                    </w:rPr>
                    <w:t>。</w:t>
                  </w:r>
                </w:p>
              </w:tc>
              <w:tc>
                <w:tcPr>
                  <w:tcW w:w="300" w:type="pct"/>
                  <w:vAlign w:val="center"/>
                </w:tcPr>
                <w:p w14:paraId="4EC882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0F35C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162F40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32</w:t>
                  </w:r>
                </w:p>
              </w:tc>
              <w:tc>
                <w:tcPr>
                  <w:tcW w:w="2346" w:type="pct"/>
                  <w:vAlign w:val="center"/>
                </w:tcPr>
                <w:p w14:paraId="50166A60">
                  <w:pPr>
                    <w:pStyle w:val="29"/>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复垦复绿施工中，应做好环境恢复治理工程的维护管理。在工程质保期及植被恢复养护期间，应对损坏或检查不合格的工程进行修补和返工处理</w:t>
                  </w:r>
                </w:p>
              </w:tc>
              <w:tc>
                <w:tcPr>
                  <w:tcW w:w="1988" w:type="pct"/>
                  <w:vAlign w:val="center"/>
                </w:tcPr>
                <w:p w14:paraId="4F49E97E">
                  <w:pPr>
                    <w:pStyle w:val="29"/>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宋体"/>
                      <w:color w:val="000000" w:themeColor="text1"/>
                      <w:sz w:val="21"/>
                      <w:szCs w:val="21"/>
                      <w:lang w:bidi="ar"/>
                      <w14:textFill>
                        <w14:solidFill>
                          <w14:schemeClr w14:val="tx1"/>
                        </w14:solidFill>
                      </w14:textFill>
                    </w:rPr>
                    <w:t>项目在进行生态恢复过程中应严格按照生态恢复治理方案进行维护管理，定期对恢复达不到要求的工程进行返工处理</w:t>
                  </w:r>
                  <w:r>
                    <w:rPr>
                      <w:rFonts w:hint="eastAsia" w:eastAsia="宋体" w:cs="宋体"/>
                      <w:color w:val="000000" w:themeColor="text1"/>
                      <w:sz w:val="21"/>
                      <w:szCs w:val="21"/>
                      <w:lang w:eastAsia="zh-CN" w:bidi="ar"/>
                      <w14:textFill>
                        <w14:solidFill>
                          <w14:schemeClr w14:val="tx1"/>
                        </w14:solidFill>
                      </w14:textFill>
                    </w:rPr>
                    <w:t>。</w:t>
                  </w:r>
                </w:p>
              </w:tc>
              <w:tc>
                <w:tcPr>
                  <w:tcW w:w="300" w:type="pct"/>
                  <w:vAlign w:val="center"/>
                </w:tcPr>
                <w:p w14:paraId="342D7D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48E9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529F6C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33</w:t>
                  </w:r>
                </w:p>
              </w:tc>
              <w:tc>
                <w:tcPr>
                  <w:tcW w:w="2346" w:type="pct"/>
                  <w:vAlign w:val="center"/>
                </w:tcPr>
                <w:p w14:paraId="19EFEDBC">
                  <w:pPr>
                    <w:pStyle w:val="29"/>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恢复治理工作应达到现场无污染破坏痕迹，生态恢复良好，环境协调</w:t>
                  </w:r>
                </w:p>
              </w:tc>
              <w:tc>
                <w:tcPr>
                  <w:tcW w:w="1988" w:type="pct"/>
                  <w:vAlign w:val="center"/>
                </w:tcPr>
                <w:p w14:paraId="5D283C65">
                  <w:pPr>
                    <w:pStyle w:val="29"/>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评价要求永久封井场地恢复达到现场无污染破坏痕迹</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300" w:type="pct"/>
                  <w:vAlign w:val="center"/>
                </w:tcPr>
                <w:p w14:paraId="1C07AA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r w14:paraId="19E49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652051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34</w:t>
                  </w:r>
                </w:p>
              </w:tc>
              <w:tc>
                <w:tcPr>
                  <w:tcW w:w="2346" w:type="pct"/>
                  <w:vAlign w:val="center"/>
                </w:tcPr>
                <w:p w14:paraId="40D75F89">
                  <w:pPr>
                    <w:pStyle w:val="29"/>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推进智能化建设，采用信息技术、网络技术、控制技术、智能技术，实现勘查投资决策、工作部署和现场管信息化、智能化</w:t>
                  </w:r>
                </w:p>
              </w:tc>
              <w:tc>
                <w:tcPr>
                  <w:tcW w:w="1988" w:type="pct"/>
                  <w:vAlign w:val="center"/>
                </w:tcPr>
                <w:p w14:paraId="1023B4DE">
                  <w:pPr>
                    <w:pStyle w:val="29"/>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项目勘探采用信息技术、网络技术、控制技术、智能技术进行钻探，实现现场管信息化、智能化</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300" w:type="pct"/>
                  <w:vAlign w:val="center"/>
                </w:tcPr>
                <w:p w14:paraId="33CD6E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符合</w:t>
                  </w:r>
                </w:p>
              </w:tc>
            </w:tr>
          </w:tbl>
          <w:p w14:paraId="02E9E0C2">
            <w:pPr>
              <w:jc w:val="both"/>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435BF748">
            <w:pPr>
              <w:pStyle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0FC9F378">
            <w:pP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734E6A5E">
            <w:pPr>
              <w:pStyle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48B8B2F9">
            <w:pP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727078E7">
            <w:pPr>
              <w:pStyle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31922C14">
            <w:pP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1B027157">
            <w:pPr>
              <w:pStyle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43486C29">
            <w:pP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192AE1C5">
            <w:pPr>
              <w:pStyle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76D0087C">
            <w:pP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420A7FAD">
            <w:pPr>
              <w:pStyle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696B6705">
            <w:pP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38C34789">
            <w:pPr>
              <w:pStyle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74983612">
            <w:pP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5D1CBEFA">
            <w:pPr>
              <w:pStyle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6A8AFC63">
            <w:pP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70147F20">
            <w:pPr>
              <w:pStyle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395B8BFE">
            <w:pP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6C8EE766">
            <w:pPr>
              <w:pStyle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4E1207B6">
            <w:pP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3069A4B5">
            <w:pPr>
              <w:pStyle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6224C76D">
            <w:pP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6E790C83">
            <w:pPr>
              <w:pStyle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5BBFC877">
            <w:pP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440E25BF">
            <w:pPr>
              <w:pStyle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21652A73">
            <w:pP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00DA5405">
            <w:pPr>
              <w:pStyle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0DB7CB3B">
            <w:pP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7A808AB0">
            <w:pPr>
              <w:pStyle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68F5BD55">
            <w:pP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7B1A90E7">
            <w:pPr>
              <w:pStyle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p w14:paraId="6BA703BC">
            <w:pPr>
              <w:rPr>
                <w:rFonts w:hint="default"/>
                <w:lang w:val="en-US" w:eastAsia="zh-CN"/>
              </w:rPr>
            </w:pPr>
          </w:p>
        </w:tc>
      </w:tr>
    </w:tbl>
    <w:p w14:paraId="6B898A34">
      <w:pPr>
        <w:rPr>
          <w:rFonts w:hint="default" w:ascii="Times New Roman" w:hAnsi="Times New Roman" w:eastAsia="楷体" w:cs="Times New Roman"/>
          <w:color w:val="000000" w:themeColor="text1"/>
          <w:sz w:val="36"/>
          <w:szCs w:val="36"/>
          <w14:textFill>
            <w14:solidFill>
              <w14:schemeClr w14:val="tx1"/>
            </w14:solidFill>
          </w14:textFill>
        </w:rPr>
      </w:pPr>
      <w:r>
        <w:rPr>
          <w:rFonts w:hint="default" w:ascii="Times New Roman" w:hAnsi="Times New Roman" w:eastAsia="楷体" w:cs="Times New Roman"/>
          <w:color w:val="000000" w:themeColor="text1"/>
          <w:sz w:val="36"/>
          <w:szCs w:val="36"/>
          <w14:textFill>
            <w14:solidFill>
              <w14:schemeClr w14:val="tx1"/>
            </w14:solidFill>
          </w14:textFill>
        </w:rPr>
        <w:br w:type="page"/>
      </w:r>
    </w:p>
    <w:p w14:paraId="50F77721">
      <w:pPr>
        <w:numPr>
          <w:ilvl w:val="0"/>
          <w:numId w:val="4"/>
        </w:numPr>
        <w:jc w:val="center"/>
        <w:rPr>
          <w:rFonts w:hint="default" w:ascii="Times New Roman" w:hAnsi="Times New Roman" w:eastAsia="黑体" w:cs="Times New Roman"/>
          <w:b w:val="0"/>
          <w:bCs w:val="0"/>
          <w:color w:val="000000" w:themeColor="text1"/>
          <w:sz w:val="28"/>
          <w:szCs w:val="28"/>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8"/>
          <w:szCs w:val="28"/>
          <w:lang w:val="en-US" w:eastAsia="zh-CN"/>
          <w14:textFill>
            <w14:solidFill>
              <w14:schemeClr w14:val="tx1"/>
            </w14:solidFill>
          </w14:textFill>
        </w:rPr>
        <w:t>建设内容</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8616"/>
      </w:tblGrid>
      <w:tr w14:paraId="7903A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72" w:type="dxa"/>
            <w:vAlign w:val="center"/>
          </w:tcPr>
          <w:p w14:paraId="30506645">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地理位置</w:t>
            </w:r>
          </w:p>
        </w:tc>
        <w:tc>
          <w:tcPr>
            <w:tcW w:w="8616" w:type="dxa"/>
            <w:vAlign w:val="center"/>
          </w:tcPr>
          <w:p w14:paraId="09C73BF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在佳县方塌镇新建4</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口</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天然气评价井，</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临时</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占地面积为</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46940</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m²</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根据榆林市投资项目选址“一张图”控制线数据，</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占地类型为</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林地、园地、交通运输用地，</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不涉及基本农田。探井基本信息见表2-1，项目地理位置见附图。</w:t>
            </w:r>
          </w:p>
          <w:p w14:paraId="06C01759">
            <w:pPr>
              <w:spacing w:line="240" w:lineRule="auto"/>
              <w:ind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表2-1探井基本信息</w:t>
            </w:r>
          </w:p>
          <w:tbl>
            <w:tblPr>
              <w:tblStyle w:val="20"/>
              <w:tblW w:w="4988" w:type="pct"/>
              <w:tblInd w:w="1"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407"/>
              <w:gridCol w:w="641"/>
              <w:gridCol w:w="875"/>
              <w:gridCol w:w="1153"/>
              <w:gridCol w:w="966"/>
              <w:gridCol w:w="773"/>
              <w:gridCol w:w="1006"/>
              <w:gridCol w:w="1127"/>
            </w:tblGrid>
            <w:tr w14:paraId="69E8002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restart"/>
                  <w:noWrap w:val="0"/>
                  <w:vAlign w:val="center"/>
                </w:tcPr>
                <w:p w14:paraId="364FDB72">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840" w:type="pct"/>
                  <w:vMerge w:val="restart"/>
                  <w:noWrap w:val="0"/>
                  <w:vAlign w:val="center"/>
                </w:tcPr>
                <w:p w14:paraId="5FFF9CD8">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井号</w:t>
                  </w:r>
                </w:p>
              </w:tc>
              <w:tc>
                <w:tcPr>
                  <w:tcW w:w="383" w:type="pct"/>
                  <w:vMerge w:val="restart"/>
                  <w:noWrap w:val="0"/>
                  <w:vAlign w:val="center"/>
                </w:tcPr>
                <w:p w14:paraId="0702EAC9">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井型</w:t>
                  </w:r>
                </w:p>
              </w:tc>
              <w:tc>
                <w:tcPr>
                  <w:tcW w:w="522" w:type="pct"/>
                  <w:vMerge w:val="restart"/>
                  <w:noWrap w:val="0"/>
                  <w:vAlign w:val="center"/>
                </w:tcPr>
                <w:p w14:paraId="07335B91">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井深</w:t>
                  </w:r>
                </w:p>
                <w:p w14:paraId="1A5ABF36">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（m）</w:t>
                  </w:r>
                </w:p>
              </w:tc>
              <w:tc>
                <w:tcPr>
                  <w:tcW w:w="1264" w:type="pct"/>
                  <w:gridSpan w:val="2"/>
                  <w:noWrap w:val="0"/>
                  <w:vAlign w:val="center"/>
                </w:tcPr>
                <w:p w14:paraId="62306C77">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探井中心点坐标</w:t>
                  </w:r>
                </w:p>
              </w:tc>
              <w:tc>
                <w:tcPr>
                  <w:tcW w:w="461" w:type="pct"/>
                  <w:vMerge w:val="restart"/>
                  <w:noWrap w:val="0"/>
                  <w:vAlign w:val="center"/>
                </w:tcPr>
                <w:p w14:paraId="6B9756B4">
                  <w:pPr>
                    <w:spacing w:line="240" w:lineRule="auto"/>
                    <w:ind w:firstLine="0" w:firstLineChars="0"/>
                    <w:contextualSpacing/>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占地类型</w:t>
                  </w:r>
                </w:p>
              </w:tc>
              <w:tc>
                <w:tcPr>
                  <w:tcW w:w="600" w:type="pct"/>
                  <w:vMerge w:val="restart"/>
                  <w:noWrap w:val="0"/>
                  <w:vAlign w:val="center"/>
                </w:tcPr>
                <w:p w14:paraId="71A449D8">
                  <w:pPr>
                    <w:spacing w:line="240" w:lineRule="auto"/>
                    <w:ind w:firstLine="0" w:firstLineChars="0"/>
                    <w:contextualSpacing/>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占地面积（m²）</w:t>
                  </w:r>
                </w:p>
              </w:tc>
              <w:tc>
                <w:tcPr>
                  <w:tcW w:w="672" w:type="pct"/>
                  <w:vMerge w:val="restart"/>
                  <w:noWrap w:val="0"/>
                  <w:vAlign w:val="center"/>
                </w:tcPr>
                <w:p w14:paraId="49AE103F">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地理位置</w:t>
                  </w:r>
                </w:p>
              </w:tc>
            </w:tr>
            <w:tr w14:paraId="6087ED0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noWrap w:val="0"/>
                  <w:vAlign w:val="center"/>
                </w:tcPr>
                <w:p w14:paraId="430C93AD">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840" w:type="pct"/>
                  <w:vMerge w:val="continue"/>
                  <w:noWrap w:val="0"/>
                  <w:vAlign w:val="center"/>
                </w:tcPr>
                <w:p w14:paraId="2AE5343C">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383" w:type="pct"/>
                  <w:vMerge w:val="continue"/>
                  <w:noWrap w:val="0"/>
                  <w:vAlign w:val="center"/>
                </w:tcPr>
                <w:p w14:paraId="6B682CF6">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22" w:type="pct"/>
                  <w:vMerge w:val="continue"/>
                  <w:noWrap w:val="0"/>
                  <w:vAlign w:val="center"/>
                </w:tcPr>
                <w:p w14:paraId="723AFEBD">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688" w:type="pct"/>
                  <w:noWrap w:val="0"/>
                  <w:vAlign w:val="center"/>
                </w:tcPr>
                <w:p w14:paraId="30E71EBB">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X</w:t>
                  </w:r>
                </w:p>
              </w:tc>
              <w:tc>
                <w:tcPr>
                  <w:tcW w:w="575" w:type="pct"/>
                  <w:noWrap w:val="0"/>
                  <w:vAlign w:val="center"/>
                </w:tcPr>
                <w:p w14:paraId="01B8C5A7">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Y</w:t>
                  </w:r>
                </w:p>
              </w:tc>
              <w:tc>
                <w:tcPr>
                  <w:tcW w:w="461" w:type="pct"/>
                  <w:vMerge w:val="continue"/>
                  <w:noWrap w:val="0"/>
                  <w:vAlign w:val="center"/>
                </w:tcPr>
                <w:p w14:paraId="2AAA818D">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600" w:type="pct"/>
                  <w:vMerge w:val="continue"/>
                  <w:noWrap w:val="0"/>
                  <w:vAlign w:val="center"/>
                </w:tcPr>
                <w:p w14:paraId="5D4725C1">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672" w:type="pct"/>
                  <w:vMerge w:val="continue"/>
                  <w:noWrap w:val="0"/>
                  <w:vAlign w:val="center"/>
                </w:tcPr>
                <w:p w14:paraId="21FDA9F8">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r>
            <w:tr w14:paraId="158817F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noWrap w:val="0"/>
                  <w:vAlign w:val="center"/>
                </w:tcPr>
                <w:p w14:paraId="0A72A69F">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40" w:type="pct"/>
                  <w:noWrap w:val="0"/>
                  <w:vAlign w:val="center"/>
                </w:tcPr>
                <w:p w14:paraId="0B22E569">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米172-08</w:t>
                  </w:r>
                </w:p>
              </w:tc>
              <w:tc>
                <w:tcPr>
                  <w:tcW w:w="383" w:type="pct"/>
                  <w:shd w:val="clear" w:color="auto" w:fill="auto"/>
                  <w:noWrap w:val="0"/>
                  <w:vAlign w:val="center"/>
                </w:tcPr>
                <w:p w14:paraId="620C8BD9">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直井</w:t>
                  </w:r>
                </w:p>
              </w:tc>
              <w:tc>
                <w:tcPr>
                  <w:tcW w:w="522" w:type="pct"/>
                  <w:noWrap w:val="0"/>
                  <w:vAlign w:val="center"/>
                </w:tcPr>
                <w:p w14:paraId="76762164">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2765</w:t>
                  </w:r>
                </w:p>
              </w:tc>
              <w:tc>
                <w:tcPr>
                  <w:tcW w:w="688" w:type="pct"/>
                  <w:noWrap w:val="0"/>
                  <w:vAlign w:val="center"/>
                </w:tcPr>
                <w:p w14:paraId="551714D4">
                  <w:pPr>
                    <w:spacing w:line="240" w:lineRule="auto"/>
                    <w:ind w:firstLine="0" w:firstLineChars="0"/>
                    <w:jc w:val="cente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37423219</w:t>
                  </w:r>
                </w:p>
              </w:tc>
              <w:tc>
                <w:tcPr>
                  <w:tcW w:w="575" w:type="pct"/>
                  <w:noWrap w:val="0"/>
                  <w:vAlign w:val="center"/>
                </w:tcPr>
                <w:p w14:paraId="0485DEE7">
                  <w:pPr>
                    <w:spacing w:line="240" w:lineRule="auto"/>
                    <w:ind w:firstLine="0" w:firstLineChars="0"/>
                    <w:jc w:val="cente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4232237</w:t>
                  </w:r>
                </w:p>
              </w:tc>
              <w:tc>
                <w:tcPr>
                  <w:tcW w:w="461" w:type="pct"/>
                  <w:noWrap w:val="0"/>
                  <w:vAlign w:val="center"/>
                </w:tcPr>
                <w:p w14:paraId="5FE50930">
                  <w:pPr>
                    <w:widowControl/>
                    <w:spacing w:line="240" w:lineRule="auto"/>
                    <w:ind w:firstLine="0" w:firstLineChars="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林地</w:t>
                  </w:r>
                </w:p>
              </w:tc>
              <w:tc>
                <w:tcPr>
                  <w:tcW w:w="600" w:type="pct"/>
                  <w:noWrap w:val="0"/>
                  <w:vAlign w:val="center"/>
                </w:tcPr>
                <w:p w14:paraId="1A9A4475">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17918</w:t>
                  </w:r>
                </w:p>
              </w:tc>
              <w:tc>
                <w:tcPr>
                  <w:tcW w:w="672" w:type="pct"/>
                  <w:noWrap w:val="0"/>
                  <w:vAlign w:val="center"/>
                </w:tcPr>
                <w:p w14:paraId="4F0EDAB8">
                  <w:pPr>
                    <w:spacing w:line="240" w:lineRule="auto"/>
                    <w:ind w:firstLine="0" w:firstLineChars="0"/>
                    <w:jc w:val="cente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曹新庄村</w:t>
                  </w:r>
                </w:p>
              </w:tc>
            </w:tr>
            <w:tr w14:paraId="54E4FA6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noWrap w:val="0"/>
                  <w:vAlign w:val="center"/>
                </w:tcPr>
                <w:p w14:paraId="2ADDD3FC">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840" w:type="pct"/>
                  <w:noWrap w:val="0"/>
                  <w:vAlign w:val="center"/>
                </w:tcPr>
                <w:p w14:paraId="4434AF38">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米37-14M</w:t>
                  </w:r>
                </w:p>
              </w:tc>
              <w:tc>
                <w:tcPr>
                  <w:tcW w:w="383" w:type="pct"/>
                  <w:shd w:val="clear" w:color="auto" w:fill="auto"/>
                  <w:noWrap w:val="0"/>
                  <w:vAlign w:val="center"/>
                </w:tcPr>
                <w:p w14:paraId="28816288">
                  <w:pPr>
                    <w:widowControl/>
                    <w:spacing w:line="240" w:lineRule="auto"/>
                    <w:ind w:firstLine="0" w:firstLineChars="0"/>
                    <w:jc w:val="center"/>
                    <w:textAlignment w:val="center"/>
                    <w:rPr>
                      <w:rFonts w:hint="default" w:ascii="Times New Roman" w:hAnsi="Times New Roman" w:cs="Times New Roman" w:eastAsiaTheme="minorHAnsi"/>
                      <w:color w:val="000000" w:themeColor="text1"/>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直井</w:t>
                  </w:r>
                </w:p>
              </w:tc>
              <w:tc>
                <w:tcPr>
                  <w:tcW w:w="522" w:type="pct"/>
                  <w:noWrap w:val="0"/>
                  <w:vAlign w:val="center"/>
                </w:tcPr>
                <w:p w14:paraId="581836D1">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2850</w:t>
                  </w:r>
                </w:p>
              </w:tc>
              <w:tc>
                <w:tcPr>
                  <w:tcW w:w="688" w:type="pct"/>
                  <w:noWrap w:val="0"/>
                  <w:vAlign w:val="center"/>
                </w:tcPr>
                <w:p w14:paraId="4A26FEE9">
                  <w:pPr>
                    <w:spacing w:line="240" w:lineRule="auto"/>
                    <w:ind w:firstLine="0" w:firstLineChars="0"/>
                    <w:jc w:val="cente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37422264</w:t>
                  </w:r>
                </w:p>
              </w:tc>
              <w:tc>
                <w:tcPr>
                  <w:tcW w:w="575" w:type="pct"/>
                  <w:noWrap w:val="0"/>
                  <w:vAlign w:val="center"/>
                </w:tcPr>
                <w:p w14:paraId="55D95DB2">
                  <w:pPr>
                    <w:spacing w:line="240" w:lineRule="auto"/>
                    <w:ind w:firstLine="0" w:firstLineChars="0"/>
                    <w:jc w:val="cente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4237732</w:t>
                  </w:r>
                </w:p>
              </w:tc>
              <w:tc>
                <w:tcPr>
                  <w:tcW w:w="461" w:type="pct"/>
                  <w:noWrap w:val="0"/>
                  <w:vAlign w:val="center"/>
                </w:tcPr>
                <w:p w14:paraId="2EBAB76B">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林地、园地、交通运输用地</w:t>
                  </w:r>
                </w:p>
              </w:tc>
              <w:tc>
                <w:tcPr>
                  <w:tcW w:w="600" w:type="pct"/>
                  <w:noWrap w:val="0"/>
                  <w:vAlign w:val="center"/>
                </w:tcPr>
                <w:p w14:paraId="4868B4EB">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10970</w:t>
                  </w:r>
                </w:p>
              </w:tc>
              <w:tc>
                <w:tcPr>
                  <w:tcW w:w="672" w:type="pct"/>
                  <w:noWrap w:val="0"/>
                  <w:vAlign w:val="center"/>
                </w:tcPr>
                <w:p w14:paraId="35337EAE">
                  <w:pPr>
                    <w:spacing w:line="240" w:lineRule="auto"/>
                    <w:ind w:firstLine="0" w:firstLineChars="0"/>
                    <w:jc w:val="cente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方楣村/方埠村</w:t>
                  </w:r>
                </w:p>
              </w:tc>
            </w:tr>
            <w:tr w14:paraId="4E643E5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noWrap w:val="0"/>
                  <w:vAlign w:val="center"/>
                </w:tcPr>
                <w:p w14:paraId="372C6A9D">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840" w:type="pct"/>
                  <w:noWrap w:val="0"/>
                  <w:vAlign w:val="center"/>
                </w:tcPr>
                <w:p w14:paraId="579293D7">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米172-06</w:t>
                  </w:r>
                </w:p>
              </w:tc>
              <w:tc>
                <w:tcPr>
                  <w:tcW w:w="383" w:type="pct"/>
                  <w:shd w:val="clear" w:color="auto" w:fill="auto"/>
                  <w:noWrap w:val="0"/>
                  <w:vAlign w:val="center"/>
                </w:tcPr>
                <w:p w14:paraId="5292263E">
                  <w:pPr>
                    <w:widowControl/>
                    <w:spacing w:line="240" w:lineRule="auto"/>
                    <w:ind w:firstLine="0" w:firstLineChars="0"/>
                    <w:jc w:val="center"/>
                    <w:textAlignment w:val="center"/>
                    <w:rPr>
                      <w:rFonts w:hint="default" w:ascii="Times New Roman" w:hAnsi="Times New Roman" w:cs="Times New Roman" w:eastAsiaTheme="minorHAnsi"/>
                      <w:color w:val="000000" w:themeColor="text1"/>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直井</w:t>
                  </w:r>
                </w:p>
              </w:tc>
              <w:tc>
                <w:tcPr>
                  <w:tcW w:w="522" w:type="pct"/>
                  <w:noWrap w:val="0"/>
                  <w:vAlign w:val="center"/>
                </w:tcPr>
                <w:p w14:paraId="662BE5C2">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2880</w:t>
                  </w:r>
                </w:p>
              </w:tc>
              <w:tc>
                <w:tcPr>
                  <w:tcW w:w="688" w:type="pct"/>
                  <w:noWrap w:val="0"/>
                  <w:vAlign w:val="center"/>
                </w:tcPr>
                <w:p w14:paraId="2CF2D0BD">
                  <w:pPr>
                    <w:spacing w:line="240" w:lineRule="auto"/>
                    <w:ind w:firstLine="0" w:firstLineChars="0"/>
                    <w:jc w:val="cente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37417647</w:t>
                  </w:r>
                </w:p>
              </w:tc>
              <w:tc>
                <w:tcPr>
                  <w:tcW w:w="575" w:type="pct"/>
                  <w:noWrap w:val="0"/>
                  <w:vAlign w:val="center"/>
                </w:tcPr>
                <w:p w14:paraId="4D7F7E6C">
                  <w:pPr>
                    <w:spacing w:line="240" w:lineRule="auto"/>
                    <w:ind w:firstLine="0" w:firstLineChars="0"/>
                    <w:jc w:val="cente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4230742</w:t>
                  </w:r>
                </w:p>
              </w:tc>
              <w:tc>
                <w:tcPr>
                  <w:tcW w:w="461" w:type="pct"/>
                  <w:noWrap w:val="0"/>
                  <w:vAlign w:val="center"/>
                </w:tcPr>
                <w:p w14:paraId="26F23CC7">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园地、林地</w:t>
                  </w:r>
                </w:p>
              </w:tc>
              <w:tc>
                <w:tcPr>
                  <w:tcW w:w="600" w:type="pct"/>
                  <w:noWrap w:val="0"/>
                  <w:vAlign w:val="center"/>
                </w:tcPr>
                <w:p w14:paraId="39D7850A">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10787</w:t>
                  </w:r>
                </w:p>
              </w:tc>
              <w:tc>
                <w:tcPr>
                  <w:tcW w:w="672" w:type="pct"/>
                  <w:noWrap w:val="0"/>
                  <w:vAlign w:val="center"/>
                </w:tcPr>
                <w:p w14:paraId="26C7DFEB">
                  <w:pPr>
                    <w:spacing w:line="240" w:lineRule="auto"/>
                    <w:ind w:firstLine="0" w:firstLineChars="0"/>
                    <w:jc w:val="cente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折家畔村</w:t>
                  </w:r>
                </w:p>
              </w:tc>
            </w:tr>
            <w:tr w14:paraId="1EC673C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noWrap w:val="0"/>
                  <w:vAlign w:val="center"/>
                </w:tcPr>
                <w:p w14:paraId="330203DE">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840" w:type="pct"/>
                  <w:noWrap w:val="0"/>
                  <w:vAlign w:val="center"/>
                </w:tcPr>
                <w:p w14:paraId="79C041B4">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米172-07</w:t>
                  </w:r>
                </w:p>
              </w:tc>
              <w:tc>
                <w:tcPr>
                  <w:tcW w:w="383" w:type="pct"/>
                  <w:shd w:val="clear" w:color="auto" w:fill="auto"/>
                  <w:noWrap w:val="0"/>
                  <w:vAlign w:val="center"/>
                </w:tcPr>
                <w:p w14:paraId="56E40B66">
                  <w:pPr>
                    <w:widowControl/>
                    <w:spacing w:line="240" w:lineRule="auto"/>
                    <w:ind w:firstLine="0" w:firstLineChars="0"/>
                    <w:jc w:val="center"/>
                    <w:textAlignment w:val="center"/>
                    <w:rPr>
                      <w:rFonts w:hint="default" w:ascii="Times New Roman" w:hAnsi="Times New Roman" w:cs="Times New Roman" w:eastAsiaTheme="minorHAnsi"/>
                      <w:color w:val="000000" w:themeColor="text1"/>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直井</w:t>
                  </w:r>
                </w:p>
              </w:tc>
              <w:tc>
                <w:tcPr>
                  <w:tcW w:w="522" w:type="pct"/>
                  <w:noWrap w:val="0"/>
                  <w:vAlign w:val="center"/>
                </w:tcPr>
                <w:p w14:paraId="017E2C6C">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2930</w:t>
                  </w:r>
                </w:p>
              </w:tc>
              <w:tc>
                <w:tcPr>
                  <w:tcW w:w="688" w:type="pct"/>
                  <w:noWrap w:val="0"/>
                  <w:vAlign w:val="center"/>
                </w:tcPr>
                <w:p w14:paraId="45D4DCEA">
                  <w:pPr>
                    <w:spacing w:line="240" w:lineRule="auto"/>
                    <w:ind w:firstLine="0" w:firstLineChars="0"/>
                    <w:jc w:val="cente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37419614</w:t>
                  </w:r>
                </w:p>
              </w:tc>
              <w:tc>
                <w:tcPr>
                  <w:tcW w:w="575" w:type="pct"/>
                  <w:noWrap w:val="0"/>
                  <w:vAlign w:val="center"/>
                </w:tcPr>
                <w:p w14:paraId="0948F5F0">
                  <w:pPr>
                    <w:spacing w:line="240" w:lineRule="auto"/>
                    <w:ind w:firstLine="0" w:firstLineChars="0"/>
                    <w:jc w:val="cente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4232967</w:t>
                  </w:r>
                </w:p>
              </w:tc>
              <w:tc>
                <w:tcPr>
                  <w:tcW w:w="461" w:type="pct"/>
                  <w:noWrap w:val="0"/>
                  <w:vAlign w:val="center"/>
                </w:tcPr>
                <w:p w14:paraId="373EAED4">
                  <w:pPr>
                    <w:widowControl/>
                    <w:spacing w:line="240" w:lineRule="auto"/>
                    <w:ind w:firstLine="0" w:firstLineChars="0"/>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园地</w:t>
                  </w:r>
                </w:p>
              </w:tc>
              <w:tc>
                <w:tcPr>
                  <w:tcW w:w="600" w:type="pct"/>
                  <w:noWrap w:val="0"/>
                  <w:vAlign w:val="center"/>
                </w:tcPr>
                <w:p w14:paraId="4C426FC1">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7265</w:t>
                  </w:r>
                </w:p>
              </w:tc>
              <w:tc>
                <w:tcPr>
                  <w:tcW w:w="672" w:type="pct"/>
                  <w:noWrap w:val="0"/>
                  <w:vAlign w:val="center"/>
                </w:tcPr>
                <w:p w14:paraId="44BA94B1">
                  <w:pPr>
                    <w:spacing w:line="240" w:lineRule="auto"/>
                    <w:ind w:firstLine="0" w:firstLineChars="0"/>
                    <w:jc w:val="cente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马能峁村</w:t>
                  </w:r>
                </w:p>
              </w:tc>
            </w:tr>
          </w:tbl>
          <w:p w14:paraId="31A18B6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14:paraId="141C0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dxa"/>
            <w:vAlign w:val="center"/>
          </w:tcPr>
          <w:p w14:paraId="658DE44D">
            <w:pPr>
              <w:numPr>
                <w:ilvl w:val="0"/>
                <w:numId w:val="0"/>
              </w:numPr>
              <w:jc w:val="both"/>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项目组成及规模</w:t>
            </w:r>
          </w:p>
        </w:tc>
        <w:tc>
          <w:tcPr>
            <w:tcW w:w="8616" w:type="dxa"/>
            <w:vAlign w:val="center"/>
          </w:tcPr>
          <w:p w14:paraId="30135D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一、项目建设背景</w:t>
            </w:r>
          </w:p>
          <w:p w14:paraId="6D985C20">
            <w:pPr>
              <w:keepNext w:val="0"/>
              <w:keepLines w:val="0"/>
              <w:pageBreakBefore w:val="0"/>
              <w:widowControl w:val="0"/>
              <w:kinsoku/>
              <w:wordWrap/>
              <w:overflowPunct/>
              <w:topLinePunct w:val="0"/>
              <w:bidi w:val="0"/>
              <w:adjustRightInd w:val="0"/>
              <w:snapToGrid/>
              <w:spacing w:line="360" w:lineRule="auto"/>
              <w:ind w:firstLine="480" w:firstLineChars="200"/>
              <w:jc w:val="both"/>
              <w:textAlignment w:val="auto"/>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天然气是优质高效的可再生能源，积极开发利用天然气，可以有效减少常规能源尤其是煤炭资源的消耗，对于优化城市能源结构，提高人民的生活质量，建设生态文明社会，促进可持续发展具有重要的意义。在天然气开发过程中，勘探工作旨在为后期的开发建设提供科技依据。按照勘探阶段、勘探程序以及勘探目的，可将探井划分为地质井、参数井、预探井、评价井等。</w:t>
            </w:r>
          </w:p>
          <w:p w14:paraId="75FD4B7E">
            <w:pPr>
              <w:keepNext w:val="0"/>
              <w:keepLines w:val="0"/>
              <w:pageBreakBefore w:val="0"/>
              <w:widowControl w:val="0"/>
              <w:kinsoku/>
              <w:wordWrap/>
              <w:overflowPunct/>
              <w:topLinePunct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highlight w:val="yellow"/>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位于中国石油天然气股份有限公司长庆油田分公司矿权范围内，</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中国石油天然气股份有限公司已取得《陕西鄂尔多斯盆地</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神木气田米38区天然气开采</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采矿许可证》（证号：</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C10000020101318000067</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），勘察范围包含本项目井场。</w:t>
            </w:r>
          </w:p>
          <w:p w14:paraId="26306717">
            <w:pPr>
              <w:keepNext w:val="0"/>
              <w:keepLines w:val="0"/>
              <w:pageBreakBefore w:val="0"/>
              <w:widowControl w:val="0"/>
              <w:kinsoku/>
              <w:wordWrap/>
              <w:overflowPunct/>
              <w:topLinePunct w:val="0"/>
              <w:bidi w:val="0"/>
              <w:adjustRightInd w:val="0"/>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本项目属于天然气评价井建设工程，选址位于</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陕西鄂尔多斯盆地神木气田米38区天然气开采范围内</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属于长庆油田分公司第二采气厂的负责范围，第二采气厂于2024年取得榆林市生态环境局关于《长庆油田分公司第二采气厂2024年产能建设工程环境影响报告书》的批复（榆政环发〔2024〕110号），第二采气厂下辖气田截至2023年底，已建成气井2317口、井场586座；天然气处理厂6座、采出水回注井14口、集气站57座、增压站4座、清管站12座；集气干线25条，总长约521.3km；集气支线45条，总长约576.6km；外输管线5条，总长约342.5km，同时配套建设采气管线、注醇管线、注水管线、站场道路等配套工程及设施，基本实现了天然气密闭集输。2024年拟新建集气站2座，钻试返排液处理站1座，改扩建站场18座；部署井场186座（含新、扩建井场），拟新钻采气井479口。第二采气厂2024产能环评中本项目所在气田主要开发上古气，层位主要有山西组山2、石盒子组盒8等。</w:t>
            </w:r>
          </w:p>
          <w:p w14:paraId="1DA68038">
            <w:pPr>
              <w:keepNext w:val="0"/>
              <w:keepLines w:val="0"/>
              <w:pageBreakBefore w:val="0"/>
              <w:widowControl w:val="0"/>
              <w:kinsoku/>
              <w:wordWrap/>
              <w:overflowPunct/>
              <w:topLinePunct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根据建设单位提供资料，本次天然气探井不在第二采气厂2024年陕西区域新建及扩建天然气井场部署计划内，属于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新层位勘探</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本次新建4口气井</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旨在现有气田区域内</w:t>
            </w:r>
            <w:r>
              <w:rPr>
                <w:rFonts w:hint="default" w:ascii="Times New Roman" w:hAnsi="Times New Roman" w:eastAsia="宋体" w:cs="Times New Roman"/>
                <w:color w:val="000000" w:themeColor="text1"/>
                <w:sz w:val="24"/>
                <w:highlight w:val="none"/>
                <w14:textFill>
                  <w14:solidFill>
                    <w14:schemeClr w14:val="tx1"/>
                  </w14:solidFill>
                </w14:textFill>
              </w:rPr>
              <w:t>寻找新的适合开发的</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气藏</w:t>
            </w:r>
            <w:r>
              <w:rPr>
                <w:rFonts w:hint="default" w:ascii="Times New Roman" w:hAnsi="Times New Roman" w:eastAsia="宋体" w:cs="Times New Roman"/>
                <w:color w:val="000000" w:themeColor="text1"/>
                <w:sz w:val="24"/>
                <w:highlight w:val="none"/>
                <w14:textFill>
                  <w14:solidFill>
                    <w14:schemeClr w14:val="tx1"/>
                  </w14:solidFill>
                </w14:textFill>
              </w:rPr>
              <w:t>层位</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为气田后续产能建设提供决策依据，</w:t>
            </w:r>
            <w:r>
              <w:rPr>
                <w:rFonts w:hint="default" w:ascii="Times New Roman" w:hAnsi="Times New Roman" w:eastAsia="宋体" w:cs="Times New Roman"/>
                <w:color w:val="000000" w:themeColor="text1"/>
                <w:sz w:val="24"/>
                <w:szCs w:val="24"/>
                <w14:textFill>
                  <w14:solidFill>
                    <w14:schemeClr w14:val="tx1"/>
                  </w14:solidFill>
                </w14:textFill>
              </w:rPr>
              <w:t>新层位未确定产能</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口评价井</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分布于方塌镇各个村，</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井口之间最近距离为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2960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探井工程能够较好的反映方塌镇天然气分布情况</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。本项目周边已有探井均属于上古层。</w:t>
            </w:r>
          </w:p>
          <w:p w14:paraId="612AEA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根据现场踏勘，目前项目未动工，正在办理前期手续。</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若测试具有工业产能，</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另行履行相关产能环保手续</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后期交由区块所属中国石油天然气股份有限公司长庆油田分公司</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第二采气厂</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进行井场建设。</w:t>
            </w:r>
          </w:p>
          <w:p w14:paraId="7888B4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二、项目建设内容及规模</w:t>
            </w:r>
          </w:p>
          <w:p w14:paraId="4446D3A3">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本项目新建天然气</w:t>
            </w:r>
            <w:r>
              <w:rPr>
                <w:rFonts w:hint="eastAsia" w:ascii="Times New Roman" w:hAnsi="Times New Roman" w:cs="Times New Roman"/>
                <w:color w:val="000000" w:themeColor="text1"/>
                <w:lang w:val="en-US" w:eastAsia="zh-CN"/>
                <w14:textFill>
                  <w14:solidFill>
                    <w14:schemeClr w14:val="tx1"/>
                  </w14:solidFill>
                </w14:textFill>
              </w:rPr>
              <w:t>评价</w:t>
            </w:r>
            <w:r>
              <w:rPr>
                <w:rFonts w:hint="default" w:ascii="Times New Roman" w:hAnsi="Times New Roman" w:cs="Times New Roman"/>
                <w:color w:val="000000" w:themeColor="text1"/>
                <w:lang w:val="en-US" w:eastAsia="zh-CN"/>
                <w14:textFill>
                  <w14:solidFill>
                    <w14:schemeClr w14:val="tx1"/>
                  </w14:solidFill>
                </w14:textFill>
              </w:rPr>
              <w:t>井</w:t>
            </w:r>
            <w:r>
              <w:rPr>
                <w:rFonts w:hint="eastAsia"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口，井型为直井，</w:t>
            </w:r>
            <w:r>
              <w:rPr>
                <w:rFonts w:hint="eastAsia" w:ascii="Times New Roman" w:hAnsi="Times New Roman" w:cs="Times New Roman"/>
                <w:color w:val="000000" w:themeColor="text1"/>
                <w:lang w:val="en-US" w:eastAsia="zh-CN"/>
                <w14:textFill>
                  <w14:solidFill>
                    <w14:schemeClr w14:val="tx1"/>
                  </w14:solidFill>
                </w14:textFill>
              </w:rPr>
              <w:t>米172-08完井深度为2765米，</w:t>
            </w:r>
            <w:r>
              <w:rPr>
                <w:rFonts w:hint="default" w:ascii="Times New Roman" w:hAnsi="Times New Roman" w:cs="Times New Roman"/>
                <w:color w:val="000000" w:themeColor="text1"/>
                <w:lang w:val="en-US" w:eastAsia="zh-CN"/>
                <w14:textFill>
                  <w14:solidFill>
                    <w14:schemeClr w14:val="tx1"/>
                  </w14:solidFill>
                </w14:textFill>
              </w:rPr>
              <w:t>目的层为</w:t>
            </w:r>
            <w:r>
              <w:rPr>
                <w:rFonts w:hint="eastAsia" w:ascii="Times New Roman" w:hAnsi="Times New Roman" w:cs="Times New Roman"/>
                <w:color w:val="000000" w:themeColor="text1"/>
                <w:lang w:val="en-US" w:eastAsia="zh-CN"/>
                <w14:textFill>
                  <w14:solidFill>
                    <w14:schemeClr w14:val="tx1"/>
                  </w14:solidFill>
                </w14:textFill>
              </w:rPr>
              <w:t>二叠系下统太原组；米37-14完井深度为2850米，</w:t>
            </w:r>
            <w:r>
              <w:rPr>
                <w:rFonts w:hint="default" w:ascii="Times New Roman" w:hAnsi="Times New Roman" w:cs="Times New Roman"/>
                <w:color w:val="000000" w:themeColor="text1"/>
                <w:lang w:val="en-US" w:eastAsia="zh-CN"/>
                <w14:textFill>
                  <w14:solidFill>
                    <w14:schemeClr w14:val="tx1"/>
                  </w14:solidFill>
                </w14:textFill>
              </w:rPr>
              <w:t>目的层为</w:t>
            </w:r>
            <w:r>
              <w:rPr>
                <w:rFonts w:hint="eastAsia" w:ascii="Times New Roman" w:hAnsi="Times New Roman" w:cs="Times New Roman"/>
                <w:color w:val="000000" w:themeColor="text1"/>
                <w:lang w:val="en-US" w:eastAsia="zh-CN"/>
                <w14:textFill>
                  <w14:solidFill>
                    <w14:schemeClr w14:val="tx1"/>
                  </w14:solidFill>
                </w14:textFill>
              </w:rPr>
              <w:t>石炭系上统本溪组；米172-06完井深度为2880米，</w:t>
            </w:r>
            <w:r>
              <w:rPr>
                <w:rFonts w:hint="default" w:ascii="Times New Roman" w:hAnsi="Times New Roman" w:cs="Times New Roman"/>
                <w:color w:val="000000" w:themeColor="text1"/>
                <w:lang w:val="en-US" w:eastAsia="zh-CN"/>
                <w14:textFill>
                  <w14:solidFill>
                    <w14:schemeClr w14:val="tx1"/>
                  </w14:solidFill>
                </w14:textFill>
              </w:rPr>
              <w:t>目的层为</w:t>
            </w:r>
            <w:r>
              <w:rPr>
                <w:rFonts w:hint="eastAsia" w:ascii="Times New Roman" w:hAnsi="Times New Roman" w:cs="Times New Roman"/>
                <w:color w:val="000000" w:themeColor="text1"/>
                <w:lang w:val="en-US" w:eastAsia="zh-CN"/>
                <w14:textFill>
                  <w14:solidFill>
                    <w14:schemeClr w14:val="tx1"/>
                  </w14:solidFill>
                </w14:textFill>
              </w:rPr>
              <w:t>石炭系上统本溪组；米172-07完井深度为2930米，</w:t>
            </w:r>
            <w:r>
              <w:rPr>
                <w:rFonts w:hint="default" w:ascii="Times New Roman" w:hAnsi="Times New Roman" w:cs="Times New Roman"/>
                <w:color w:val="000000" w:themeColor="text1"/>
                <w:lang w:val="en-US" w:eastAsia="zh-CN"/>
                <w14:textFill>
                  <w14:solidFill>
                    <w14:schemeClr w14:val="tx1"/>
                  </w14:solidFill>
                </w14:textFill>
              </w:rPr>
              <w:t>目的层为</w:t>
            </w:r>
            <w:r>
              <w:rPr>
                <w:rFonts w:hint="eastAsia" w:ascii="Times New Roman" w:hAnsi="Times New Roman" w:cs="Times New Roman"/>
                <w:color w:val="000000" w:themeColor="text1"/>
                <w:lang w:val="en-US" w:eastAsia="zh-CN"/>
                <w14:textFill>
                  <w14:solidFill>
                    <w14:schemeClr w14:val="tx1"/>
                  </w14:solidFill>
                </w14:textFill>
              </w:rPr>
              <w:t>石炭系上统本溪组</w:t>
            </w:r>
            <w:r>
              <w:rPr>
                <w:rFonts w:hint="default" w:ascii="Times New Roman" w:hAnsi="Times New Roman" w:cs="Times New Roman"/>
                <w:color w:val="000000" w:themeColor="text1"/>
                <w:lang w:val="en-US" w:eastAsia="zh-CN"/>
                <w14:textFill>
                  <w14:solidFill>
                    <w14:schemeClr w14:val="tx1"/>
                  </w14:solidFill>
                </w14:textFill>
              </w:rPr>
              <w:t>。井场按照《钻前工程及井场布置技术要求》（SY/T5466-2013）进行设计建设。</w:t>
            </w:r>
          </w:p>
          <w:p w14:paraId="153B005A">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建设内容包括钻前工程（建设内容主要为</w:t>
            </w:r>
            <w:r>
              <w:rPr>
                <w:rFonts w:hint="eastAsia" w:ascii="Times New Roman" w:hAnsi="Times New Roman" w:cs="Times New Roman"/>
                <w:color w:val="000000" w:themeColor="text1"/>
                <w:lang w:val="en-US" w:eastAsia="zh-CN"/>
                <w14:textFill>
                  <w14:solidFill>
                    <w14:schemeClr w14:val="tx1"/>
                  </w14:solidFill>
                </w14:textFill>
              </w:rPr>
              <w:t>新建进场道路、</w:t>
            </w:r>
            <w:r>
              <w:rPr>
                <w:rFonts w:hint="default" w:ascii="Times New Roman" w:hAnsi="Times New Roman" w:cs="Times New Roman"/>
                <w:color w:val="000000" w:themeColor="text1"/>
                <w:lang w:val="en-US" w:eastAsia="zh-CN"/>
                <w14:textFill>
                  <w14:solidFill>
                    <w14:schemeClr w14:val="tx1"/>
                  </w14:solidFill>
                </w14:textFill>
              </w:rPr>
              <w:t>井场修建和平整、修建设备基础、泥浆罐、污水罐、临时办公生活区等）、钻井工程（建设内容主要为钻井、测井、录井、固井等）、完井测试（主要包括完井作业和油气测试，洗井、射孔、压裂、</w:t>
            </w:r>
            <w:r>
              <w:rPr>
                <w:rFonts w:hint="eastAsia" w:ascii="Times New Roman" w:hAnsi="Times New Roman" w:cs="Times New Roman"/>
                <w:color w:val="000000" w:themeColor="text1"/>
                <w:lang w:val="en-US" w:eastAsia="zh-CN"/>
                <w14:textFill>
                  <w14:solidFill>
                    <w14:schemeClr w14:val="tx1"/>
                  </w14:solidFill>
                </w14:textFill>
              </w:rPr>
              <w:t>试气</w:t>
            </w:r>
            <w:r>
              <w:rPr>
                <w:rFonts w:hint="default" w:ascii="Times New Roman" w:hAnsi="Times New Roman" w:cs="Times New Roman"/>
                <w:color w:val="000000" w:themeColor="text1"/>
                <w:lang w:val="en-US" w:eastAsia="zh-CN"/>
                <w14:textFill>
                  <w14:solidFill>
                    <w14:schemeClr w14:val="tx1"/>
                  </w14:solidFill>
                </w14:textFill>
              </w:rPr>
              <w:t>等）及封井作业。项目测井方式为电测井，不涉及放射性源的使用。</w:t>
            </w:r>
          </w:p>
          <w:p w14:paraId="7B198E87">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本次评价仅对勘探过程中对环境的影响进行分析，不包括天然气开采、采气生产站外管道建设评价。</w:t>
            </w:r>
          </w:p>
          <w:p w14:paraId="6D5A689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p w14:paraId="579C28B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p w14:paraId="3D6B9BB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表2-2 项目组成及建设内容一览表</w:t>
            </w:r>
          </w:p>
          <w:tbl>
            <w:tblPr>
              <w:tblStyle w:val="21"/>
              <w:tblW w:w="83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436"/>
              <w:gridCol w:w="1086"/>
              <w:gridCol w:w="6178"/>
            </w:tblGrid>
            <w:tr w14:paraId="50B26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7CA2749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项目</w:t>
                  </w:r>
                </w:p>
              </w:tc>
              <w:tc>
                <w:tcPr>
                  <w:tcW w:w="1522" w:type="dxa"/>
                  <w:gridSpan w:val="2"/>
                  <w:vAlign w:val="center"/>
                </w:tcPr>
                <w:p w14:paraId="03A6F6F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类别</w:t>
                  </w:r>
                </w:p>
              </w:tc>
              <w:tc>
                <w:tcPr>
                  <w:tcW w:w="6178" w:type="dxa"/>
                  <w:vAlign w:val="center"/>
                </w:tcPr>
                <w:p w14:paraId="2E79D59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工程内容</w:t>
                  </w:r>
                </w:p>
              </w:tc>
            </w:tr>
            <w:tr w14:paraId="31392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restart"/>
                  <w:vAlign w:val="center"/>
                </w:tcPr>
                <w:p w14:paraId="26A0B5C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主体工程</w:t>
                  </w:r>
                </w:p>
              </w:tc>
              <w:tc>
                <w:tcPr>
                  <w:tcW w:w="436" w:type="dxa"/>
                  <w:vMerge w:val="restart"/>
                  <w:vAlign w:val="center"/>
                </w:tcPr>
                <w:p w14:paraId="138E3ED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井场</w:t>
                  </w:r>
                </w:p>
              </w:tc>
              <w:tc>
                <w:tcPr>
                  <w:tcW w:w="1086" w:type="dxa"/>
                  <w:vAlign w:val="center"/>
                </w:tcPr>
                <w:p w14:paraId="23E14DB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钻井区</w:t>
                  </w:r>
                </w:p>
              </w:tc>
              <w:tc>
                <w:tcPr>
                  <w:tcW w:w="6178" w:type="dxa"/>
                  <w:vAlign w:val="center"/>
                </w:tcPr>
                <w:p w14:paraId="2383FFD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包括机房、钻台、井口，主要进行钻井活动及完井测试，采用常规钻井工艺，钻井为直井，</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钻井深度介于2700-3000m之间，</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主要进行探勘天然气储藏情况。钻井过程包括下套管和固井等作业，当钻至目的层后完井测试。主要布置钻机、井架、底座、天车、绞车、游动滑车等钻井设备，以及钻井控制系统、井控制装置。</w:t>
                  </w:r>
                </w:p>
              </w:tc>
            </w:tr>
            <w:tr w14:paraId="67156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5E79605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436" w:type="dxa"/>
                  <w:vMerge w:val="continue"/>
                  <w:vAlign w:val="center"/>
                </w:tcPr>
                <w:p w14:paraId="268DBAE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086" w:type="dxa"/>
                  <w:vAlign w:val="center"/>
                </w:tcPr>
                <w:p w14:paraId="2B431EB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泥浆循环系统</w:t>
                  </w:r>
                </w:p>
              </w:tc>
              <w:tc>
                <w:tcPr>
                  <w:tcW w:w="6178" w:type="dxa"/>
                  <w:vAlign w:val="center"/>
                </w:tcPr>
                <w:p w14:paraId="39F4AF5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泥浆循环系统紧邻钻井区，主要包括钻井液振动筛、真空除气器、除砂除泥一体机、液气分离器、搅拌器、砂浆、泥浆罐、岩屑罐等，通过泥浆循环系统实现泥浆与岩屑的分离，本项目为水基钻井泥浆</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2F16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4466655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436" w:type="dxa"/>
                  <w:vMerge w:val="continue"/>
                  <w:vAlign w:val="center"/>
                </w:tcPr>
                <w:p w14:paraId="16E6276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086" w:type="dxa"/>
                  <w:vAlign w:val="center"/>
                </w:tcPr>
                <w:p w14:paraId="60340C3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放喷池</w:t>
                  </w:r>
                </w:p>
              </w:tc>
              <w:tc>
                <w:tcPr>
                  <w:tcW w:w="6178" w:type="dxa"/>
                  <w:vAlign w:val="center"/>
                </w:tcPr>
                <w:p w14:paraId="4D7F71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设置1具</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10.6</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放喷池</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，伴生气经管线引至放散管直接</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放</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散，放散管位于井场内下风向，若伴生气产生量较大，满足燃烧排放条件时，伴生气通过放散管燃烧排放；井口安装防喷器和控制装置；井下安装压力传感装置和事故报警器；组织员工应急培训、应急演练、设置井口防喷器组、放喷管线、灭火器、铁锹及沙袋、临时土围堰。</w:t>
                  </w:r>
                </w:p>
              </w:tc>
            </w:tr>
            <w:tr w14:paraId="6E71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restart"/>
                  <w:vAlign w:val="center"/>
                </w:tcPr>
                <w:p w14:paraId="65E9356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辅助工程</w:t>
                  </w:r>
                </w:p>
              </w:tc>
              <w:tc>
                <w:tcPr>
                  <w:tcW w:w="1522" w:type="dxa"/>
                  <w:gridSpan w:val="2"/>
                  <w:vAlign w:val="center"/>
                </w:tcPr>
                <w:p w14:paraId="2869D39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井口基础</w:t>
                  </w:r>
                </w:p>
              </w:tc>
              <w:tc>
                <w:tcPr>
                  <w:tcW w:w="6178" w:type="dxa"/>
                  <w:vAlign w:val="center"/>
                </w:tcPr>
                <w:p w14:paraId="62992DC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加固井口，方便其他配套设施安装</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4D570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6BCA626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436" w:type="dxa"/>
                  <w:vMerge w:val="restart"/>
                  <w:vAlign w:val="center"/>
                </w:tcPr>
                <w:p w14:paraId="1D6920B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生活区</w:t>
                  </w:r>
                </w:p>
              </w:tc>
              <w:tc>
                <w:tcPr>
                  <w:tcW w:w="1086" w:type="dxa"/>
                  <w:vAlign w:val="center"/>
                </w:tcPr>
                <w:p w14:paraId="0AF7C2C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米37-14M</w:t>
                  </w:r>
                </w:p>
              </w:tc>
              <w:tc>
                <w:tcPr>
                  <w:tcW w:w="6178" w:type="dxa"/>
                  <w:vAlign w:val="center"/>
                </w:tcPr>
                <w:p w14:paraId="51F3439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米37-14M生活区位于井场西北侧约182m处，面积约1200m</w:t>
                  </w:r>
                  <w:r>
                    <w:rPr>
                      <w:rFonts w:hint="eastAsia"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2</w:t>
                  </w:r>
                </w:p>
              </w:tc>
            </w:tr>
            <w:tr w14:paraId="04B1F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51295BA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436" w:type="dxa"/>
                  <w:vMerge w:val="continue"/>
                  <w:vAlign w:val="center"/>
                </w:tcPr>
                <w:p w14:paraId="2F9FBE7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086" w:type="dxa"/>
                  <w:vAlign w:val="center"/>
                </w:tcPr>
                <w:p w14:paraId="5DF582B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米172-06</w:t>
                  </w:r>
                </w:p>
              </w:tc>
              <w:tc>
                <w:tcPr>
                  <w:tcW w:w="6178" w:type="dxa"/>
                  <w:vAlign w:val="center"/>
                </w:tcPr>
                <w:p w14:paraId="22F3C4C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米172-06生活区位于井场西北侧约530m处，面积约为1200m</w:t>
                  </w:r>
                  <w:r>
                    <w:rPr>
                      <w:rFonts w:hint="eastAsia"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2</w:t>
                  </w:r>
                </w:p>
              </w:tc>
            </w:tr>
            <w:tr w14:paraId="039CC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03A8C0B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436" w:type="dxa"/>
                  <w:vMerge w:val="continue"/>
                  <w:vAlign w:val="center"/>
                </w:tcPr>
                <w:p w14:paraId="0D3C947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086" w:type="dxa"/>
                  <w:vAlign w:val="center"/>
                </w:tcPr>
                <w:p w14:paraId="5F2A46C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米172-07</w:t>
                  </w:r>
                </w:p>
              </w:tc>
              <w:tc>
                <w:tcPr>
                  <w:tcW w:w="6178" w:type="dxa"/>
                  <w:vAlign w:val="center"/>
                </w:tcPr>
                <w:p w14:paraId="641357A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米172-07不设置生活区</w:t>
                  </w:r>
                </w:p>
              </w:tc>
            </w:tr>
            <w:tr w14:paraId="4C240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283FCC6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436" w:type="dxa"/>
                  <w:vMerge w:val="continue"/>
                  <w:vAlign w:val="center"/>
                </w:tcPr>
                <w:p w14:paraId="7BCDE2B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086" w:type="dxa"/>
                  <w:vAlign w:val="center"/>
                </w:tcPr>
                <w:p w14:paraId="4C89A06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米172-08</w:t>
                  </w:r>
                </w:p>
              </w:tc>
              <w:tc>
                <w:tcPr>
                  <w:tcW w:w="6178" w:type="dxa"/>
                  <w:vAlign w:val="center"/>
                </w:tcPr>
                <w:p w14:paraId="487BF6B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米172-08生活区位于井场东侧约155米处，面积约为1118m</w:t>
                  </w:r>
                  <w:r>
                    <w:rPr>
                      <w:rFonts w:hint="eastAsia"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2</w:t>
                  </w:r>
                </w:p>
              </w:tc>
            </w:tr>
            <w:tr w14:paraId="297D6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795E417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522" w:type="dxa"/>
                  <w:gridSpan w:val="2"/>
                  <w:vAlign w:val="center"/>
                </w:tcPr>
                <w:p w14:paraId="61E1904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临时进场道路</w:t>
                  </w:r>
                </w:p>
              </w:tc>
              <w:tc>
                <w:tcPr>
                  <w:tcW w:w="6178" w:type="dxa"/>
                  <w:vAlign w:val="center"/>
                </w:tcPr>
                <w:p w14:paraId="0CE0002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米37-14M进场道路长度约为43m；米172-06进场道路长度约为79米；米172-07、米172-08依托已有乡村道路。</w:t>
                  </w:r>
                </w:p>
              </w:tc>
            </w:tr>
            <w:tr w14:paraId="66024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0443451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436" w:type="dxa"/>
                  <w:vMerge w:val="restart"/>
                  <w:vAlign w:val="center"/>
                </w:tcPr>
                <w:p w14:paraId="79B38C8C">
                  <w:pPr>
                    <w:pStyle w:val="2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宋体"/>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临时堆场</w:t>
                  </w:r>
                </w:p>
              </w:tc>
              <w:tc>
                <w:tcPr>
                  <w:tcW w:w="1086" w:type="dxa"/>
                  <w:shd w:val="clear" w:color="auto" w:fill="auto"/>
                  <w:vAlign w:val="center"/>
                </w:tcPr>
                <w:p w14:paraId="31C5300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米37-14M</w:t>
                  </w:r>
                </w:p>
              </w:tc>
              <w:tc>
                <w:tcPr>
                  <w:tcW w:w="6178" w:type="dxa"/>
                  <w:vAlign w:val="center"/>
                </w:tcPr>
                <w:p w14:paraId="55B17394">
                  <w:pPr>
                    <w:pStyle w:val="2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cs="宋体"/>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表土堆场1座，</w:t>
                  </w:r>
                  <w:r>
                    <w:rPr>
                      <w:rFonts w:hint="eastAsia" w:ascii="Times New Roman" w:hAnsi="Times New Roman" w:cs="Times New Roman"/>
                      <w:color w:val="000000" w:themeColor="text1"/>
                      <w:sz w:val="21"/>
                      <w:szCs w:val="21"/>
                      <w:lang w:val="en-US" w:eastAsia="zh-CN"/>
                      <w14:textFill>
                        <w14:solidFill>
                          <w14:schemeClr w14:val="tx1"/>
                        </w14:solidFill>
                      </w14:textFill>
                    </w:rPr>
                    <w:t>1200</w:t>
                  </w:r>
                  <w:r>
                    <w:rPr>
                      <w:rFonts w:hint="default" w:ascii="Times New Roman" w:hAnsi="Times New Roman" w:cs="Times New Roman"/>
                      <w:color w:val="000000" w:themeColor="text1"/>
                      <w:sz w:val="21"/>
                      <w:szCs w:val="21"/>
                      <w:lang w:val="en-US" w:eastAsia="zh-CN"/>
                      <w14:textFill>
                        <w14:solidFill>
                          <w14:schemeClr w14:val="tx1"/>
                        </w14:solidFill>
                      </w14:textFill>
                    </w:rPr>
                    <w:t>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，堆高为3米；一般土石方堆场1座，</w:t>
                  </w:r>
                  <w:r>
                    <w:rPr>
                      <w:rFonts w:hint="eastAsia" w:ascii="Times New Roman" w:hAnsi="Times New Roman" w:cs="Times New Roman"/>
                      <w:color w:val="000000" w:themeColor="text1"/>
                      <w:sz w:val="21"/>
                      <w:szCs w:val="21"/>
                      <w:lang w:val="en-US" w:eastAsia="zh-CN"/>
                      <w14:textFill>
                        <w14:solidFill>
                          <w14:schemeClr w14:val="tx1"/>
                        </w14:solidFill>
                      </w14:textFill>
                    </w:rPr>
                    <w:t>2000</w:t>
                  </w:r>
                  <w:r>
                    <w:rPr>
                      <w:rFonts w:hint="default" w:ascii="Times New Roman" w:hAnsi="Times New Roman" w:cs="Times New Roman"/>
                      <w:color w:val="000000" w:themeColor="text1"/>
                      <w:sz w:val="21"/>
                      <w:szCs w:val="21"/>
                      <w:lang w:val="en-US" w:eastAsia="zh-CN"/>
                      <w14:textFill>
                        <w14:solidFill>
                          <w14:schemeClr w14:val="tx1"/>
                        </w14:solidFill>
                      </w14:textFill>
                    </w:rPr>
                    <w:t>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，堆高3米。</w:t>
                  </w:r>
                </w:p>
              </w:tc>
            </w:tr>
            <w:tr w14:paraId="0248C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3ADBE5E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436" w:type="dxa"/>
                  <w:vMerge w:val="continue"/>
                  <w:vAlign w:val="center"/>
                </w:tcPr>
                <w:p w14:paraId="04820A14">
                  <w:pPr>
                    <w:pStyle w:val="2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086" w:type="dxa"/>
                  <w:shd w:val="clear" w:color="auto" w:fill="auto"/>
                  <w:vAlign w:val="center"/>
                </w:tcPr>
                <w:p w14:paraId="78DE3C9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米172-06</w:t>
                  </w:r>
                </w:p>
              </w:tc>
              <w:tc>
                <w:tcPr>
                  <w:tcW w:w="6178" w:type="dxa"/>
                  <w:vAlign w:val="center"/>
                </w:tcPr>
                <w:p w14:paraId="7994E108">
                  <w:pPr>
                    <w:pStyle w:val="2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表土堆场1座，</w:t>
                  </w:r>
                  <w:r>
                    <w:rPr>
                      <w:rFonts w:hint="eastAsia" w:ascii="Times New Roman" w:hAnsi="Times New Roman" w:cs="Times New Roman"/>
                      <w:color w:val="000000" w:themeColor="text1"/>
                      <w:sz w:val="21"/>
                      <w:szCs w:val="21"/>
                      <w:lang w:val="en-US" w:eastAsia="zh-CN"/>
                      <w14:textFill>
                        <w14:solidFill>
                          <w14:schemeClr w14:val="tx1"/>
                        </w14:solidFill>
                      </w14:textFill>
                    </w:rPr>
                    <w:t>1200</w:t>
                  </w:r>
                  <w:r>
                    <w:rPr>
                      <w:rFonts w:hint="default" w:ascii="Times New Roman" w:hAnsi="Times New Roman" w:cs="Times New Roman"/>
                      <w:color w:val="000000" w:themeColor="text1"/>
                      <w:sz w:val="21"/>
                      <w:szCs w:val="21"/>
                      <w:lang w:val="en-US" w:eastAsia="zh-CN"/>
                      <w14:textFill>
                        <w14:solidFill>
                          <w14:schemeClr w14:val="tx1"/>
                        </w14:solidFill>
                      </w14:textFill>
                    </w:rPr>
                    <w:t>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，堆高为3米；一般土石方堆场1座，</w:t>
                  </w:r>
                  <w:r>
                    <w:rPr>
                      <w:rFonts w:hint="eastAsia" w:ascii="Times New Roman" w:hAnsi="Times New Roman" w:cs="Times New Roman"/>
                      <w:color w:val="000000" w:themeColor="text1"/>
                      <w:sz w:val="21"/>
                      <w:szCs w:val="21"/>
                      <w:lang w:val="en-US" w:eastAsia="zh-CN"/>
                      <w14:textFill>
                        <w14:solidFill>
                          <w14:schemeClr w14:val="tx1"/>
                        </w14:solidFill>
                      </w14:textFill>
                    </w:rPr>
                    <w:t>3500</w:t>
                  </w:r>
                  <w:r>
                    <w:rPr>
                      <w:rFonts w:hint="default" w:ascii="Times New Roman" w:hAnsi="Times New Roman" w:cs="Times New Roman"/>
                      <w:color w:val="000000" w:themeColor="text1"/>
                      <w:sz w:val="21"/>
                      <w:szCs w:val="21"/>
                      <w:lang w:val="en-US" w:eastAsia="zh-CN"/>
                      <w14:textFill>
                        <w14:solidFill>
                          <w14:schemeClr w14:val="tx1"/>
                        </w14:solidFill>
                      </w14:textFill>
                    </w:rPr>
                    <w:t>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，堆高3米。</w:t>
                  </w:r>
                </w:p>
              </w:tc>
            </w:tr>
            <w:tr w14:paraId="7818A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41D6C48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436" w:type="dxa"/>
                  <w:vMerge w:val="continue"/>
                  <w:vAlign w:val="center"/>
                </w:tcPr>
                <w:p w14:paraId="015EB823">
                  <w:pPr>
                    <w:pStyle w:val="2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086" w:type="dxa"/>
                  <w:shd w:val="clear" w:color="auto" w:fill="auto"/>
                  <w:vAlign w:val="center"/>
                </w:tcPr>
                <w:p w14:paraId="5B9F557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米172-07</w:t>
                  </w:r>
                </w:p>
              </w:tc>
              <w:tc>
                <w:tcPr>
                  <w:tcW w:w="6178" w:type="dxa"/>
                  <w:vAlign w:val="center"/>
                </w:tcPr>
                <w:p w14:paraId="726BE23E">
                  <w:pPr>
                    <w:pStyle w:val="2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表土堆场1座，</w:t>
                  </w:r>
                  <w:r>
                    <w:rPr>
                      <w:rFonts w:hint="eastAsia" w:ascii="Times New Roman" w:hAnsi="Times New Roman" w:cs="Times New Roman"/>
                      <w:color w:val="000000" w:themeColor="text1"/>
                      <w:sz w:val="21"/>
                      <w:szCs w:val="21"/>
                      <w:lang w:val="en-US" w:eastAsia="zh-CN"/>
                      <w14:textFill>
                        <w14:solidFill>
                          <w14:schemeClr w14:val="tx1"/>
                        </w14:solidFill>
                      </w14:textFill>
                    </w:rPr>
                    <w:t>800</w:t>
                  </w:r>
                  <w:r>
                    <w:rPr>
                      <w:rFonts w:hint="default" w:ascii="Times New Roman" w:hAnsi="Times New Roman" w:cs="Times New Roman"/>
                      <w:color w:val="000000" w:themeColor="text1"/>
                      <w:sz w:val="21"/>
                      <w:szCs w:val="21"/>
                      <w:lang w:val="en-US" w:eastAsia="zh-CN"/>
                      <w14:textFill>
                        <w14:solidFill>
                          <w14:schemeClr w14:val="tx1"/>
                        </w14:solidFill>
                      </w14:textFill>
                    </w:rPr>
                    <w:t>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，堆高为3米；一般土石方堆场1座，</w:t>
                  </w: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000m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，堆高3米。</w:t>
                  </w:r>
                </w:p>
              </w:tc>
            </w:tr>
            <w:tr w14:paraId="2BBE4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407A4CA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436" w:type="dxa"/>
                  <w:vMerge w:val="continue"/>
                  <w:vAlign w:val="center"/>
                </w:tcPr>
                <w:p w14:paraId="7157B3F8">
                  <w:pPr>
                    <w:pStyle w:val="2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086" w:type="dxa"/>
                  <w:shd w:val="clear" w:color="auto" w:fill="auto"/>
                  <w:vAlign w:val="center"/>
                </w:tcPr>
                <w:p w14:paraId="3889B99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米172-08</w:t>
                  </w:r>
                </w:p>
              </w:tc>
              <w:tc>
                <w:tcPr>
                  <w:tcW w:w="6178" w:type="dxa"/>
                  <w:vAlign w:val="center"/>
                </w:tcPr>
                <w:p w14:paraId="2C5843A4">
                  <w:pPr>
                    <w:pStyle w:val="2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表土堆场1座，2000m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，堆高为3米；一般土石方堆场1座，3000m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，堆高3米。</w:t>
                  </w:r>
                </w:p>
              </w:tc>
            </w:tr>
            <w:tr w14:paraId="26383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1BA8E3C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522" w:type="dxa"/>
                  <w:gridSpan w:val="2"/>
                  <w:vAlign w:val="center"/>
                </w:tcPr>
                <w:p w14:paraId="75D01A7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物料区</w:t>
                  </w:r>
                </w:p>
              </w:tc>
              <w:tc>
                <w:tcPr>
                  <w:tcW w:w="6178" w:type="dxa"/>
                  <w:shd w:val="clear" w:color="auto" w:fill="auto"/>
                  <w:vAlign w:val="center"/>
                </w:tcPr>
                <w:p w14:paraId="034F390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单</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井场</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物料区占地面积</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00m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主要设有综合房、修理房、发电机房、井控房、</w:t>
                  </w:r>
                  <w:r>
                    <w:rPr>
                      <w:rFonts w:hint="eastAsia" w:ascii="Times New Roman" w:hAnsi="Times New Roman" w:cs="Times New Roman"/>
                      <w:color w:val="000000" w:themeColor="text1"/>
                      <w:sz w:val="21"/>
                      <w:szCs w:val="21"/>
                      <w:lang w:val="en-US" w:eastAsia="zh-CN"/>
                      <w14:textFill>
                        <w14:solidFill>
                          <w14:schemeClr w14:val="tx1"/>
                        </w14:solidFill>
                      </w14:textFill>
                    </w:rPr>
                    <w:t>临时停车场</w:t>
                  </w:r>
                  <w:r>
                    <w:rPr>
                      <w:rFonts w:hint="default" w:ascii="Times New Roman" w:hAnsi="Times New Roman" w:cs="Times New Roman"/>
                      <w:color w:val="000000" w:themeColor="text1"/>
                      <w:sz w:val="21"/>
                      <w:szCs w:val="21"/>
                      <w:lang w:val="en-US" w:eastAsia="zh-CN"/>
                      <w14:textFill>
                        <w14:solidFill>
                          <w14:schemeClr w14:val="tx1"/>
                        </w14:solidFill>
                      </w14:textFill>
                    </w:rPr>
                    <w:t>等</w:t>
                  </w:r>
                  <w:r>
                    <w:rPr>
                      <w:rFonts w:hint="eastAsia" w:ascii="Times New Roman" w:hAnsi="Times New Roman" w:cs="Times New Roman"/>
                      <w:color w:val="000000" w:themeColor="text1"/>
                      <w:sz w:val="21"/>
                      <w:szCs w:val="21"/>
                      <w:lang w:val="en-US" w:eastAsia="zh-CN"/>
                      <w14:textFill>
                        <w14:solidFill>
                          <w14:schemeClr w14:val="tx1"/>
                        </w14:solidFill>
                      </w14:textFill>
                    </w:rPr>
                    <w:t>。</w:t>
                  </w:r>
                </w:p>
              </w:tc>
            </w:tr>
            <w:tr w14:paraId="41765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728B67D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储运工程</w:t>
                  </w:r>
                </w:p>
              </w:tc>
              <w:tc>
                <w:tcPr>
                  <w:tcW w:w="1522" w:type="dxa"/>
                  <w:gridSpan w:val="2"/>
                  <w:vAlign w:val="center"/>
                </w:tcPr>
                <w:p w14:paraId="5EDB1A8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储罐</w:t>
                  </w:r>
                </w:p>
              </w:tc>
              <w:tc>
                <w:tcPr>
                  <w:tcW w:w="6178" w:type="dxa"/>
                  <w:vAlign w:val="center"/>
                </w:tcPr>
                <w:p w14:paraId="1A39263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每个井场均设置2个75m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洗井废水罐、3个75m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压裂返排液罐、</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3个100m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移动式泥饼和岩屑收集罐、1个10.6m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放喷废液收集罐</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、7个50m</w:t>
                  </w:r>
                  <w:r>
                    <w:rPr>
                      <w:rFonts w:hint="eastAsia"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泥浆循环罐</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，储罐区按照重点防渗区要求进行防渗处理。</w:t>
                  </w:r>
                </w:p>
              </w:tc>
            </w:tr>
            <w:tr w14:paraId="732E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restart"/>
                  <w:vAlign w:val="center"/>
                </w:tcPr>
                <w:p w14:paraId="0A0B2CE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公用工程</w:t>
                  </w:r>
                </w:p>
              </w:tc>
              <w:tc>
                <w:tcPr>
                  <w:tcW w:w="1522" w:type="dxa"/>
                  <w:gridSpan w:val="2"/>
                  <w:vAlign w:val="center"/>
                </w:tcPr>
                <w:p w14:paraId="075F3AB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供水</w:t>
                  </w:r>
                </w:p>
              </w:tc>
              <w:tc>
                <w:tcPr>
                  <w:tcW w:w="6178" w:type="dxa"/>
                  <w:vAlign w:val="center"/>
                </w:tcPr>
                <w:p w14:paraId="77AB649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生产用水采用水罐车拉运至井场，生活用水采用桶装水</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0F535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593B6DD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522" w:type="dxa"/>
                  <w:gridSpan w:val="2"/>
                  <w:vAlign w:val="center"/>
                </w:tcPr>
                <w:p w14:paraId="42630CC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供电</w:t>
                  </w:r>
                </w:p>
              </w:tc>
              <w:tc>
                <w:tcPr>
                  <w:tcW w:w="6178" w:type="dxa"/>
                  <w:vAlign w:val="center"/>
                </w:tcPr>
                <w:p w14:paraId="73D1AF2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接入市政电网供电。</w:t>
                  </w:r>
                </w:p>
              </w:tc>
            </w:tr>
            <w:tr w14:paraId="31F43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690" w:type="dxa"/>
                  <w:vMerge w:val="continue"/>
                  <w:vAlign w:val="center"/>
                </w:tcPr>
                <w:p w14:paraId="55E5C10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522" w:type="dxa"/>
                  <w:gridSpan w:val="2"/>
                  <w:vAlign w:val="center"/>
                </w:tcPr>
                <w:p w14:paraId="5C5C4A8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排水</w:t>
                  </w:r>
                </w:p>
              </w:tc>
              <w:tc>
                <w:tcPr>
                  <w:tcW w:w="6178" w:type="dxa"/>
                  <w:vAlign w:val="center"/>
                </w:tcPr>
                <w:p w14:paraId="761786DE">
                  <w:pPr>
                    <w:keepNext w:val="0"/>
                    <w:keepLines w:val="0"/>
                    <w:widowControl/>
                    <w:suppressLineNumbers w:val="0"/>
                    <w:jc w:val="left"/>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color w:val="000000" w:themeColor="text1"/>
                      <w:sz w:val="21"/>
                      <w:szCs w:val="21"/>
                      <w14:textFill>
                        <w14:solidFill>
                          <w14:schemeClr w14:val="tx1"/>
                        </w14:solidFill>
                      </w14:textFill>
                    </w:rPr>
                    <w:t>项目采取</w:t>
                  </w:r>
                  <w:r>
                    <w:rPr>
                      <w:rFonts w:hint="eastAsia"/>
                      <w:color w:val="000000" w:themeColor="text1"/>
                      <w:sz w:val="21"/>
                      <w:szCs w:val="21"/>
                      <w14:textFill>
                        <w14:solidFill>
                          <w14:schemeClr w14:val="tx1"/>
                        </w14:solidFill>
                      </w14:textFill>
                    </w:rPr>
                    <w:t>清污</w:t>
                  </w:r>
                  <w:r>
                    <w:rPr>
                      <w:color w:val="000000" w:themeColor="text1"/>
                      <w:sz w:val="21"/>
                      <w:szCs w:val="21"/>
                      <w14:textFill>
                        <w14:solidFill>
                          <w14:schemeClr w14:val="tx1"/>
                        </w14:solidFill>
                      </w14:textFill>
                    </w:rPr>
                    <w:t>分流制，生产废水</w:t>
                  </w:r>
                  <w:r>
                    <w:rPr>
                      <w:rFonts w:hint="eastAsia" w:eastAsia="宋体"/>
                      <w:color w:val="000000" w:themeColor="text1"/>
                      <w:sz w:val="21"/>
                      <w:szCs w:val="21"/>
                      <w:lang w:val="en-US" w:eastAsia="zh-CN"/>
                      <w14:textFill>
                        <w14:solidFill>
                          <w14:schemeClr w14:val="tx1"/>
                        </w14:solidFill>
                      </w14:textFill>
                    </w:rPr>
                    <w:t>交陕西榆佳环保科技有限公司处置</w:t>
                  </w:r>
                  <w:r>
                    <w:rPr>
                      <w:color w:val="000000" w:themeColor="text1"/>
                      <w:sz w:val="21"/>
                      <w:szCs w:val="21"/>
                      <w14:textFill>
                        <w14:solidFill>
                          <w14:schemeClr w14:val="tx1"/>
                        </w14:solidFill>
                      </w14:textFill>
                    </w:rPr>
                    <w:t>；场地内设环保厕所，定期清掏外运肥田。</w:t>
                  </w:r>
                </w:p>
              </w:tc>
            </w:tr>
            <w:tr w14:paraId="1A59F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restart"/>
                  <w:vAlign w:val="center"/>
                </w:tcPr>
                <w:p w14:paraId="2BB0155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环保工程</w:t>
                  </w:r>
                </w:p>
              </w:tc>
              <w:tc>
                <w:tcPr>
                  <w:tcW w:w="436" w:type="dxa"/>
                  <w:vMerge w:val="restart"/>
                  <w:vAlign w:val="center"/>
                </w:tcPr>
                <w:p w14:paraId="2F60B29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废气</w:t>
                  </w:r>
                </w:p>
              </w:tc>
              <w:tc>
                <w:tcPr>
                  <w:tcW w:w="1086" w:type="dxa"/>
                  <w:vAlign w:val="center"/>
                </w:tcPr>
                <w:p w14:paraId="667579A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施工扬尘</w:t>
                  </w:r>
                </w:p>
              </w:tc>
              <w:tc>
                <w:tcPr>
                  <w:tcW w:w="6178" w:type="dxa"/>
                  <w:vAlign w:val="center"/>
                </w:tcPr>
                <w:p w14:paraId="156CD6D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井场设置施工围挡，洒水抑尘，表土及建材堆放设置挡板并采用篷布遮盖，施工运输车辆采用密闭措施</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0BBC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3935D1E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436" w:type="dxa"/>
                  <w:vMerge w:val="continue"/>
                  <w:vAlign w:val="center"/>
                </w:tcPr>
                <w:p w14:paraId="6AB76C9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086" w:type="dxa"/>
                  <w:vAlign w:val="center"/>
                </w:tcPr>
                <w:p w14:paraId="2495525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测试废气</w:t>
                  </w:r>
                </w:p>
              </w:tc>
              <w:tc>
                <w:tcPr>
                  <w:tcW w:w="6178" w:type="dxa"/>
                  <w:vAlign w:val="center"/>
                </w:tcPr>
                <w:p w14:paraId="7A597DF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每个井场均</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设置</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放喷池1</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座，测试放喷及事故放喷的天然气经专用放喷管线引至</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放喷池</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后，</w:t>
                  </w: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燃烧排放</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w:t>
                  </w:r>
                </w:p>
              </w:tc>
            </w:tr>
            <w:tr w14:paraId="18AA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0B39CE8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436" w:type="dxa"/>
                  <w:vMerge w:val="restart"/>
                  <w:vAlign w:val="center"/>
                </w:tcPr>
                <w:p w14:paraId="0893EAE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废水</w:t>
                  </w:r>
                </w:p>
              </w:tc>
              <w:tc>
                <w:tcPr>
                  <w:tcW w:w="1086" w:type="dxa"/>
                  <w:vAlign w:val="center"/>
                </w:tcPr>
                <w:p w14:paraId="42B42EB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钻井废水</w:t>
                  </w:r>
                </w:p>
              </w:tc>
              <w:tc>
                <w:tcPr>
                  <w:tcW w:w="6178" w:type="dxa"/>
                  <w:vAlign w:val="center"/>
                </w:tcPr>
                <w:p w14:paraId="5BF5EA38">
                  <w:pPr>
                    <w:keepNext w:val="0"/>
                    <w:keepLines w:val="0"/>
                    <w:widowControl/>
                    <w:suppressLineNumbers w:val="0"/>
                    <w:jc w:val="left"/>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钻井废水经泥浆水循环系统处理后优先作为钻井液配水回用，钻井结束后，不能回用的钻井废水委托</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陕西</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榆佳环保科技有限公司</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外运处理。</w:t>
                  </w:r>
                </w:p>
              </w:tc>
            </w:tr>
            <w:tr w14:paraId="7142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0700F6F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436" w:type="dxa"/>
                  <w:vMerge w:val="continue"/>
                  <w:vAlign w:val="center"/>
                </w:tcPr>
                <w:p w14:paraId="092C17D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086" w:type="dxa"/>
                  <w:vAlign w:val="center"/>
                </w:tcPr>
                <w:p w14:paraId="639ECB7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洗井废水</w:t>
                  </w:r>
                </w:p>
              </w:tc>
              <w:tc>
                <w:tcPr>
                  <w:tcW w:w="6178" w:type="dxa"/>
                  <w:vAlign w:val="center"/>
                </w:tcPr>
                <w:p w14:paraId="5D2E0856">
                  <w:pPr>
                    <w:pStyle w:val="28"/>
                    <w:bidi w:val="0"/>
                    <w:ind w:firstLine="0" w:firstLineChars="0"/>
                    <w:jc w:val="both"/>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每个井场均设有2个75m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洗井废水储罐，施工产生的洗井废水临时收集贮存于洗井废水储罐中，委托</w:t>
                  </w:r>
                  <w:r>
                    <w:rPr>
                      <w:rFonts w:hint="default"/>
                      <w:color w:val="000000" w:themeColor="text1"/>
                      <w:lang w:val="en-US" w:eastAsia="zh-CN"/>
                      <w14:textFill>
                        <w14:solidFill>
                          <w14:schemeClr w14:val="tx1"/>
                        </w14:solidFill>
                      </w14:textFill>
                    </w:rPr>
                    <w:t>陕</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西</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榆佳环保科技有限公司外运处理。</w:t>
                  </w:r>
                </w:p>
              </w:tc>
            </w:tr>
            <w:tr w14:paraId="00497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690" w:type="dxa"/>
                  <w:vMerge w:val="continue"/>
                  <w:vAlign w:val="center"/>
                </w:tcPr>
                <w:p w14:paraId="0DC7236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436" w:type="dxa"/>
                  <w:vMerge w:val="continue"/>
                  <w:vAlign w:val="center"/>
                </w:tcPr>
                <w:p w14:paraId="2A43079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086" w:type="dxa"/>
                  <w:vAlign w:val="center"/>
                </w:tcPr>
                <w:p w14:paraId="23DC093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压裂返排液</w:t>
                  </w:r>
                </w:p>
              </w:tc>
              <w:tc>
                <w:tcPr>
                  <w:tcW w:w="6178" w:type="dxa"/>
                  <w:vAlign w:val="center"/>
                </w:tcPr>
                <w:p w14:paraId="5F5DD68B">
                  <w:pPr>
                    <w:pStyle w:val="28"/>
                    <w:bidi w:val="0"/>
                    <w:ind w:firstLine="0" w:firstLineChars="0"/>
                    <w:jc w:val="both"/>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每个井场均设有3个75m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压裂返排液储罐，施工产生的压裂返排液临时收集贮存于压裂返排液储罐中，委托</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陕西</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榆佳环保科技有限公司</w:t>
                  </w:r>
                  <w:r>
                    <w:rPr>
                      <w:rFonts w:hint="eastAsia" w:cs="Times New Roman"/>
                      <w:color w:val="000000" w:themeColor="text1"/>
                      <w:sz w:val="21"/>
                      <w:szCs w:val="21"/>
                      <w:lang w:val="en-US" w:eastAsia="zh-CN"/>
                      <w14:textFill>
                        <w14:solidFill>
                          <w14:schemeClr w14:val="tx1"/>
                        </w14:solidFill>
                      </w14:textFill>
                    </w:rPr>
                    <w:t>外运处理</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15B89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39097F4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436" w:type="dxa"/>
                  <w:vMerge w:val="continue"/>
                  <w:vAlign w:val="center"/>
                </w:tcPr>
                <w:p w14:paraId="0AFBD4A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086" w:type="dxa"/>
                  <w:vAlign w:val="center"/>
                </w:tcPr>
                <w:p w14:paraId="757D892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放喷废水</w:t>
                  </w:r>
                </w:p>
              </w:tc>
              <w:tc>
                <w:tcPr>
                  <w:tcW w:w="6178" w:type="dxa"/>
                  <w:vAlign w:val="center"/>
                </w:tcPr>
                <w:p w14:paraId="78FAEEC1">
                  <w:pPr>
                    <w:pStyle w:val="28"/>
                    <w:bidi w:val="0"/>
                    <w:ind w:firstLine="0" w:firstLineChars="0"/>
                    <w:jc w:val="both"/>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收集至井场内放喷池暂存，</w:t>
                  </w:r>
                  <w:r>
                    <w:rPr>
                      <w:rFonts w:hint="default" w:ascii="Times New Roman" w:hAnsi="Times New Roman" w:cs="Times New Roman"/>
                      <w:color w:val="000000" w:themeColor="text1"/>
                      <w:sz w:val="21"/>
                      <w:szCs w:val="21"/>
                      <w:lang w:val="en-US" w:eastAsia="zh-CN"/>
                      <w14:textFill>
                        <w14:solidFill>
                          <w14:schemeClr w14:val="tx1"/>
                        </w14:solidFill>
                      </w14:textFill>
                    </w:rPr>
                    <w:t>委托</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陕西</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榆佳环保科技有限公司</w:t>
                  </w:r>
                  <w:r>
                    <w:rPr>
                      <w:rFonts w:hint="eastAsia" w:cs="Times New Roman"/>
                      <w:color w:val="000000" w:themeColor="text1"/>
                      <w:sz w:val="21"/>
                      <w:szCs w:val="21"/>
                      <w:lang w:val="en-US" w:eastAsia="zh-CN"/>
                      <w14:textFill>
                        <w14:solidFill>
                          <w14:schemeClr w14:val="tx1"/>
                        </w14:solidFill>
                      </w14:textFill>
                    </w:rPr>
                    <w:t>外运处理。</w:t>
                  </w:r>
                </w:p>
              </w:tc>
            </w:tr>
            <w:tr w14:paraId="3B63D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7A5C622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436" w:type="dxa"/>
                  <w:vMerge w:val="continue"/>
                  <w:vAlign w:val="center"/>
                </w:tcPr>
                <w:p w14:paraId="0C32BE2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086" w:type="dxa"/>
                  <w:vAlign w:val="center"/>
                </w:tcPr>
                <w:p w14:paraId="0F96AB9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生活污水</w:t>
                  </w:r>
                </w:p>
              </w:tc>
              <w:tc>
                <w:tcPr>
                  <w:tcW w:w="6178" w:type="dxa"/>
                  <w:vAlign w:val="center"/>
                </w:tcPr>
                <w:p w14:paraId="2D1B3172">
                  <w:pPr>
                    <w:pStyle w:val="28"/>
                    <w:bidi w:val="0"/>
                    <w:ind w:firstLine="0" w:firstLineChars="0"/>
                    <w:jc w:val="both"/>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由环保卫生旱厕收集后由用于周边农田施肥。</w:t>
                  </w:r>
                </w:p>
              </w:tc>
            </w:tr>
            <w:tr w14:paraId="091B2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trPr>
              <w:tc>
                <w:tcPr>
                  <w:tcW w:w="690" w:type="dxa"/>
                  <w:vMerge w:val="continue"/>
                  <w:vAlign w:val="center"/>
                </w:tcPr>
                <w:p w14:paraId="69D2258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522" w:type="dxa"/>
                  <w:gridSpan w:val="2"/>
                  <w:vMerge w:val="restart"/>
                  <w:vAlign w:val="center"/>
                </w:tcPr>
                <w:p w14:paraId="5C5C471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地下水</w:t>
                  </w:r>
                </w:p>
              </w:tc>
              <w:tc>
                <w:tcPr>
                  <w:tcW w:w="6178" w:type="dxa"/>
                  <w:vAlign w:val="center"/>
                </w:tcPr>
                <w:p w14:paraId="04DB2226">
                  <w:pPr>
                    <w:keepNext w:val="0"/>
                    <w:keepLines w:val="0"/>
                    <w:widowControl/>
                    <w:suppressLineNumbers w:val="0"/>
                    <w:jc w:val="both"/>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放喷池</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防渗措施：池底填筑一定厚度的土壤后压实，池底及四周铺设</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防渗膜</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作防渗漏处理，</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防渗膜</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搭接长度不小于300mm，等效黏土防渗层Mb≥6.0m，K≤1×10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cm/s</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3EE78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63AE7E9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522" w:type="dxa"/>
                  <w:gridSpan w:val="2"/>
                  <w:vMerge w:val="continue"/>
                  <w:vAlign w:val="center"/>
                </w:tcPr>
                <w:p w14:paraId="7F8A185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6178" w:type="dxa"/>
                  <w:vAlign w:val="center"/>
                </w:tcPr>
                <w:p w14:paraId="104B5F53">
                  <w:pPr>
                    <w:keepNext w:val="0"/>
                    <w:keepLines w:val="0"/>
                    <w:widowControl/>
                    <w:suppressLineNumbers w:val="0"/>
                    <w:jc w:val="left"/>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危废贮存库</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防渗措施：采用撬装式危废</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贮存库</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内部</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防渗</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同时可满足《危险废物贮存污染控制标准》（GB18597-2023）相关要求，防渗层渗透系数小于1×10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cm/s</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022F0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712E5DA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522" w:type="dxa"/>
                  <w:gridSpan w:val="2"/>
                  <w:vMerge w:val="restart"/>
                  <w:vAlign w:val="center"/>
                </w:tcPr>
                <w:p w14:paraId="76808DD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固体废物</w:t>
                  </w:r>
                </w:p>
              </w:tc>
              <w:tc>
                <w:tcPr>
                  <w:tcW w:w="6178" w:type="dxa"/>
                  <w:vAlign w:val="center"/>
                </w:tcPr>
                <w:p w14:paraId="140969CB">
                  <w:pPr>
                    <w:keepNext w:val="0"/>
                    <w:keepLines w:val="0"/>
                    <w:widowControl/>
                    <w:suppressLineNumbers w:val="0"/>
                    <w:jc w:val="left"/>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泥饼</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、钻井岩屑：分别暂存于移动式收集罐内，施工结束后委托委托陕西</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德禾鑫盛环保科技有限公司</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外运处理。由防渗漏、防抛洒、防扬尘的运输车辆统一外运处置。</w:t>
                  </w:r>
                </w:p>
              </w:tc>
            </w:tr>
            <w:tr w14:paraId="58524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604CE78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522" w:type="dxa"/>
                  <w:gridSpan w:val="2"/>
                  <w:vMerge w:val="continue"/>
                  <w:vAlign w:val="center"/>
                </w:tcPr>
                <w:p w14:paraId="20EB737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6178" w:type="dxa"/>
                  <w:vAlign w:val="center"/>
                </w:tcPr>
                <w:p w14:paraId="09A7D50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废机油：暂存于</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撬装式危废贮存库</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，委托有资质单位进行处置。</w:t>
                  </w:r>
                </w:p>
              </w:tc>
            </w:tr>
            <w:tr w14:paraId="2D1AC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40818BA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522" w:type="dxa"/>
                  <w:gridSpan w:val="2"/>
                  <w:vMerge w:val="continue"/>
                  <w:vAlign w:val="center"/>
                </w:tcPr>
                <w:p w14:paraId="2601CBF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6178" w:type="dxa"/>
                  <w:vAlign w:val="center"/>
                </w:tcPr>
                <w:p w14:paraId="4770B21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废包装袋、废弃防渗膜：废包装袋与未沾染危险废物的废防渗膜集中收集后交由物资回收公司进行回收再利用；沾染危险废物的废防渗膜，属于危险废物，暂存于</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撬装式危废贮存库</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，交由有资质单位回收处置。</w:t>
                  </w:r>
                </w:p>
              </w:tc>
            </w:tr>
            <w:tr w14:paraId="09D05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6E01B7D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522" w:type="dxa"/>
                  <w:gridSpan w:val="2"/>
                  <w:vMerge w:val="continue"/>
                  <w:vAlign w:val="center"/>
                </w:tcPr>
                <w:p w14:paraId="104F99F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6178" w:type="dxa"/>
                  <w:vAlign w:val="center"/>
                </w:tcPr>
                <w:p w14:paraId="0159049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生活垃圾：经垃圾桶收集后定期交佳县环卫部门处理。</w:t>
                  </w:r>
                </w:p>
              </w:tc>
            </w:tr>
            <w:tr w14:paraId="2AB56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28F2AFC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522" w:type="dxa"/>
                  <w:gridSpan w:val="2"/>
                  <w:vMerge w:val="continue"/>
                  <w:vAlign w:val="center"/>
                </w:tcPr>
                <w:p w14:paraId="644C020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6178" w:type="dxa"/>
                  <w:vAlign w:val="center"/>
                </w:tcPr>
                <w:p w14:paraId="63DCB41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岩心：取出的岩心首选用于产气量、气密性等的研究，废弃岩心交陕西德禾鑫盛环保科技有限公司</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外运处理</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24E99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690" w:type="dxa"/>
                  <w:vMerge w:val="continue"/>
                  <w:vAlign w:val="center"/>
                </w:tcPr>
                <w:p w14:paraId="0B016DE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522" w:type="dxa"/>
                  <w:gridSpan w:val="2"/>
                  <w:vAlign w:val="center"/>
                </w:tcPr>
                <w:p w14:paraId="33E7464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噪声</w:t>
                  </w:r>
                </w:p>
              </w:tc>
              <w:tc>
                <w:tcPr>
                  <w:tcW w:w="6178" w:type="dxa"/>
                  <w:vAlign w:val="center"/>
                </w:tcPr>
                <w:p w14:paraId="1555054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合理布局、选用低噪设备；泥浆泵加衬弹性垫料，管理和作业过程中平稳操作，避免特种作业时产生非正常的噪声。</w:t>
                  </w:r>
                </w:p>
              </w:tc>
            </w:tr>
            <w:tr w14:paraId="6AD55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54A4156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522" w:type="dxa"/>
                  <w:gridSpan w:val="2"/>
                  <w:vAlign w:val="center"/>
                </w:tcPr>
                <w:p w14:paraId="33D3B03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生态</w:t>
                  </w:r>
                </w:p>
              </w:tc>
              <w:tc>
                <w:tcPr>
                  <w:tcW w:w="6178" w:type="dxa"/>
                  <w:vAlign w:val="center"/>
                </w:tcPr>
                <w:p w14:paraId="0424AEA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对临时占用土地进行表土留存，分层回填，整平翻松，恢复植被</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0F488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690" w:type="dxa"/>
                  <w:vMerge w:val="restart"/>
                  <w:vAlign w:val="center"/>
                </w:tcPr>
                <w:p w14:paraId="7DB19A5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依托工程</w:t>
                  </w:r>
                </w:p>
              </w:tc>
              <w:tc>
                <w:tcPr>
                  <w:tcW w:w="1522" w:type="dxa"/>
                  <w:gridSpan w:val="2"/>
                  <w:vAlign w:val="center"/>
                </w:tcPr>
                <w:p w14:paraId="01DAA8B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陕西</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榆佳环保科技有限公司</w:t>
                  </w:r>
                </w:p>
              </w:tc>
              <w:tc>
                <w:tcPr>
                  <w:tcW w:w="6178" w:type="dxa"/>
                  <w:vAlign w:val="center"/>
                </w:tcPr>
                <w:p w14:paraId="7EB200D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陕西榆佳环保科技有限公司位于佳县王家砭镇榆佳经济技术开发区，采用“二级酸析反应沉淀+液碱+CO</w:t>
                  </w:r>
                  <w:r>
                    <w:rPr>
                      <w:rFonts w:hint="eastAsia" w:ascii="Times New Roman" w:hAnsi="Times New Roman" w:eastAsia="宋体" w:cs="Times New Roman"/>
                      <w:b w:val="0"/>
                      <w:bCs w:val="0"/>
                      <w:color w:val="000000" w:themeColor="text1"/>
                      <w:sz w:val="21"/>
                      <w:szCs w:val="21"/>
                      <w:vertAlign w:val="subscript"/>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+隔膜压滤+精密过滤+紫外杀菌”处理工艺，主要处理佳县及周边气田开采过程产生的泥浆压滤和压裂返排液。处理规模为2000m</w:t>
                  </w:r>
                  <w:r>
                    <w:rPr>
                      <w:rFonts w:hint="eastAsia"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/d，本项目各井场压裂返排液产生量约为240m</w:t>
                  </w:r>
                  <w:r>
                    <w:rPr>
                      <w:rFonts w:hint="eastAsia"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，处理规模能够满足本项目需求。</w:t>
                  </w:r>
                </w:p>
              </w:tc>
            </w:tr>
            <w:tr w14:paraId="6A4C9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690" w:type="dxa"/>
                  <w:vMerge w:val="continue"/>
                  <w:vAlign w:val="center"/>
                </w:tcPr>
                <w:p w14:paraId="14463B6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522" w:type="dxa"/>
                  <w:gridSpan w:val="2"/>
                  <w:vAlign w:val="center"/>
                </w:tcPr>
                <w:p w14:paraId="66CCC0B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陕西德禾鑫盛环保科技有限公司</w:t>
                  </w:r>
                </w:p>
              </w:tc>
              <w:tc>
                <w:tcPr>
                  <w:tcW w:w="6178" w:type="dxa"/>
                  <w:vAlign w:val="center"/>
                </w:tcPr>
                <w:p w14:paraId="6D0DBF5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陕西德禾鑫盛环保科技有限公司位于佳县刘国具斗范梁村，主要用于处理油气田开采过程中产生的固体废物，填埋场总库容为88万m</w:t>
                  </w:r>
                  <w:r>
                    <w:rPr>
                      <w:rFonts w:hint="eastAsia"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，服务年限为4年，钻井岩屑处置规模为25万t/a，钻井废弃物处置规模5万吨/a，处理后固化物进入填埋场进行处置。项目剩余规模充足，能够满足本项目需求。</w:t>
                  </w:r>
                </w:p>
              </w:tc>
            </w:tr>
            <w:tr w14:paraId="2CE6F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0" w:type="dxa"/>
                  <w:gridSpan w:val="4"/>
                  <w:vAlign w:val="center"/>
                </w:tcPr>
                <w:p w14:paraId="19A4B95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备注：完井测试结果表明不具有开采价值，则进行永久封井并处理；若井场有工业开采价值，需建设标准化井场进行开采，本次评价仅针对气井的勘探过程，不对后续标准后井场建设及采气过程进行评价</w:t>
                  </w:r>
                </w:p>
              </w:tc>
            </w:tr>
          </w:tbl>
          <w:p w14:paraId="1327D6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三、井身结构</w:t>
            </w:r>
          </w:p>
          <w:p w14:paraId="595FDA7E">
            <w:pPr>
              <w:pStyle w:val="2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w:t>
            </w:r>
            <w:r>
              <w:rPr>
                <w:rFonts w:hint="eastAsia" w:ascii="Times New Roman" w:hAnsi="Times New Roman" w:cs="Times New Roman"/>
                <w:color w:val="000000" w:themeColor="text1"/>
                <w:lang w:val="en-US" w:eastAsia="zh-CN"/>
                <w14:textFill>
                  <w14:solidFill>
                    <w14:schemeClr w14:val="tx1"/>
                  </w14:solidFill>
                </w14:textFill>
              </w:rPr>
              <w:t>项目均为直井</w:t>
            </w:r>
            <w:r>
              <w:rPr>
                <w:rFonts w:hint="default" w:ascii="Times New Roman" w:hAnsi="Times New Roman" w:cs="Times New Roman"/>
                <w:color w:val="000000" w:themeColor="text1"/>
                <w:lang w:val="en-US" w:eastAsia="zh-CN"/>
                <w14:textFill>
                  <w14:solidFill>
                    <w14:schemeClr w14:val="tx1"/>
                  </w14:solidFill>
                </w14:textFill>
              </w:rPr>
              <w:t>，井身结构设计数据见表2-</w:t>
            </w:r>
            <w:r>
              <w:rPr>
                <w:rFonts w:hint="eastAsia"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w:t>
            </w:r>
          </w:p>
          <w:p w14:paraId="2C6628AC">
            <w:pPr>
              <w:pStyle w:val="6"/>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表</w:t>
            </w: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lang w:eastAsia="zh-CN"/>
                <w14:textFill>
                  <w14:solidFill>
                    <w14:schemeClr w14:val="tx1"/>
                  </w14:solidFill>
                </w14:textFill>
              </w:rPr>
              <w:t xml:space="preserve">  </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lang w:eastAsia="zh-CN"/>
                <w14:textFill>
                  <w14:solidFill>
                    <w14:schemeClr w14:val="tx1"/>
                  </w14:solidFill>
                </w14:textFill>
              </w:rPr>
              <w:t>井身结构表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1398"/>
              <w:gridCol w:w="1398"/>
              <w:gridCol w:w="1398"/>
              <w:gridCol w:w="1398"/>
              <w:gridCol w:w="1399"/>
              <w:gridCol w:w="1399"/>
            </w:tblGrid>
            <w:tr w14:paraId="6B14D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33" w:type="pct"/>
                  <w:tcBorders>
                    <w:tl2br w:val="nil"/>
                    <w:tr2bl w:val="nil"/>
                  </w:tcBorders>
                  <w:noWrap w:val="0"/>
                  <w:vAlign w:val="center"/>
                </w:tcPr>
                <w:p w14:paraId="4DEE6151">
                  <w:pPr>
                    <w:pStyle w:val="28"/>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开钻次序</w:t>
                  </w:r>
                </w:p>
              </w:tc>
              <w:tc>
                <w:tcPr>
                  <w:tcW w:w="833" w:type="pct"/>
                  <w:tcBorders>
                    <w:tl2br w:val="nil"/>
                    <w:tr2bl w:val="nil"/>
                  </w:tcBorders>
                  <w:noWrap w:val="0"/>
                  <w:vAlign w:val="center"/>
                </w:tcPr>
                <w:p w14:paraId="1EC91F6E">
                  <w:pPr>
                    <w:pStyle w:val="28"/>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井深（m）</w:t>
                  </w:r>
                </w:p>
              </w:tc>
              <w:tc>
                <w:tcPr>
                  <w:tcW w:w="833" w:type="pct"/>
                  <w:tcBorders>
                    <w:tl2br w:val="nil"/>
                    <w:tr2bl w:val="nil"/>
                  </w:tcBorders>
                  <w:noWrap w:val="0"/>
                  <w:vAlign w:val="center"/>
                </w:tcPr>
                <w:p w14:paraId="16DF7441">
                  <w:pPr>
                    <w:pStyle w:val="28"/>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钻头尺寸（mm）</w:t>
                  </w:r>
                </w:p>
              </w:tc>
              <w:tc>
                <w:tcPr>
                  <w:tcW w:w="833" w:type="pct"/>
                  <w:tcBorders>
                    <w:tl2br w:val="nil"/>
                    <w:tr2bl w:val="nil"/>
                  </w:tcBorders>
                  <w:noWrap w:val="0"/>
                  <w:vAlign w:val="center"/>
                </w:tcPr>
                <w:p w14:paraId="55EA30A0">
                  <w:pPr>
                    <w:pStyle w:val="28"/>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套管尺寸（mm）</w:t>
                  </w:r>
                </w:p>
              </w:tc>
              <w:tc>
                <w:tcPr>
                  <w:tcW w:w="833" w:type="pct"/>
                  <w:tcBorders>
                    <w:tl2br w:val="nil"/>
                    <w:tr2bl w:val="nil"/>
                  </w:tcBorders>
                  <w:noWrap w:val="0"/>
                  <w:vAlign w:val="center"/>
                </w:tcPr>
                <w:p w14:paraId="744679EF">
                  <w:pPr>
                    <w:pStyle w:val="28"/>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套管下深（m）</w:t>
                  </w:r>
                </w:p>
              </w:tc>
              <w:tc>
                <w:tcPr>
                  <w:tcW w:w="833" w:type="pct"/>
                  <w:tcBorders>
                    <w:tl2br w:val="nil"/>
                    <w:tr2bl w:val="nil"/>
                  </w:tcBorders>
                  <w:noWrap w:val="0"/>
                  <w:vAlign w:val="center"/>
                </w:tcPr>
                <w:p w14:paraId="5AF6FDFB">
                  <w:pPr>
                    <w:pStyle w:val="28"/>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水泥返高</w:t>
                  </w:r>
                </w:p>
              </w:tc>
            </w:tr>
            <w:tr w14:paraId="0DC0D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33" w:type="pct"/>
                  <w:tcBorders>
                    <w:tl2br w:val="nil"/>
                    <w:tr2bl w:val="nil"/>
                  </w:tcBorders>
                  <w:noWrap w:val="0"/>
                  <w:vAlign w:val="center"/>
                </w:tcPr>
                <w:p w14:paraId="2A1A8AF2">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一开</w:t>
                  </w:r>
                </w:p>
              </w:tc>
              <w:tc>
                <w:tcPr>
                  <w:tcW w:w="833" w:type="pct"/>
                  <w:tcBorders>
                    <w:tl2br w:val="nil"/>
                    <w:tr2bl w:val="nil"/>
                  </w:tcBorders>
                  <w:noWrap w:val="0"/>
                  <w:vAlign w:val="center"/>
                </w:tcPr>
                <w:p w14:paraId="6746ADBC">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600</w:t>
                  </w:r>
                </w:p>
              </w:tc>
              <w:tc>
                <w:tcPr>
                  <w:tcW w:w="833" w:type="pct"/>
                  <w:tcBorders>
                    <w:tl2br w:val="nil"/>
                    <w:tr2bl w:val="nil"/>
                  </w:tcBorders>
                  <w:noWrap w:val="0"/>
                  <w:vAlign w:val="center"/>
                </w:tcPr>
                <w:p w14:paraId="2B24D77D">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346</w:t>
                  </w:r>
                </w:p>
              </w:tc>
              <w:tc>
                <w:tcPr>
                  <w:tcW w:w="833" w:type="pct"/>
                  <w:tcBorders>
                    <w:tl2br w:val="nil"/>
                    <w:tr2bl w:val="nil"/>
                  </w:tcBorders>
                  <w:noWrap w:val="0"/>
                  <w:vAlign w:val="center"/>
                </w:tcPr>
                <w:p w14:paraId="581109E5">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273.1</w:t>
                  </w:r>
                </w:p>
              </w:tc>
              <w:tc>
                <w:tcPr>
                  <w:tcW w:w="833" w:type="pct"/>
                  <w:tcBorders>
                    <w:tl2br w:val="nil"/>
                    <w:tr2bl w:val="nil"/>
                  </w:tcBorders>
                  <w:noWrap w:val="0"/>
                  <w:vAlign w:val="center"/>
                </w:tcPr>
                <w:p w14:paraId="386A5567">
                  <w:pPr>
                    <w:pStyle w:val="28"/>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下到稳定岩层</w:t>
                  </w:r>
                </w:p>
              </w:tc>
              <w:tc>
                <w:tcPr>
                  <w:tcW w:w="833" w:type="pct"/>
                  <w:tcBorders>
                    <w:tl2br w:val="nil"/>
                    <w:tr2bl w:val="nil"/>
                  </w:tcBorders>
                  <w:noWrap w:val="0"/>
                  <w:vAlign w:val="center"/>
                </w:tcPr>
                <w:p w14:paraId="6DFA9527">
                  <w:pPr>
                    <w:pStyle w:val="28"/>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地面</w:t>
                  </w:r>
                </w:p>
              </w:tc>
            </w:tr>
            <w:tr w14:paraId="649E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33" w:type="pct"/>
                  <w:tcBorders>
                    <w:tl2br w:val="nil"/>
                    <w:tr2bl w:val="nil"/>
                  </w:tcBorders>
                  <w:noWrap w:val="0"/>
                  <w:vAlign w:val="center"/>
                </w:tcPr>
                <w:p w14:paraId="7D4F2EFD">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二开</w:t>
                  </w:r>
                </w:p>
              </w:tc>
              <w:tc>
                <w:tcPr>
                  <w:tcW w:w="833" w:type="pct"/>
                  <w:tcBorders>
                    <w:tl2br w:val="nil"/>
                    <w:tr2bl w:val="nil"/>
                  </w:tcBorders>
                  <w:noWrap w:val="0"/>
                  <w:vAlign w:val="center"/>
                </w:tcPr>
                <w:p w14:paraId="1B126F02">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w:t>
                  </w:r>
                  <w:r>
                    <w:rPr>
                      <w:rFonts w:hint="eastAsia" w:cs="Times New Roman"/>
                      <w:color w:val="000000" w:themeColor="text1"/>
                      <w:sz w:val="21"/>
                      <w:szCs w:val="21"/>
                      <w:lang w:val="en-US" w:eastAsia="zh-CN"/>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目的层</w:t>
                  </w:r>
                </w:p>
              </w:tc>
              <w:tc>
                <w:tcPr>
                  <w:tcW w:w="833" w:type="pct"/>
                  <w:tcBorders>
                    <w:tl2br w:val="nil"/>
                    <w:tr2bl w:val="nil"/>
                  </w:tcBorders>
                  <w:noWrap w:val="0"/>
                  <w:vAlign w:val="center"/>
                </w:tcPr>
                <w:p w14:paraId="2122D699">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273</w:t>
                  </w:r>
                </w:p>
              </w:tc>
              <w:tc>
                <w:tcPr>
                  <w:tcW w:w="833" w:type="pct"/>
                  <w:tcBorders>
                    <w:tl2br w:val="nil"/>
                    <w:tr2bl w:val="nil"/>
                  </w:tcBorders>
                  <w:noWrap w:val="0"/>
                  <w:vAlign w:val="center"/>
                </w:tcPr>
                <w:p w14:paraId="0BA04107">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219.1</w:t>
                  </w:r>
                </w:p>
              </w:tc>
              <w:tc>
                <w:tcPr>
                  <w:tcW w:w="833" w:type="pct"/>
                  <w:tcBorders>
                    <w:tl2br w:val="nil"/>
                    <w:tr2bl w:val="nil"/>
                  </w:tcBorders>
                  <w:noWrap w:val="0"/>
                  <w:vAlign w:val="center"/>
                </w:tcPr>
                <w:p w14:paraId="42CCFA72">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距井底3～5m</w:t>
                  </w:r>
                </w:p>
              </w:tc>
              <w:tc>
                <w:tcPr>
                  <w:tcW w:w="833" w:type="pct"/>
                  <w:tcBorders>
                    <w:tl2br w:val="nil"/>
                    <w:tr2bl w:val="nil"/>
                  </w:tcBorders>
                  <w:noWrap w:val="0"/>
                  <w:vAlign w:val="center"/>
                </w:tcPr>
                <w:p w14:paraId="46463626">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地面</w:t>
                  </w:r>
                </w:p>
              </w:tc>
            </w:tr>
          </w:tbl>
          <w:p w14:paraId="23845A80">
            <w:pPr>
              <w:pStyle w:val="27"/>
              <w:keepNext w:val="0"/>
              <w:keepLines w:val="0"/>
              <w:pageBreakBefore w:val="0"/>
              <w:widowControl w:val="0"/>
              <w:kinsoku/>
              <w:wordWrap/>
              <w:overflowPunct/>
              <w:topLinePunct w:val="0"/>
              <w:autoSpaceDE/>
              <w:autoSpaceDN/>
              <w:bidi w:val="0"/>
              <w:adjustRightInd w:val="0"/>
              <w:snapToGrid w:val="0"/>
              <w:spacing w:before="79" w:beforeLines="25"/>
              <w:ind w:left="0" w:leftChars="0"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本项目直井井身结构示意图见图2-1。</w:t>
            </w:r>
          </w:p>
          <w:p w14:paraId="35CD3750">
            <w:pPr>
              <w:pStyle w:val="2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drawing>
                <wp:inline distT="0" distB="0" distL="114300" distR="114300">
                  <wp:extent cx="3281680" cy="3202305"/>
                  <wp:effectExtent l="0" t="0" r="13970" b="17145"/>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7"/>
                          <a:stretch>
                            <a:fillRect/>
                          </a:stretch>
                        </pic:blipFill>
                        <pic:spPr>
                          <a:xfrm>
                            <a:off x="0" y="0"/>
                            <a:ext cx="3281680" cy="3202305"/>
                          </a:xfrm>
                          <a:prstGeom prst="rect">
                            <a:avLst/>
                          </a:prstGeom>
                        </pic:spPr>
                      </pic:pic>
                    </a:graphicData>
                  </a:graphic>
                </wp:inline>
              </w:drawing>
            </w:r>
          </w:p>
          <w:p w14:paraId="4FCFC969">
            <w:pPr>
              <w:pStyle w:val="6"/>
              <w:bidi w:val="0"/>
              <w:ind w:left="0" w:lef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图</w:t>
            </w:r>
            <w:r>
              <w:rPr>
                <w:rFonts w:hint="default" w:ascii="Times New Roman" w:hAnsi="Times New Roman" w:cs="Times New Roman"/>
                <w:color w:val="000000" w:themeColor="text1"/>
                <w:sz w:val="21"/>
                <w:szCs w:val="21"/>
                <w:lang w:val="en-US" w:eastAsia="zh-CN"/>
                <w14:textFill>
                  <w14:solidFill>
                    <w14:schemeClr w14:val="tx1"/>
                  </w14:solidFill>
                </w14:textFill>
              </w:rPr>
              <w:t>2-1</w:t>
            </w:r>
            <w:r>
              <w:rPr>
                <w:rFonts w:hint="default" w:ascii="Times New Roman" w:hAnsi="Times New Roman" w:cs="Times New Roman"/>
                <w:color w:val="000000" w:themeColor="text1"/>
                <w:sz w:val="21"/>
                <w:szCs w:val="21"/>
                <w:lang w:eastAsia="zh-CN"/>
                <w14:textFill>
                  <w14:solidFill>
                    <w14:schemeClr w14:val="tx1"/>
                  </w14:solidFill>
                </w14:textFill>
              </w:rPr>
              <w:t xml:space="preserve">  井身结构图</w:t>
            </w:r>
          </w:p>
          <w:p w14:paraId="78DEF9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四</w:t>
            </w: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、工程占地</w:t>
            </w:r>
          </w:p>
          <w:p w14:paraId="1610E1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highlight w:val="yellow"/>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项目占地为临时占地，总占地面积为</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46940</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，其中井场占地</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28496.317</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，生活区占地</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3518</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，其余为井场道路占地，若完井测试表明气井有开采价值，再征用井场用地。</w:t>
            </w:r>
          </w:p>
          <w:p w14:paraId="22A4E524">
            <w:pPr>
              <w:pStyle w:val="6"/>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表</w:t>
            </w:r>
            <w:r>
              <w:rPr>
                <w:rFonts w:hint="default" w:ascii="Times New Roman" w:hAnsi="Times New Roman" w:cs="Times New Roman"/>
                <w:color w:val="000000" w:themeColor="text1"/>
                <w:sz w:val="21"/>
                <w:szCs w:val="21"/>
                <w:lang w:val="en-US" w:eastAsia="zh-CN"/>
                <w14:textFill>
                  <w14:solidFill>
                    <w14:schemeClr w14:val="tx1"/>
                  </w14:solidFill>
                </w14:textFill>
              </w:rPr>
              <w:t>2-4</w:t>
            </w:r>
            <w:r>
              <w:rPr>
                <w:rFonts w:hint="default" w:ascii="Times New Roman" w:hAnsi="Times New Roman" w:cs="Times New Roman"/>
                <w:color w:val="000000" w:themeColor="text1"/>
                <w:sz w:val="21"/>
                <w:szCs w:val="21"/>
                <w:lang w:eastAsia="zh-CN"/>
                <w14:textFill>
                  <w14:solidFill>
                    <w14:schemeClr w14:val="tx1"/>
                  </w14:solidFill>
                </w14:textFill>
              </w:rPr>
              <w:t xml:space="preserve">  </w:t>
            </w:r>
            <w:r>
              <w:rPr>
                <w:rFonts w:hint="default" w:ascii="Times New Roman" w:hAnsi="Times New Roman" w:cs="Times New Roman"/>
                <w:color w:val="000000" w:themeColor="text1"/>
                <w:sz w:val="21"/>
                <w:szCs w:val="21"/>
                <w:lang w:val="en-US" w:eastAsia="zh-CN"/>
                <w14:textFill>
                  <w14:solidFill>
                    <w14:schemeClr w14:val="tx1"/>
                  </w14:solidFill>
                </w14:textFill>
              </w:rPr>
              <w:t>占地面积情况表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1484"/>
              <w:gridCol w:w="1665"/>
              <w:gridCol w:w="1735"/>
              <w:gridCol w:w="1986"/>
              <w:gridCol w:w="1517"/>
            </w:tblGrid>
            <w:tr w14:paraId="64DE5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84" w:type="pct"/>
                  <w:tcBorders>
                    <w:tl2br w:val="nil"/>
                    <w:tr2bl w:val="nil"/>
                  </w:tcBorders>
                  <w:noWrap w:val="0"/>
                  <w:vAlign w:val="center"/>
                </w:tcPr>
                <w:p w14:paraId="43295882">
                  <w:pPr>
                    <w:pStyle w:val="28"/>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井号</w:t>
                  </w:r>
                </w:p>
              </w:tc>
              <w:tc>
                <w:tcPr>
                  <w:tcW w:w="992" w:type="pct"/>
                  <w:tcBorders>
                    <w:tl2br w:val="nil"/>
                    <w:tr2bl w:val="nil"/>
                  </w:tcBorders>
                  <w:noWrap w:val="0"/>
                  <w:vAlign w:val="center"/>
                </w:tcPr>
                <w:p w14:paraId="311DB29B">
                  <w:pPr>
                    <w:pStyle w:val="28"/>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井场面积（m</w:t>
                  </w:r>
                  <w:r>
                    <w:rPr>
                      <w:rFonts w:hint="default" w:ascii="Times New Roman" w:hAnsi="Times New Roman" w:cs="Times New Roman"/>
                      <w:b/>
                      <w:bCs/>
                      <w:color w:val="000000" w:themeColor="text1"/>
                      <w:sz w:val="21"/>
                      <w:szCs w:val="21"/>
                      <w:vertAlign w:val="superscript"/>
                      <w:lang w:val="en-US" w:eastAsia="zh-CN"/>
                      <w14:textFill>
                        <w14:solidFill>
                          <w14:schemeClr w14:val="tx1"/>
                        </w14:solidFill>
                      </w14:textFill>
                    </w:rPr>
                    <w:t>2</w:t>
                  </w:r>
                  <w:r>
                    <w:rPr>
                      <w:rFonts w:hint="default" w:ascii="Times New Roman" w:hAnsi="Times New Roman" w:cs="Times New Roman"/>
                      <w:b/>
                      <w:bCs/>
                      <w:color w:val="000000" w:themeColor="text1"/>
                      <w:sz w:val="21"/>
                      <w:szCs w:val="21"/>
                      <w:lang w:val="en-US" w:eastAsia="zh-CN"/>
                      <w14:textFill>
                        <w14:solidFill>
                          <w14:schemeClr w14:val="tx1"/>
                        </w14:solidFill>
                      </w14:textFill>
                    </w:rPr>
                    <w:t>）</w:t>
                  </w:r>
                </w:p>
              </w:tc>
              <w:tc>
                <w:tcPr>
                  <w:tcW w:w="1034" w:type="pct"/>
                  <w:tcBorders>
                    <w:tl2br w:val="nil"/>
                    <w:tr2bl w:val="nil"/>
                  </w:tcBorders>
                  <w:noWrap w:val="0"/>
                  <w:vAlign w:val="center"/>
                </w:tcPr>
                <w:p w14:paraId="2BE737F2">
                  <w:pPr>
                    <w:pStyle w:val="28"/>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生活区面积（m</w:t>
                  </w:r>
                  <w:r>
                    <w:rPr>
                      <w:rFonts w:hint="default" w:ascii="Times New Roman" w:hAnsi="Times New Roman" w:cs="Times New Roman"/>
                      <w:b/>
                      <w:bCs/>
                      <w:color w:val="000000" w:themeColor="text1"/>
                      <w:sz w:val="21"/>
                      <w:szCs w:val="21"/>
                      <w:vertAlign w:val="superscript"/>
                      <w:lang w:val="en-US" w:eastAsia="zh-CN"/>
                      <w14:textFill>
                        <w14:solidFill>
                          <w14:schemeClr w14:val="tx1"/>
                        </w14:solidFill>
                      </w14:textFill>
                    </w:rPr>
                    <w:t>2</w:t>
                  </w:r>
                  <w:r>
                    <w:rPr>
                      <w:rFonts w:hint="default" w:ascii="Times New Roman" w:hAnsi="Times New Roman" w:cs="Times New Roman"/>
                      <w:b/>
                      <w:bCs/>
                      <w:color w:val="000000" w:themeColor="text1"/>
                      <w:sz w:val="21"/>
                      <w:szCs w:val="21"/>
                      <w:lang w:val="en-US" w:eastAsia="zh-CN"/>
                      <w14:textFill>
                        <w14:solidFill>
                          <w14:schemeClr w14:val="tx1"/>
                        </w14:solidFill>
                      </w14:textFill>
                    </w:rPr>
                    <w:t>）</w:t>
                  </w:r>
                </w:p>
              </w:tc>
              <w:tc>
                <w:tcPr>
                  <w:tcW w:w="1183" w:type="pct"/>
                  <w:tcBorders>
                    <w:tl2br w:val="nil"/>
                    <w:tr2bl w:val="nil"/>
                  </w:tcBorders>
                  <w:noWrap w:val="0"/>
                  <w:vAlign w:val="center"/>
                </w:tcPr>
                <w:p w14:paraId="24E431C6">
                  <w:pPr>
                    <w:pStyle w:val="28"/>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进场道路</w:t>
                  </w:r>
                  <w:r>
                    <w:rPr>
                      <w:rFonts w:hint="default" w:ascii="Times New Roman" w:hAnsi="Times New Roman" w:cs="Times New Roman"/>
                      <w:b/>
                      <w:bCs/>
                      <w:color w:val="000000" w:themeColor="text1"/>
                      <w:sz w:val="21"/>
                      <w:szCs w:val="21"/>
                      <w:lang w:val="en-US" w:eastAsia="zh-CN"/>
                      <w14:textFill>
                        <w14:solidFill>
                          <w14:schemeClr w14:val="tx1"/>
                        </w14:solidFill>
                      </w14:textFill>
                    </w:rPr>
                    <w:t>面积（m</w:t>
                  </w:r>
                  <w:r>
                    <w:rPr>
                      <w:rFonts w:hint="default" w:ascii="Times New Roman" w:hAnsi="Times New Roman" w:cs="Times New Roman"/>
                      <w:b/>
                      <w:bCs/>
                      <w:color w:val="000000" w:themeColor="text1"/>
                      <w:sz w:val="21"/>
                      <w:szCs w:val="21"/>
                      <w:vertAlign w:val="superscript"/>
                      <w:lang w:val="en-US" w:eastAsia="zh-CN"/>
                      <w14:textFill>
                        <w14:solidFill>
                          <w14:schemeClr w14:val="tx1"/>
                        </w14:solidFill>
                      </w14:textFill>
                    </w:rPr>
                    <w:t>2</w:t>
                  </w: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w:t>
                  </w:r>
                </w:p>
              </w:tc>
              <w:tc>
                <w:tcPr>
                  <w:tcW w:w="904" w:type="pct"/>
                  <w:tcBorders>
                    <w:tl2br w:val="nil"/>
                    <w:tr2bl w:val="nil"/>
                  </w:tcBorders>
                  <w:noWrap w:val="0"/>
                  <w:vAlign w:val="center"/>
                </w:tcPr>
                <w:p w14:paraId="36BAC185">
                  <w:pPr>
                    <w:pStyle w:val="28"/>
                    <w:bidi w:val="0"/>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占地类型</w:t>
                  </w:r>
                </w:p>
              </w:tc>
            </w:tr>
            <w:tr w14:paraId="693B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84" w:type="pct"/>
                  <w:tcBorders>
                    <w:tl2br w:val="nil"/>
                    <w:tr2bl w:val="nil"/>
                  </w:tcBorders>
                  <w:noWrap w:val="0"/>
                  <w:vAlign w:val="center"/>
                </w:tcPr>
                <w:p w14:paraId="6DE3E00C">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米1</w:t>
                  </w:r>
                  <w:r>
                    <w:rPr>
                      <w:rFonts w:hint="eastAsia" w:cs="Times New Roman"/>
                      <w:color w:val="000000" w:themeColor="text1"/>
                      <w:sz w:val="21"/>
                      <w:szCs w:val="21"/>
                      <w:u w:val="none"/>
                      <w:vertAlign w:val="baseline"/>
                      <w:lang w:val="en-US" w:eastAsia="zh-CN"/>
                      <w14:textFill>
                        <w14:solidFill>
                          <w14:schemeClr w14:val="tx1"/>
                        </w14:solidFill>
                      </w14:textFill>
                    </w:rPr>
                    <w:t>72</w:t>
                  </w: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-08</w:t>
                  </w:r>
                </w:p>
              </w:tc>
              <w:tc>
                <w:tcPr>
                  <w:tcW w:w="992" w:type="pct"/>
                  <w:tcBorders>
                    <w:tl2br w:val="nil"/>
                    <w:tr2bl w:val="nil"/>
                  </w:tcBorders>
                  <w:noWrap w:val="0"/>
                  <w:vAlign w:val="center"/>
                </w:tcPr>
                <w:p w14:paraId="447C7AF4">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16800</w:t>
                  </w:r>
                </w:p>
              </w:tc>
              <w:tc>
                <w:tcPr>
                  <w:tcW w:w="1034" w:type="pct"/>
                  <w:tcBorders>
                    <w:tl2br w:val="nil"/>
                    <w:tr2bl w:val="nil"/>
                  </w:tcBorders>
                  <w:noWrap w:val="0"/>
                  <w:vAlign w:val="center"/>
                </w:tcPr>
                <w:p w14:paraId="6C0899A8">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1118</w:t>
                  </w:r>
                </w:p>
              </w:tc>
              <w:tc>
                <w:tcPr>
                  <w:tcW w:w="1183" w:type="pct"/>
                  <w:tcBorders>
                    <w:tl2br w:val="nil"/>
                    <w:tr2bl w:val="nil"/>
                  </w:tcBorders>
                  <w:noWrap w:val="0"/>
                  <w:vAlign w:val="center"/>
                </w:tcPr>
                <w:p w14:paraId="439F60A7">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p>
              </w:tc>
              <w:tc>
                <w:tcPr>
                  <w:tcW w:w="904" w:type="pct"/>
                  <w:tcBorders>
                    <w:tl2br w:val="nil"/>
                    <w:tr2bl w:val="nil"/>
                  </w:tcBorders>
                  <w:shd w:val="clear" w:color="auto" w:fill="auto"/>
                  <w:noWrap w:val="0"/>
                  <w:vAlign w:val="center"/>
                </w:tcPr>
                <w:p w14:paraId="56F217F7">
                  <w:pPr>
                    <w:widowControl/>
                    <w:spacing w:line="240" w:lineRule="auto"/>
                    <w:ind w:firstLine="0" w:firstLineChars="0"/>
                    <w:jc w:val="center"/>
                    <w:textAlignment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林地</w:t>
                  </w:r>
                </w:p>
              </w:tc>
            </w:tr>
            <w:tr w14:paraId="10AF5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84" w:type="pct"/>
                  <w:tcBorders>
                    <w:tl2br w:val="nil"/>
                    <w:tr2bl w:val="nil"/>
                  </w:tcBorders>
                  <w:noWrap w:val="0"/>
                  <w:vAlign w:val="center"/>
                </w:tcPr>
                <w:p w14:paraId="2616F6EF">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米37-14M</w:t>
                  </w:r>
                </w:p>
              </w:tc>
              <w:tc>
                <w:tcPr>
                  <w:tcW w:w="992" w:type="pct"/>
                  <w:tcBorders>
                    <w:tl2br w:val="nil"/>
                    <w:tr2bl w:val="nil"/>
                  </w:tcBorders>
                  <w:noWrap w:val="0"/>
                  <w:vAlign w:val="center"/>
                </w:tcPr>
                <w:p w14:paraId="699D5E00">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9598</w:t>
                  </w:r>
                </w:p>
              </w:tc>
              <w:tc>
                <w:tcPr>
                  <w:tcW w:w="1034" w:type="pct"/>
                  <w:tcBorders>
                    <w:tl2br w:val="nil"/>
                    <w:tr2bl w:val="nil"/>
                  </w:tcBorders>
                  <w:noWrap w:val="0"/>
                  <w:vAlign w:val="center"/>
                </w:tcPr>
                <w:p w14:paraId="6D58873C">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1200</w:t>
                  </w:r>
                </w:p>
              </w:tc>
              <w:tc>
                <w:tcPr>
                  <w:tcW w:w="1183" w:type="pct"/>
                  <w:tcBorders>
                    <w:tl2br w:val="nil"/>
                    <w:tr2bl w:val="nil"/>
                  </w:tcBorders>
                  <w:noWrap w:val="0"/>
                  <w:vAlign w:val="center"/>
                </w:tcPr>
                <w:p w14:paraId="29C284CF">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172</w:t>
                  </w:r>
                </w:p>
              </w:tc>
              <w:tc>
                <w:tcPr>
                  <w:tcW w:w="904" w:type="pct"/>
                  <w:tcBorders>
                    <w:tl2br w:val="nil"/>
                    <w:tr2bl w:val="nil"/>
                  </w:tcBorders>
                  <w:shd w:val="clear" w:color="auto" w:fill="auto"/>
                  <w:noWrap w:val="0"/>
                  <w:vAlign w:val="center"/>
                </w:tcPr>
                <w:p w14:paraId="25AB8640">
                  <w:pPr>
                    <w:widowControl/>
                    <w:spacing w:line="240" w:lineRule="auto"/>
                    <w:ind w:firstLine="0" w:firstLineChars="0"/>
                    <w:jc w:val="center"/>
                    <w:textAlignment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林地、园地、交通运输用地</w:t>
                  </w:r>
                </w:p>
              </w:tc>
            </w:tr>
            <w:tr w14:paraId="2B6C5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84" w:type="pct"/>
                  <w:tcBorders>
                    <w:tl2br w:val="nil"/>
                    <w:tr2bl w:val="nil"/>
                  </w:tcBorders>
                  <w:noWrap w:val="0"/>
                  <w:vAlign w:val="center"/>
                </w:tcPr>
                <w:p w14:paraId="4860F419">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米172-06</w:t>
                  </w:r>
                </w:p>
              </w:tc>
              <w:tc>
                <w:tcPr>
                  <w:tcW w:w="992" w:type="pct"/>
                  <w:tcBorders>
                    <w:tl2br w:val="nil"/>
                    <w:tr2bl w:val="nil"/>
                  </w:tcBorders>
                  <w:noWrap w:val="0"/>
                  <w:vAlign w:val="center"/>
                </w:tcPr>
                <w:p w14:paraId="395142E7">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9271</w:t>
                  </w:r>
                </w:p>
              </w:tc>
              <w:tc>
                <w:tcPr>
                  <w:tcW w:w="1034" w:type="pct"/>
                  <w:tcBorders>
                    <w:tl2br w:val="nil"/>
                    <w:tr2bl w:val="nil"/>
                  </w:tcBorders>
                  <w:noWrap w:val="0"/>
                  <w:vAlign w:val="center"/>
                </w:tcPr>
                <w:p w14:paraId="60D39A30">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1200</w:t>
                  </w:r>
                </w:p>
              </w:tc>
              <w:tc>
                <w:tcPr>
                  <w:tcW w:w="1183" w:type="pct"/>
                  <w:tcBorders>
                    <w:tl2br w:val="nil"/>
                    <w:tr2bl w:val="nil"/>
                  </w:tcBorders>
                  <w:noWrap w:val="0"/>
                  <w:vAlign w:val="center"/>
                </w:tcPr>
                <w:p w14:paraId="58FC610E">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316</w:t>
                  </w:r>
                </w:p>
              </w:tc>
              <w:tc>
                <w:tcPr>
                  <w:tcW w:w="904" w:type="pct"/>
                  <w:tcBorders>
                    <w:tl2br w:val="nil"/>
                    <w:tr2bl w:val="nil"/>
                  </w:tcBorders>
                  <w:shd w:val="clear" w:color="auto" w:fill="auto"/>
                  <w:noWrap w:val="0"/>
                  <w:vAlign w:val="center"/>
                </w:tcPr>
                <w:p w14:paraId="756E973D">
                  <w:pPr>
                    <w:widowControl/>
                    <w:spacing w:line="240" w:lineRule="auto"/>
                    <w:ind w:firstLine="0" w:firstLineChars="0"/>
                    <w:jc w:val="center"/>
                    <w:textAlignment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园地、林地</w:t>
                  </w:r>
                </w:p>
              </w:tc>
            </w:tr>
            <w:tr w14:paraId="7EBFC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84" w:type="pct"/>
                  <w:tcBorders>
                    <w:tl2br w:val="nil"/>
                    <w:tr2bl w:val="nil"/>
                  </w:tcBorders>
                  <w:noWrap w:val="0"/>
                  <w:vAlign w:val="center"/>
                </w:tcPr>
                <w:p w14:paraId="1826510E">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米172-07</w:t>
                  </w:r>
                </w:p>
              </w:tc>
              <w:tc>
                <w:tcPr>
                  <w:tcW w:w="992" w:type="pct"/>
                  <w:tcBorders>
                    <w:tl2br w:val="nil"/>
                    <w:tr2bl w:val="nil"/>
                  </w:tcBorders>
                  <w:noWrap w:val="0"/>
                  <w:vAlign w:val="center"/>
                </w:tcPr>
                <w:p w14:paraId="71981AA4">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7265</w:t>
                  </w:r>
                </w:p>
              </w:tc>
              <w:tc>
                <w:tcPr>
                  <w:tcW w:w="1034" w:type="pct"/>
                  <w:tcBorders>
                    <w:tl2br w:val="nil"/>
                    <w:tr2bl w:val="nil"/>
                  </w:tcBorders>
                  <w:noWrap w:val="0"/>
                  <w:vAlign w:val="center"/>
                </w:tcPr>
                <w:p w14:paraId="06FC2AEF">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p>
              </w:tc>
              <w:tc>
                <w:tcPr>
                  <w:tcW w:w="1183" w:type="pct"/>
                  <w:tcBorders>
                    <w:tl2br w:val="nil"/>
                    <w:tr2bl w:val="nil"/>
                  </w:tcBorders>
                  <w:noWrap w:val="0"/>
                  <w:vAlign w:val="center"/>
                </w:tcPr>
                <w:p w14:paraId="4FE8D57F">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w:t>
                  </w:r>
                </w:p>
              </w:tc>
              <w:tc>
                <w:tcPr>
                  <w:tcW w:w="904" w:type="pct"/>
                  <w:tcBorders>
                    <w:tl2br w:val="nil"/>
                    <w:tr2bl w:val="nil"/>
                  </w:tcBorders>
                  <w:shd w:val="clear" w:color="auto" w:fill="auto"/>
                  <w:noWrap w:val="0"/>
                  <w:vAlign w:val="center"/>
                </w:tcPr>
                <w:p w14:paraId="24A3D80A">
                  <w:pPr>
                    <w:widowControl/>
                    <w:spacing w:line="240" w:lineRule="auto"/>
                    <w:ind w:firstLine="0" w:firstLineChars="0"/>
                    <w:jc w:val="center"/>
                    <w:textAlignment w:val="cente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园地</w:t>
                  </w:r>
                </w:p>
              </w:tc>
            </w:tr>
            <w:tr w14:paraId="53C04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84" w:type="pct"/>
                  <w:tcBorders>
                    <w:tl2br w:val="nil"/>
                    <w:tr2bl w:val="nil"/>
                  </w:tcBorders>
                  <w:noWrap w:val="0"/>
                  <w:vAlign w:val="center"/>
                </w:tcPr>
                <w:p w14:paraId="3873A3E9">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合计</w:t>
                  </w:r>
                </w:p>
              </w:tc>
              <w:tc>
                <w:tcPr>
                  <w:tcW w:w="1665" w:type="dxa"/>
                  <w:tcBorders>
                    <w:tl2br w:val="nil"/>
                    <w:tr2bl w:val="nil"/>
                  </w:tcBorders>
                  <w:noWrap w:val="0"/>
                  <w:vAlign w:val="center"/>
                </w:tcPr>
                <w:p w14:paraId="3DBD5B6A">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429</w:t>
                  </w:r>
                  <w:r>
                    <w:rPr>
                      <w:rFonts w:hint="eastAsia" w:cs="Times New Roman"/>
                      <w:color w:val="000000" w:themeColor="text1"/>
                      <w:sz w:val="21"/>
                      <w:szCs w:val="21"/>
                      <w:lang w:val="en-US" w:eastAsia="zh-CN"/>
                      <w14:textFill>
                        <w14:solidFill>
                          <w14:schemeClr w14:val="tx1"/>
                        </w14:solidFill>
                      </w14:textFill>
                    </w:rPr>
                    <w:t>40</w:t>
                  </w:r>
                </w:p>
              </w:tc>
              <w:tc>
                <w:tcPr>
                  <w:tcW w:w="1735" w:type="dxa"/>
                  <w:tcBorders>
                    <w:tl2br w:val="nil"/>
                    <w:tr2bl w:val="nil"/>
                  </w:tcBorders>
                  <w:noWrap w:val="0"/>
                  <w:vAlign w:val="center"/>
                </w:tcPr>
                <w:p w14:paraId="4380A889">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3518</w:t>
                  </w:r>
                </w:p>
              </w:tc>
              <w:tc>
                <w:tcPr>
                  <w:tcW w:w="1986" w:type="dxa"/>
                  <w:tcBorders>
                    <w:tl2br w:val="nil"/>
                    <w:tr2bl w:val="nil"/>
                  </w:tcBorders>
                  <w:noWrap w:val="0"/>
                  <w:vAlign w:val="center"/>
                </w:tcPr>
                <w:p w14:paraId="4976C0D9">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488</w:t>
                  </w:r>
                </w:p>
              </w:tc>
              <w:tc>
                <w:tcPr>
                  <w:tcW w:w="904" w:type="pct"/>
                  <w:tcBorders>
                    <w:tl2br w:val="nil"/>
                    <w:tr2bl w:val="nil"/>
                  </w:tcBorders>
                  <w:noWrap w:val="0"/>
                  <w:vAlign w:val="center"/>
                </w:tcPr>
                <w:p w14:paraId="13D113AE">
                  <w:pPr>
                    <w:pStyle w:val="28"/>
                    <w:bidi w:val="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bl>
          <w:p w14:paraId="293C2A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五</w:t>
            </w: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、项目主要设备清单</w:t>
            </w:r>
          </w:p>
          <w:p w14:paraId="54167B29">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根据《榆林市人民政府关于禁止使用高排放非道路移动机械的通告》要求，项目施工现场禁止使用高排放非道路移动机械，禁止使用未编码登记挂牌及环保检测不达标的非道路移动机械。</w:t>
            </w:r>
          </w:p>
          <w:p w14:paraId="64FB341E">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（1）钻井设备</w:t>
            </w:r>
          </w:p>
          <w:p w14:paraId="4ADF01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项目主要设备清单见表2-</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p>
          <w:p w14:paraId="3306965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表2-</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5</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 xml:space="preserve"> 项目</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单井</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主要设备清单一览表</w:t>
            </w:r>
          </w:p>
          <w:tbl>
            <w:tblPr>
              <w:tblStyle w:val="20"/>
              <w:tblW w:w="49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28" w:type="dxa"/>
                <w:bottom w:w="0" w:type="dxa"/>
                <w:right w:w="28" w:type="dxa"/>
              </w:tblCellMar>
            </w:tblPr>
            <w:tblGrid>
              <w:gridCol w:w="420"/>
              <w:gridCol w:w="955"/>
              <w:gridCol w:w="1623"/>
              <w:gridCol w:w="2221"/>
              <w:gridCol w:w="932"/>
              <w:gridCol w:w="868"/>
              <w:gridCol w:w="1368"/>
            </w:tblGrid>
            <w:tr w14:paraId="4CB542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tcBorders>
                    <w:tl2br w:val="nil"/>
                    <w:tr2bl w:val="nil"/>
                  </w:tcBorders>
                  <w:noWrap w:val="0"/>
                  <w:vAlign w:val="center"/>
                </w:tcPr>
                <w:p w14:paraId="38BE811F">
                  <w:pPr>
                    <w:adjustRightInd w:val="0"/>
                    <w:snapToGrid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1536" w:type="pct"/>
                  <w:gridSpan w:val="2"/>
                  <w:tcBorders>
                    <w:tl2br w:val="nil"/>
                    <w:tr2bl w:val="nil"/>
                  </w:tcBorders>
                  <w:noWrap w:val="0"/>
                  <w:vAlign w:val="center"/>
                </w:tcPr>
                <w:p w14:paraId="2057D9E3">
                  <w:pPr>
                    <w:adjustRightInd w:val="0"/>
                    <w:snapToGrid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设备名称</w:t>
                  </w:r>
                </w:p>
              </w:tc>
              <w:tc>
                <w:tcPr>
                  <w:tcW w:w="1323" w:type="pct"/>
                  <w:tcBorders>
                    <w:tl2br w:val="nil"/>
                    <w:tr2bl w:val="nil"/>
                  </w:tcBorders>
                  <w:noWrap w:val="0"/>
                  <w:vAlign w:val="center"/>
                </w:tcPr>
                <w:p w14:paraId="26258E27">
                  <w:pPr>
                    <w:adjustRightInd w:val="0"/>
                    <w:snapToGrid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型号</w:t>
                  </w:r>
                </w:p>
              </w:tc>
              <w:tc>
                <w:tcPr>
                  <w:tcW w:w="555" w:type="pct"/>
                  <w:tcBorders>
                    <w:tl2br w:val="nil"/>
                    <w:tr2bl w:val="nil"/>
                  </w:tcBorders>
                  <w:noWrap w:val="0"/>
                  <w:vAlign w:val="center"/>
                </w:tcPr>
                <w:p w14:paraId="741923AB">
                  <w:pPr>
                    <w:adjustRightInd w:val="0"/>
                    <w:snapToGrid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规格</w:t>
                  </w:r>
                </w:p>
              </w:tc>
              <w:tc>
                <w:tcPr>
                  <w:tcW w:w="517" w:type="pct"/>
                  <w:tcBorders>
                    <w:tl2br w:val="nil"/>
                    <w:tr2bl w:val="nil"/>
                  </w:tcBorders>
                  <w:noWrap w:val="0"/>
                  <w:vAlign w:val="center"/>
                </w:tcPr>
                <w:p w14:paraId="3C42BF3A">
                  <w:pPr>
                    <w:adjustRightInd w:val="0"/>
                    <w:snapToGrid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数量</w:t>
                  </w:r>
                </w:p>
              </w:tc>
              <w:tc>
                <w:tcPr>
                  <w:tcW w:w="815" w:type="pct"/>
                  <w:tcBorders>
                    <w:tl2br w:val="nil"/>
                    <w:tr2bl w:val="nil"/>
                  </w:tcBorders>
                  <w:noWrap w:val="0"/>
                  <w:vAlign w:val="center"/>
                </w:tcPr>
                <w:p w14:paraId="0F66A507">
                  <w:pPr>
                    <w:adjustRightInd w:val="0"/>
                    <w:snapToGrid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备注</w:t>
                  </w:r>
                </w:p>
              </w:tc>
            </w:tr>
            <w:tr w14:paraId="45BC9D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restart"/>
                  <w:tcBorders>
                    <w:tl2br w:val="nil"/>
                    <w:tr2bl w:val="nil"/>
                  </w:tcBorders>
                  <w:noWrap w:val="0"/>
                  <w:vAlign w:val="center"/>
                </w:tcPr>
                <w:p w14:paraId="5970560D">
                  <w:pPr>
                    <w:adjustRightInd w:val="0"/>
                    <w:snapToGrid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569" w:type="pct"/>
                  <w:vMerge w:val="restart"/>
                  <w:tcBorders>
                    <w:tl2br w:val="nil"/>
                    <w:tr2bl w:val="nil"/>
                  </w:tcBorders>
                  <w:noWrap w:val="0"/>
                  <w:vAlign w:val="center"/>
                </w:tcPr>
                <w:p w14:paraId="5B78486F">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钻井设备</w:t>
                  </w:r>
                </w:p>
              </w:tc>
              <w:tc>
                <w:tcPr>
                  <w:tcW w:w="966" w:type="pct"/>
                  <w:tcBorders>
                    <w:tl2br w:val="nil"/>
                    <w:tr2bl w:val="nil"/>
                  </w:tcBorders>
                  <w:noWrap w:val="0"/>
                  <w:vAlign w:val="center"/>
                </w:tcPr>
                <w:p w14:paraId="1D49A8B8">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钻机</w:t>
                  </w:r>
                </w:p>
              </w:tc>
              <w:tc>
                <w:tcPr>
                  <w:tcW w:w="1323" w:type="pct"/>
                  <w:tcBorders>
                    <w:tl2br w:val="nil"/>
                    <w:tr2bl w:val="nil"/>
                  </w:tcBorders>
                  <w:noWrap w:val="0"/>
                  <w:vAlign w:val="center"/>
                </w:tcPr>
                <w:p w14:paraId="19DB03D8">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ZJ50</w:t>
                  </w:r>
                </w:p>
              </w:tc>
              <w:tc>
                <w:tcPr>
                  <w:tcW w:w="555" w:type="pct"/>
                  <w:tcBorders>
                    <w:tl2br w:val="nil"/>
                    <w:tr2bl w:val="nil"/>
                  </w:tcBorders>
                  <w:noWrap w:val="0"/>
                  <w:vAlign w:val="center"/>
                </w:tcPr>
                <w:p w14:paraId="04943F99">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荷载315t</w:t>
                  </w:r>
                </w:p>
              </w:tc>
              <w:tc>
                <w:tcPr>
                  <w:tcW w:w="517" w:type="pct"/>
                  <w:tcBorders>
                    <w:tl2br w:val="nil"/>
                    <w:tr2bl w:val="nil"/>
                  </w:tcBorders>
                  <w:noWrap w:val="0"/>
                  <w:vAlign w:val="center"/>
                </w:tcPr>
                <w:p w14:paraId="20FB7BB8">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815" w:type="pct"/>
                  <w:tcBorders>
                    <w:tl2br w:val="nil"/>
                    <w:tr2bl w:val="nil"/>
                  </w:tcBorders>
                  <w:noWrap w:val="0"/>
                  <w:vAlign w:val="center"/>
                </w:tcPr>
                <w:p w14:paraId="58A9857B">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5C7FC7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continue"/>
                  <w:tcBorders>
                    <w:tl2br w:val="nil"/>
                    <w:tr2bl w:val="nil"/>
                  </w:tcBorders>
                  <w:noWrap w:val="0"/>
                  <w:vAlign w:val="center"/>
                </w:tcPr>
                <w:p w14:paraId="5526468D">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69" w:type="pct"/>
                  <w:vMerge w:val="continue"/>
                  <w:tcBorders>
                    <w:tl2br w:val="nil"/>
                    <w:tr2bl w:val="nil"/>
                  </w:tcBorders>
                  <w:noWrap w:val="0"/>
                  <w:vAlign w:val="center"/>
                </w:tcPr>
                <w:p w14:paraId="3E14F7B1">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966" w:type="pct"/>
                  <w:tcBorders>
                    <w:tl2br w:val="nil"/>
                    <w:tr2bl w:val="nil"/>
                  </w:tcBorders>
                  <w:noWrap w:val="0"/>
                  <w:vAlign w:val="center"/>
                </w:tcPr>
                <w:p w14:paraId="1770BD2B">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井架</w:t>
                  </w:r>
                </w:p>
              </w:tc>
              <w:tc>
                <w:tcPr>
                  <w:tcW w:w="1323" w:type="pct"/>
                  <w:tcBorders>
                    <w:tl2br w:val="nil"/>
                    <w:tr2bl w:val="nil"/>
                  </w:tcBorders>
                  <w:noWrap w:val="0"/>
                  <w:vAlign w:val="center"/>
                </w:tcPr>
                <w:p w14:paraId="1E1ECE1E">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JJ315/45-K</w:t>
                  </w:r>
                </w:p>
              </w:tc>
              <w:tc>
                <w:tcPr>
                  <w:tcW w:w="555" w:type="pct"/>
                  <w:tcBorders>
                    <w:tl2br w:val="nil"/>
                    <w:tr2bl w:val="nil"/>
                  </w:tcBorders>
                  <w:noWrap w:val="0"/>
                  <w:vAlign w:val="center"/>
                </w:tcPr>
                <w:p w14:paraId="1EC4D90F">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17" w:type="pct"/>
                  <w:tcBorders>
                    <w:tl2br w:val="nil"/>
                    <w:tr2bl w:val="nil"/>
                  </w:tcBorders>
                  <w:noWrap w:val="0"/>
                  <w:vAlign w:val="center"/>
                </w:tcPr>
                <w:p w14:paraId="2AE456C6">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815" w:type="pct"/>
                  <w:tcBorders>
                    <w:tl2br w:val="nil"/>
                    <w:tr2bl w:val="nil"/>
                  </w:tcBorders>
                  <w:noWrap w:val="0"/>
                  <w:vAlign w:val="center"/>
                </w:tcPr>
                <w:p w14:paraId="75421ED8">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009448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continue"/>
                  <w:tcBorders>
                    <w:tl2br w:val="nil"/>
                    <w:tr2bl w:val="nil"/>
                  </w:tcBorders>
                  <w:noWrap w:val="0"/>
                  <w:vAlign w:val="center"/>
                </w:tcPr>
                <w:p w14:paraId="4CA0322A">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69" w:type="pct"/>
                  <w:vMerge w:val="continue"/>
                  <w:tcBorders>
                    <w:tl2br w:val="nil"/>
                    <w:tr2bl w:val="nil"/>
                  </w:tcBorders>
                  <w:noWrap w:val="0"/>
                  <w:vAlign w:val="center"/>
                </w:tcPr>
                <w:p w14:paraId="6D3288E7">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966" w:type="pct"/>
                  <w:tcBorders>
                    <w:tl2br w:val="nil"/>
                    <w:tr2bl w:val="nil"/>
                  </w:tcBorders>
                  <w:noWrap w:val="0"/>
                  <w:vAlign w:val="center"/>
                </w:tcPr>
                <w:p w14:paraId="3094AE38">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底座</w:t>
                  </w:r>
                </w:p>
              </w:tc>
              <w:tc>
                <w:tcPr>
                  <w:tcW w:w="1323" w:type="pct"/>
                  <w:tcBorders>
                    <w:tl2br w:val="nil"/>
                    <w:tr2bl w:val="nil"/>
                  </w:tcBorders>
                  <w:noWrap w:val="0"/>
                  <w:vAlign w:val="center"/>
                </w:tcPr>
                <w:p w14:paraId="3E2364F6">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DZ450/9-S</w:t>
                  </w:r>
                  <w:r>
                    <w:rPr>
                      <w:rFonts w:hint="default" w:ascii="Times New Roman" w:hAnsi="Times New Roman" w:eastAsia="宋体" w:cs="Times New Roman"/>
                      <w:color w:val="000000" w:themeColor="text1"/>
                      <w:sz w:val="21"/>
                      <w:szCs w:val="21"/>
                      <w14:textFill>
                        <w14:solidFill>
                          <w14:schemeClr w14:val="tx1"/>
                        </w14:solidFill>
                      </w14:textFill>
                    </w:rPr>
                    <w:t>底座</w:t>
                  </w:r>
                </w:p>
              </w:tc>
              <w:tc>
                <w:tcPr>
                  <w:tcW w:w="555" w:type="pct"/>
                  <w:tcBorders>
                    <w:tl2br w:val="nil"/>
                    <w:tr2bl w:val="nil"/>
                  </w:tcBorders>
                  <w:noWrap w:val="0"/>
                  <w:vAlign w:val="center"/>
                </w:tcPr>
                <w:p w14:paraId="31AFFAD1">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17" w:type="pct"/>
                  <w:tcBorders>
                    <w:tl2br w:val="nil"/>
                    <w:tr2bl w:val="nil"/>
                  </w:tcBorders>
                  <w:noWrap w:val="0"/>
                  <w:vAlign w:val="center"/>
                </w:tcPr>
                <w:p w14:paraId="288AB531">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815" w:type="pct"/>
                  <w:tcBorders>
                    <w:tl2br w:val="nil"/>
                    <w:tr2bl w:val="nil"/>
                  </w:tcBorders>
                  <w:noWrap w:val="0"/>
                  <w:vAlign w:val="center"/>
                </w:tcPr>
                <w:p w14:paraId="5499F0E6">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1B5A1B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continue"/>
                  <w:tcBorders>
                    <w:tl2br w:val="nil"/>
                    <w:tr2bl w:val="nil"/>
                  </w:tcBorders>
                  <w:noWrap w:val="0"/>
                  <w:vAlign w:val="center"/>
                </w:tcPr>
                <w:p w14:paraId="788F3683">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69" w:type="pct"/>
                  <w:vMerge w:val="continue"/>
                  <w:tcBorders>
                    <w:tl2br w:val="nil"/>
                    <w:tr2bl w:val="nil"/>
                  </w:tcBorders>
                  <w:noWrap w:val="0"/>
                  <w:vAlign w:val="center"/>
                </w:tcPr>
                <w:p w14:paraId="156C6FB5">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966" w:type="pct"/>
                  <w:tcBorders>
                    <w:tl2br w:val="nil"/>
                    <w:tr2bl w:val="nil"/>
                  </w:tcBorders>
                  <w:noWrap w:val="0"/>
                  <w:vAlign w:val="center"/>
                </w:tcPr>
                <w:p w14:paraId="0D065107">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天车</w:t>
                  </w:r>
                </w:p>
              </w:tc>
              <w:tc>
                <w:tcPr>
                  <w:tcW w:w="1323" w:type="pct"/>
                  <w:tcBorders>
                    <w:tl2br w:val="nil"/>
                    <w:tr2bl w:val="nil"/>
                  </w:tcBorders>
                  <w:noWrap w:val="0"/>
                  <w:vAlign w:val="center"/>
                </w:tcPr>
                <w:p w14:paraId="53F9D0DE">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TC-315</w:t>
                  </w:r>
                </w:p>
              </w:tc>
              <w:tc>
                <w:tcPr>
                  <w:tcW w:w="555" w:type="pct"/>
                  <w:tcBorders>
                    <w:tl2br w:val="nil"/>
                    <w:tr2bl w:val="nil"/>
                  </w:tcBorders>
                  <w:noWrap w:val="0"/>
                  <w:vAlign w:val="center"/>
                </w:tcPr>
                <w:p w14:paraId="6A9B14A3">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517" w:type="pct"/>
                  <w:tcBorders>
                    <w:tl2br w:val="nil"/>
                    <w:tr2bl w:val="nil"/>
                  </w:tcBorders>
                  <w:noWrap w:val="0"/>
                  <w:vAlign w:val="center"/>
                </w:tcPr>
                <w:p w14:paraId="2EC4EA54">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815" w:type="pct"/>
                  <w:tcBorders>
                    <w:tl2br w:val="nil"/>
                    <w:tr2bl w:val="nil"/>
                  </w:tcBorders>
                  <w:noWrap w:val="0"/>
                  <w:vAlign w:val="center"/>
                </w:tcPr>
                <w:p w14:paraId="79823552">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76FC0A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continue"/>
                  <w:tcBorders>
                    <w:tl2br w:val="nil"/>
                    <w:tr2bl w:val="nil"/>
                  </w:tcBorders>
                  <w:noWrap w:val="0"/>
                  <w:vAlign w:val="center"/>
                </w:tcPr>
                <w:p w14:paraId="5A52FE5A">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69" w:type="pct"/>
                  <w:vMerge w:val="continue"/>
                  <w:tcBorders>
                    <w:tl2br w:val="nil"/>
                    <w:tr2bl w:val="nil"/>
                  </w:tcBorders>
                  <w:noWrap w:val="0"/>
                  <w:vAlign w:val="center"/>
                </w:tcPr>
                <w:p w14:paraId="509FB5E0">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966" w:type="pct"/>
                  <w:tcBorders>
                    <w:tl2br w:val="nil"/>
                    <w:tr2bl w:val="nil"/>
                  </w:tcBorders>
                  <w:noWrap w:val="0"/>
                  <w:vAlign w:val="center"/>
                </w:tcPr>
                <w:p w14:paraId="408609D7">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绞车</w:t>
                  </w:r>
                </w:p>
              </w:tc>
              <w:tc>
                <w:tcPr>
                  <w:tcW w:w="1323" w:type="pct"/>
                  <w:tcBorders>
                    <w:tl2br w:val="nil"/>
                    <w:tr2bl w:val="nil"/>
                  </w:tcBorders>
                  <w:noWrap w:val="0"/>
                  <w:vAlign w:val="center"/>
                </w:tcPr>
                <w:p w14:paraId="4278DC61">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JC50DB</w:t>
                  </w:r>
                </w:p>
              </w:tc>
              <w:tc>
                <w:tcPr>
                  <w:tcW w:w="555" w:type="pct"/>
                  <w:tcBorders>
                    <w:tl2br w:val="nil"/>
                    <w:tr2bl w:val="nil"/>
                  </w:tcBorders>
                  <w:noWrap w:val="0"/>
                  <w:vAlign w:val="center"/>
                </w:tcPr>
                <w:p w14:paraId="296F041F">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17" w:type="pct"/>
                  <w:tcBorders>
                    <w:tl2br w:val="nil"/>
                    <w:tr2bl w:val="nil"/>
                  </w:tcBorders>
                  <w:noWrap w:val="0"/>
                  <w:vAlign w:val="center"/>
                </w:tcPr>
                <w:p w14:paraId="5E675F14">
                  <w:pPr>
                    <w:adjustRightInd w:val="0"/>
                    <w:snapToGrid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szCs w:val="21"/>
                      <w:lang w:val="en-US"/>
                      <w14:textFill>
                        <w14:solidFill>
                          <w14:schemeClr w14:val="tx1"/>
                        </w14:solidFill>
                      </w14:textFill>
                    </w:rPr>
                    <w:t>1</w:t>
                  </w:r>
                  <w:r>
                    <w:rPr>
                      <w:rFonts w:hint="default" w:ascii="Times New Roman" w:hAnsi="Times New Roman" w:eastAsia="宋体" w:cs="Times New Roman"/>
                      <w:color w:val="000000" w:themeColor="text1"/>
                      <w:sz w:val="21"/>
                      <w:szCs w:val="21"/>
                      <w:lang w:val="en-US"/>
                      <w14:textFill>
                        <w14:solidFill>
                          <w14:schemeClr w14:val="tx1"/>
                        </w14:solidFill>
                      </w14:textFill>
                    </w:rPr>
                    <w:t>台</w:t>
                  </w:r>
                </w:p>
              </w:tc>
              <w:tc>
                <w:tcPr>
                  <w:tcW w:w="815" w:type="pct"/>
                  <w:tcBorders>
                    <w:tl2br w:val="nil"/>
                    <w:tr2bl w:val="nil"/>
                  </w:tcBorders>
                  <w:noWrap w:val="0"/>
                  <w:vAlign w:val="center"/>
                </w:tcPr>
                <w:p w14:paraId="5CC2381C">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6E72D2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continue"/>
                  <w:tcBorders>
                    <w:tl2br w:val="nil"/>
                    <w:tr2bl w:val="nil"/>
                  </w:tcBorders>
                  <w:noWrap w:val="0"/>
                  <w:vAlign w:val="center"/>
                </w:tcPr>
                <w:p w14:paraId="316179BF">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69" w:type="pct"/>
                  <w:vMerge w:val="continue"/>
                  <w:tcBorders>
                    <w:tl2br w:val="nil"/>
                    <w:tr2bl w:val="nil"/>
                  </w:tcBorders>
                  <w:noWrap w:val="0"/>
                  <w:vAlign w:val="center"/>
                </w:tcPr>
                <w:p w14:paraId="0B7CCD37">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966" w:type="pct"/>
                  <w:tcBorders>
                    <w:tl2br w:val="nil"/>
                    <w:tr2bl w:val="nil"/>
                  </w:tcBorders>
                  <w:noWrap w:val="0"/>
                  <w:vAlign w:val="center"/>
                </w:tcPr>
                <w:p w14:paraId="3F2E6E7C">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游动滑车</w:t>
                  </w:r>
                </w:p>
              </w:tc>
              <w:tc>
                <w:tcPr>
                  <w:tcW w:w="1323" w:type="pct"/>
                  <w:tcBorders>
                    <w:tl2br w:val="nil"/>
                    <w:tr2bl w:val="nil"/>
                  </w:tcBorders>
                  <w:noWrap w:val="0"/>
                  <w:vAlign w:val="center"/>
                </w:tcPr>
                <w:p w14:paraId="1FA847FB">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YC-315</w:t>
                  </w:r>
                </w:p>
              </w:tc>
              <w:tc>
                <w:tcPr>
                  <w:tcW w:w="555" w:type="pct"/>
                  <w:tcBorders>
                    <w:tl2br w:val="nil"/>
                    <w:tr2bl w:val="nil"/>
                  </w:tcBorders>
                  <w:noWrap w:val="0"/>
                  <w:vAlign w:val="center"/>
                </w:tcPr>
                <w:p w14:paraId="0CD80DCC">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17" w:type="pct"/>
                  <w:tcBorders>
                    <w:tl2br w:val="nil"/>
                    <w:tr2bl w:val="nil"/>
                  </w:tcBorders>
                  <w:noWrap w:val="0"/>
                  <w:vAlign w:val="center"/>
                </w:tcPr>
                <w:p w14:paraId="7514ECBC">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815" w:type="pct"/>
                  <w:tcBorders>
                    <w:tl2br w:val="nil"/>
                    <w:tr2bl w:val="nil"/>
                  </w:tcBorders>
                  <w:noWrap w:val="0"/>
                  <w:vAlign w:val="center"/>
                </w:tcPr>
                <w:p w14:paraId="49967725">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5EDA4C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continue"/>
                  <w:tcBorders>
                    <w:tl2br w:val="nil"/>
                    <w:tr2bl w:val="nil"/>
                  </w:tcBorders>
                  <w:noWrap w:val="0"/>
                  <w:vAlign w:val="center"/>
                </w:tcPr>
                <w:p w14:paraId="396BC536">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69" w:type="pct"/>
                  <w:vMerge w:val="continue"/>
                  <w:tcBorders>
                    <w:tl2br w:val="nil"/>
                    <w:tr2bl w:val="nil"/>
                  </w:tcBorders>
                  <w:noWrap w:val="0"/>
                  <w:vAlign w:val="center"/>
                </w:tcPr>
                <w:p w14:paraId="08F7DC82">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966" w:type="pct"/>
                  <w:tcBorders>
                    <w:tl2br w:val="nil"/>
                    <w:tr2bl w:val="nil"/>
                  </w:tcBorders>
                  <w:noWrap w:val="0"/>
                  <w:vAlign w:val="center"/>
                </w:tcPr>
                <w:p w14:paraId="354A5FA0">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大钩</w:t>
                  </w:r>
                </w:p>
              </w:tc>
              <w:tc>
                <w:tcPr>
                  <w:tcW w:w="1323" w:type="pct"/>
                  <w:tcBorders>
                    <w:tl2br w:val="nil"/>
                    <w:tr2bl w:val="nil"/>
                  </w:tcBorders>
                  <w:noWrap w:val="0"/>
                  <w:vAlign w:val="center"/>
                </w:tcPr>
                <w:p w14:paraId="5B570614">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DG-315</w:t>
                  </w:r>
                </w:p>
              </w:tc>
              <w:tc>
                <w:tcPr>
                  <w:tcW w:w="555" w:type="pct"/>
                  <w:tcBorders>
                    <w:tl2br w:val="nil"/>
                    <w:tr2bl w:val="nil"/>
                  </w:tcBorders>
                  <w:noWrap w:val="0"/>
                  <w:vAlign w:val="center"/>
                </w:tcPr>
                <w:p w14:paraId="3544DE96">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17" w:type="pct"/>
                  <w:tcBorders>
                    <w:tl2br w:val="nil"/>
                    <w:tr2bl w:val="nil"/>
                  </w:tcBorders>
                  <w:noWrap w:val="0"/>
                  <w:vAlign w:val="center"/>
                </w:tcPr>
                <w:p w14:paraId="49EE4AD2">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815" w:type="pct"/>
                  <w:tcBorders>
                    <w:tl2br w:val="nil"/>
                    <w:tr2bl w:val="nil"/>
                  </w:tcBorders>
                  <w:noWrap w:val="0"/>
                  <w:vAlign w:val="center"/>
                </w:tcPr>
                <w:p w14:paraId="2621B713">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6B5EF4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continue"/>
                  <w:tcBorders>
                    <w:tl2br w:val="nil"/>
                    <w:tr2bl w:val="nil"/>
                  </w:tcBorders>
                  <w:noWrap w:val="0"/>
                  <w:vAlign w:val="center"/>
                </w:tcPr>
                <w:p w14:paraId="2B17A4BA">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69" w:type="pct"/>
                  <w:vMerge w:val="continue"/>
                  <w:tcBorders>
                    <w:tl2br w:val="nil"/>
                    <w:tr2bl w:val="nil"/>
                  </w:tcBorders>
                  <w:noWrap w:val="0"/>
                  <w:vAlign w:val="center"/>
                </w:tcPr>
                <w:p w14:paraId="1DE75472">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966" w:type="pct"/>
                  <w:tcBorders>
                    <w:tl2br w:val="nil"/>
                    <w:tr2bl w:val="nil"/>
                  </w:tcBorders>
                  <w:noWrap w:val="0"/>
                  <w:vAlign w:val="center"/>
                </w:tcPr>
                <w:p w14:paraId="5E664041">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转盘</w:t>
                  </w:r>
                </w:p>
              </w:tc>
              <w:tc>
                <w:tcPr>
                  <w:tcW w:w="1323" w:type="pct"/>
                  <w:tcBorders>
                    <w:tl2br w:val="nil"/>
                    <w:tr2bl w:val="nil"/>
                  </w:tcBorders>
                  <w:noWrap w:val="0"/>
                  <w:vAlign w:val="center"/>
                </w:tcPr>
                <w:p w14:paraId="4CAE9314">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ZP-275</w:t>
                  </w:r>
                </w:p>
              </w:tc>
              <w:tc>
                <w:tcPr>
                  <w:tcW w:w="555" w:type="pct"/>
                  <w:tcBorders>
                    <w:tl2br w:val="nil"/>
                    <w:tr2bl w:val="nil"/>
                  </w:tcBorders>
                  <w:noWrap w:val="0"/>
                  <w:vAlign w:val="center"/>
                </w:tcPr>
                <w:p w14:paraId="7D4B1D48">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17" w:type="pct"/>
                  <w:tcBorders>
                    <w:tl2br w:val="nil"/>
                    <w:tr2bl w:val="nil"/>
                  </w:tcBorders>
                  <w:noWrap w:val="0"/>
                  <w:vAlign w:val="center"/>
                </w:tcPr>
                <w:p w14:paraId="0A4A7668">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815" w:type="pct"/>
                  <w:tcBorders>
                    <w:tl2br w:val="nil"/>
                    <w:tr2bl w:val="nil"/>
                  </w:tcBorders>
                  <w:noWrap w:val="0"/>
                  <w:vAlign w:val="center"/>
                </w:tcPr>
                <w:p w14:paraId="43F3B625">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2A5343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continue"/>
                  <w:tcBorders>
                    <w:tl2br w:val="nil"/>
                    <w:tr2bl w:val="nil"/>
                  </w:tcBorders>
                  <w:noWrap w:val="0"/>
                  <w:vAlign w:val="center"/>
                </w:tcPr>
                <w:p w14:paraId="765DCFA1">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69" w:type="pct"/>
                  <w:vMerge w:val="continue"/>
                  <w:tcBorders>
                    <w:tl2br w:val="nil"/>
                    <w:tr2bl w:val="nil"/>
                  </w:tcBorders>
                  <w:noWrap w:val="0"/>
                  <w:vAlign w:val="center"/>
                </w:tcPr>
                <w:p w14:paraId="17F9BBB9">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966" w:type="pct"/>
                  <w:tcBorders>
                    <w:tl2br w:val="nil"/>
                    <w:tr2bl w:val="nil"/>
                  </w:tcBorders>
                  <w:noWrap w:val="0"/>
                  <w:vAlign w:val="center"/>
                </w:tcPr>
                <w:p w14:paraId="4CF66307">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泥浆泵</w:t>
                  </w:r>
                </w:p>
              </w:tc>
              <w:tc>
                <w:tcPr>
                  <w:tcW w:w="1323" w:type="pct"/>
                  <w:tcBorders>
                    <w:tl2br w:val="nil"/>
                    <w:tr2bl w:val="nil"/>
                  </w:tcBorders>
                  <w:noWrap w:val="0"/>
                  <w:vAlign w:val="center"/>
                </w:tcPr>
                <w:p w14:paraId="2E10947A">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F-1600</w:t>
                  </w:r>
                </w:p>
              </w:tc>
              <w:tc>
                <w:tcPr>
                  <w:tcW w:w="555" w:type="pct"/>
                  <w:tcBorders>
                    <w:tl2br w:val="nil"/>
                    <w:tr2bl w:val="nil"/>
                  </w:tcBorders>
                  <w:noWrap w:val="0"/>
                  <w:vAlign w:val="center"/>
                </w:tcPr>
                <w:p w14:paraId="6A68007B">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17" w:type="pct"/>
                  <w:tcBorders>
                    <w:tl2br w:val="nil"/>
                    <w:tr2bl w:val="nil"/>
                  </w:tcBorders>
                  <w:noWrap w:val="0"/>
                  <w:vAlign w:val="center"/>
                </w:tcPr>
                <w:p w14:paraId="21E9090C">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815" w:type="pct"/>
                  <w:tcBorders>
                    <w:tl2br w:val="nil"/>
                    <w:tr2bl w:val="nil"/>
                  </w:tcBorders>
                  <w:noWrap w:val="0"/>
                  <w:vAlign w:val="center"/>
                </w:tcPr>
                <w:p w14:paraId="2DCE06E9">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198AF5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continue"/>
                  <w:tcBorders>
                    <w:tl2br w:val="nil"/>
                    <w:tr2bl w:val="nil"/>
                  </w:tcBorders>
                  <w:noWrap w:val="0"/>
                  <w:vAlign w:val="center"/>
                </w:tcPr>
                <w:p w14:paraId="76B9D3D7">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69" w:type="pct"/>
                  <w:vMerge w:val="continue"/>
                  <w:tcBorders>
                    <w:tl2br w:val="nil"/>
                    <w:tr2bl w:val="nil"/>
                  </w:tcBorders>
                  <w:noWrap w:val="0"/>
                  <w:vAlign w:val="center"/>
                </w:tcPr>
                <w:p w14:paraId="6A6AF5FB">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966" w:type="pct"/>
                  <w:tcBorders>
                    <w:tl2br w:val="nil"/>
                    <w:tr2bl w:val="nil"/>
                  </w:tcBorders>
                  <w:noWrap w:val="0"/>
                  <w:vAlign w:val="center"/>
                </w:tcPr>
                <w:p w14:paraId="6072F0A3">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除砂器</w:t>
                  </w:r>
                </w:p>
              </w:tc>
              <w:tc>
                <w:tcPr>
                  <w:tcW w:w="1323" w:type="pct"/>
                  <w:tcBorders>
                    <w:tl2br w:val="nil"/>
                    <w:tr2bl w:val="nil"/>
                  </w:tcBorders>
                  <w:noWrap w:val="0"/>
                  <w:vAlign w:val="center"/>
                </w:tcPr>
                <w:p w14:paraId="1BA4387D">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ZQJ250×2</w:t>
                  </w:r>
                </w:p>
              </w:tc>
              <w:tc>
                <w:tcPr>
                  <w:tcW w:w="555" w:type="pct"/>
                  <w:tcBorders>
                    <w:tl2br w:val="nil"/>
                    <w:tr2bl w:val="nil"/>
                  </w:tcBorders>
                  <w:noWrap w:val="0"/>
                  <w:vAlign w:val="center"/>
                </w:tcPr>
                <w:p w14:paraId="44F3C841">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17" w:type="pct"/>
                  <w:tcBorders>
                    <w:tl2br w:val="nil"/>
                    <w:tr2bl w:val="nil"/>
                  </w:tcBorders>
                  <w:noWrap w:val="0"/>
                  <w:vAlign w:val="center"/>
                </w:tcPr>
                <w:p w14:paraId="1A44DE21">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815" w:type="pct"/>
                  <w:tcBorders>
                    <w:tl2br w:val="nil"/>
                    <w:tr2bl w:val="nil"/>
                  </w:tcBorders>
                  <w:noWrap w:val="0"/>
                  <w:vAlign w:val="center"/>
                </w:tcPr>
                <w:p w14:paraId="3B03E2FF">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3C965E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continue"/>
                  <w:tcBorders>
                    <w:tl2br w:val="nil"/>
                    <w:tr2bl w:val="nil"/>
                  </w:tcBorders>
                  <w:noWrap w:val="0"/>
                  <w:vAlign w:val="center"/>
                </w:tcPr>
                <w:p w14:paraId="792707B4">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69" w:type="pct"/>
                  <w:vMerge w:val="continue"/>
                  <w:tcBorders>
                    <w:tl2br w:val="nil"/>
                    <w:tr2bl w:val="nil"/>
                  </w:tcBorders>
                  <w:noWrap w:val="0"/>
                  <w:vAlign w:val="center"/>
                </w:tcPr>
                <w:p w14:paraId="348AD0D6">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966" w:type="pct"/>
                  <w:tcBorders>
                    <w:tl2br w:val="nil"/>
                    <w:tr2bl w:val="nil"/>
                  </w:tcBorders>
                  <w:noWrap w:val="0"/>
                  <w:vAlign w:val="center"/>
                </w:tcPr>
                <w:p w14:paraId="26178F59">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除泥器</w:t>
                  </w:r>
                </w:p>
              </w:tc>
              <w:tc>
                <w:tcPr>
                  <w:tcW w:w="1323" w:type="pct"/>
                  <w:tcBorders>
                    <w:tl2br w:val="nil"/>
                    <w:tr2bl w:val="nil"/>
                  </w:tcBorders>
                  <w:noWrap w:val="0"/>
                  <w:vAlign w:val="center"/>
                </w:tcPr>
                <w:p w14:paraId="5DA81C28">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ZQJ100×10</w:t>
                  </w:r>
                </w:p>
              </w:tc>
              <w:tc>
                <w:tcPr>
                  <w:tcW w:w="555" w:type="pct"/>
                  <w:tcBorders>
                    <w:tl2br w:val="nil"/>
                    <w:tr2bl w:val="nil"/>
                  </w:tcBorders>
                  <w:noWrap w:val="0"/>
                  <w:vAlign w:val="center"/>
                </w:tcPr>
                <w:p w14:paraId="7890FF21">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17" w:type="pct"/>
                  <w:tcBorders>
                    <w:tl2br w:val="nil"/>
                    <w:tr2bl w:val="nil"/>
                  </w:tcBorders>
                  <w:noWrap w:val="0"/>
                  <w:vAlign w:val="center"/>
                </w:tcPr>
                <w:p w14:paraId="3CED62D2">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815" w:type="pct"/>
                  <w:tcBorders>
                    <w:tl2br w:val="nil"/>
                    <w:tr2bl w:val="nil"/>
                  </w:tcBorders>
                  <w:noWrap w:val="0"/>
                  <w:vAlign w:val="center"/>
                </w:tcPr>
                <w:p w14:paraId="6AD8C47F">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675F10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continue"/>
                  <w:tcBorders>
                    <w:tl2br w:val="nil"/>
                    <w:tr2bl w:val="nil"/>
                  </w:tcBorders>
                  <w:noWrap w:val="0"/>
                  <w:vAlign w:val="center"/>
                </w:tcPr>
                <w:p w14:paraId="37EA5E7D">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69" w:type="pct"/>
                  <w:vMerge w:val="continue"/>
                  <w:tcBorders>
                    <w:tl2br w:val="nil"/>
                    <w:tr2bl w:val="nil"/>
                  </w:tcBorders>
                  <w:noWrap w:val="0"/>
                  <w:vAlign w:val="center"/>
                </w:tcPr>
                <w:p w14:paraId="73F68B65">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966" w:type="pct"/>
                  <w:tcBorders>
                    <w:tl2br w:val="nil"/>
                    <w:tr2bl w:val="nil"/>
                  </w:tcBorders>
                  <w:noWrap w:val="0"/>
                  <w:vAlign w:val="center"/>
                </w:tcPr>
                <w:p w14:paraId="24AA8F1B">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离心机</w:t>
                  </w:r>
                </w:p>
              </w:tc>
              <w:tc>
                <w:tcPr>
                  <w:tcW w:w="1323" w:type="pct"/>
                  <w:tcBorders>
                    <w:tl2br w:val="nil"/>
                    <w:tr2bl w:val="nil"/>
                  </w:tcBorders>
                  <w:noWrap w:val="0"/>
                  <w:vAlign w:val="center"/>
                </w:tcPr>
                <w:p w14:paraId="50F6392F">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LW600</w:t>
                  </w:r>
                </w:p>
              </w:tc>
              <w:tc>
                <w:tcPr>
                  <w:tcW w:w="555" w:type="pct"/>
                  <w:tcBorders>
                    <w:tl2br w:val="nil"/>
                    <w:tr2bl w:val="nil"/>
                  </w:tcBorders>
                  <w:noWrap w:val="0"/>
                  <w:vAlign w:val="center"/>
                </w:tcPr>
                <w:p w14:paraId="15A8D6F2">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17" w:type="pct"/>
                  <w:tcBorders>
                    <w:tl2br w:val="nil"/>
                    <w:tr2bl w:val="nil"/>
                  </w:tcBorders>
                  <w:noWrap w:val="0"/>
                  <w:vAlign w:val="center"/>
                </w:tcPr>
                <w:p w14:paraId="159DF28F">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815" w:type="pct"/>
                  <w:tcBorders>
                    <w:tl2br w:val="nil"/>
                    <w:tr2bl w:val="nil"/>
                  </w:tcBorders>
                  <w:noWrap w:val="0"/>
                  <w:vAlign w:val="center"/>
                </w:tcPr>
                <w:p w14:paraId="3A38B443">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69C8C4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continue"/>
                  <w:tcBorders>
                    <w:tl2br w:val="nil"/>
                    <w:tr2bl w:val="nil"/>
                  </w:tcBorders>
                  <w:noWrap w:val="0"/>
                  <w:vAlign w:val="center"/>
                </w:tcPr>
                <w:p w14:paraId="4555605C">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69" w:type="pct"/>
                  <w:vMerge w:val="continue"/>
                  <w:tcBorders>
                    <w:tl2br w:val="nil"/>
                    <w:tr2bl w:val="nil"/>
                  </w:tcBorders>
                  <w:noWrap w:val="0"/>
                  <w:vAlign w:val="center"/>
                </w:tcPr>
                <w:p w14:paraId="6ADD77E2">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966" w:type="pct"/>
                  <w:tcBorders>
                    <w:tl2br w:val="nil"/>
                    <w:tr2bl w:val="nil"/>
                  </w:tcBorders>
                  <w:noWrap w:val="0"/>
                  <w:vAlign w:val="center"/>
                </w:tcPr>
                <w:p w14:paraId="1856F629">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除气器</w:t>
                  </w:r>
                </w:p>
              </w:tc>
              <w:tc>
                <w:tcPr>
                  <w:tcW w:w="1323" w:type="pct"/>
                  <w:tcBorders>
                    <w:tl2br w:val="nil"/>
                    <w:tr2bl w:val="nil"/>
                  </w:tcBorders>
                  <w:noWrap w:val="0"/>
                  <w:vAlign w:val="center"/>
                </w:tcPr>
                <w:p w14:paraId="1775BE10">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CQ1/4</w:t>
                  </w:r>
                </w:p>
              </w:tc>
              <w:tc>
                <w:tcPr>
                  <w:tcW w:w="555" w:type="pct"/>
                  <w:tcBorders>
                    <w:tl2br w:val="nil"/>
                    <w:tr2bl w:val="nil"/>
                  </w:tcBorders>
                  <w:noWrap w:val="0"/>
                  <w:vAlign w:val="center"/>
                </w:tcPr>
                <w:p w14:paraId="34464688">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17" w:type="pct"/>
                  <w:tcBorders>
                    <w:tl2br w:val="nil"/>
                    <w:tr2bl w:val="nil"/>
                  </w:tcBorders>
                  <w:noWrap w:val="0"/>
                  <w:vAlign w:val="center"/>
                </w:tcPr>
                <w:p w14:paraId="6830E6F1">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815" w:type="pct"/>
                  <w:tcBorders>
                    <w:tl2br w:val="nil"/>
                    <w:tr2bl w:val="nil"/>
                  </w:tcBorders>
                  <w:noWrap w:val="0"/>
                  <w:vAlign w:val="center"/>
                </w:tcPr>
                <w:p w14:paraId="1D40B56E">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3B5D2B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continue"/>
                  <w:tcBorders>
                    <w:tl2br w:val="nil"/>
                    <w:tr2bl w:val="nil"/>
                  </w:tcBorders>
                  <w:noWrap w:val="0"/>
                  <w:vAlign w:val="center"/>
                </w:tcPr>
                <w:p w14:paraId="01D59EB5">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69" w:type="pct"/>
                  <w:vMerge w:val="continue"/>
                  <w:tcBorders>
                    <w:tl2br w:val="nil"/>
                    <w:tr2bl w:val="nil"/>
                  </w:tcBorders>
                  <w:noWrap w:val="0"/>
                  <w:vAlign w:val="center"/>
                </w:tcPr>
                <w:p w14:paraId="4F5FD6BE">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966" w:type="pct"/>
                  <w:tcBorders>
                    <w:tl2br w:val="nil"/>
                    <w:tr2bl w:val="nil"/>
                  </w:tcBorders>
                  <w:noWrap w:val="0"/>
                  <w:vAlign w:val="center"/>
                </w:tcPr>
                <w:p w14:paraId="0FA32221">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振动筛</w:t>
                  </w:r>
                </w:p>
              </w:tc>
              <w:tc>
                <w:tcPr>
                  <w:tcW w:w="1323" w:type="pct"/>
                  <w:tcBorders>
                    <w:tl2br w:val="nil"/>
                    <w:tr2bl w:val="nil"/>
                  </w:tcBorders>
                  <w:noWrap w:val="0"/>
                  <w:vAlign w:val="center"/>
                </w:tcPr>
                <w:p w14:paraId="19DF24DC">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CQ-2</w:t>
                  </w:r>
                </w:p>
              </w:tc>
              <w:tc>
                <w:tcPr>
                  <w:tcW w:w="555" w:type="pct"/>
                  <w:tcBorders>
                    <w:tl2br w:val="nil"/>
                    <w:tr2bl w:val="nil"/>
                  </w:tcBorders>
                  <w:noWrap w:val="0"/>
                  <w:vAlign w:val="center"/>
                </w:tcPr>
                <w:p w14:paraId="73983140">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17" w:type="pct"/>
                  <w:tcBorders>
                    <w:tl2br w:val="nil"/>
                    <w:tr2bl w:val="nil"/>
                  </w:tcBorders>
                  <w:noWrap w:val="0"/>
                  <w:vAlign w:val="center"/>
                </w:tcPr>
                <w:p w14:paraId="422D4F34">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815" w:type="pct"/>
                  <w:tcBorders>
                    <w:tl2br w:val="nil"/>
                    <w:tr2bl w:val="nil"/>
                  </w:tcBorders>
                  <w:noWrap w:val="0"/>
                  <w:vAlign w:val="center"/>
                </w:tcPr>
                <w:p w14:paraId="2D67230E">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0FA6CF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continue"/>
                  <w:tcBorders>
                    <w:tl2br w:val="nil"/>
                    <w:tr2bl w:val="nil"/>
                  </w:tcBorders>
                  <w:noWrap w:val="0"/>
                  <w:vAlign w:val="center"/>
                </w:tcPr>
                <w:p w14:paraId="1697CECA">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69" w:type="pct"/>
                  <w:vMerge w:val="continue"/>
                  <w:tcBorders>
                    <w:tl2br w:val="nil"/>
                    <w:tr2bl w:val="nil"/>
                  </w:tcBorders>
                  <w:noWrap w:val="0"/>
                  <w:vAlign w:val="center"/>
                </w:tcPr>
                <w:p w14:paraId="62DA54E8">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966" w:type="pct"/>
                  <w:tcBorders>
                    <w:tl2br w:val="nil"/>
                    <w:tr2bl w:val="nil"/>
                  </w:tcBorders>
                  <w:noWrap w:val="0"/>
                  <w:vAlign w:val="center"/>
                </w:tcPr>
                <w:p w14:paraId="41FC1028">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漏斗</w:t>
                  </w:r>
                </w:p>
              </w:tc>
              <w:tc>
                <w:tcPr>
                  <w:tcW w:w="1323" w:type="pct"/>
                  <w:tcBorders>
                    <w:tl2br w:val="nil"/>
                    <w:tr2bl w:val="nil"/>
                  </w:tcBorders>
                  <w:noWrap w:val="0"/>
                  <w:vAlign w:val="center"/>
                </w:tcPr>
                <w:p w14:paraId="0FF58A34">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55" w:type="pct"/>
                  <w:tcBorders>
                    <w:tl2br w:val="nil"/>
                    <w:tr2bl w:val="nil"/>
                  </w:tcBorders>
                  <w:noWrap w:val="0"/>
                  <w:vAlign w:val="center"/>
                </w:tcPr>
                <w:p w14:paraId="06395488">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17" w:type="pct"/>
                  <w:tcBorders>
                    <w:tl2br w:val="nil"/>
                    <w:tr2bl w:val="nil"/>
                  </w:tcBorders>
                  <w:noWrap w:val="0"/>
                  <w:vAlign w:val="center"/>
                </w:tcPr>
                <w:p w14:paraId="42E9E8A5">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815" w:type="pct"/>
                  <w:tcBorders>
                    <w:tl2br w:val="nil"/>
                    <w:tr2bl w:val="nil"/>
                  </w:tcBorders>
                  <w:noWrap w:val="0"/>
                  <w:vAlign w:val="center"/>
                </w:tcPr>
                <w:p w14:paraId="4BEA721E">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298E24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continue"/>
                  <w:tcBorders>
                    <w:tl2br w:val="nil"/>
                    <w:tr2bl w:val="nil"/>
                  </w:tcBorders>
                  <w:noWrap w:val="0"/>
                  <w:vAlign w:val="center"/>
                </w:tcPr>
                <w:p w14:paraId="20183B0D">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69" w:type="pct"/>
                  <w:vMerge w:val="continue"/>
                  <w:tcBorders>
                    <w:tl2br w:val="nil"/>
                    <w:tr2bl w:val="nil"/>
                  </w:tcBorders>
                  <w:noWrap w:val="0"/>
                  <w:vAlign w:val="center"/>
                </w:tcPr>
                <w:p w14:paraId="5EC1A16F">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966" w:type="pct"/>
                  <w:tcBorders>
                    <w:tl2br w:val="nil"/>
                    <w:tr2bl w:val="nil"/>
                  </w:tcBorders>
                  <w:noWrap w:val="0"/>
                  <w:vAlign w:val="center"/>
                </w:tcPr>
                <w:p w14:paraId="177C38F4">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加重泵</w:t>
                  </w:r>
                </w:p>
              </w:tc>
              <w:tc>
                <w:tcPr>
                  <w:tcW w:w="1323" w:type="pct"/>
                  <w:tcBorders>
                    <w:tl2br w:val="nil"/>
                    <w:tr2bl w:val="nil"/>
                  </w:tcBorders>
                  <w:noWrap w:val="0"/>
                  <w:vAlign w:val="center"/>
                </w:tcPr>
                <w:p w14:paraId="3C379567">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55" w:type="pct"/>
                  <w:tcBorders>
                    <w:tl2br w:val="nil"/>
                    <w:tr2bl w:val="nil"/>
                  </w:tcBorders>
                  <w:noWrap w:val="0"/>
                  <w:vAlign w:val="center"/>
                </w:tcPr>
                <w:p w14:paraId="05079905">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17" w:type="pct"/>
                  <w:tcBorders>
                    <w:tl2br w:val="nil"/>
                    <w:tr2bl w:val="nil"/>
                  </w:tcBorders>
                  <w:noWrap w:val="0"/>
                  <w:vAlign w:val="center"/>
                </w:tcPr>
                <w:p w14:paraId="76B553C9">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815" w:type="pct"/>
                  <w:tcBorders>
                    <w:tl2br w:val="nil"/>
                    <w:tr2bl w:val="nil"/>
                  </w:tcBorders>
                  <w:noWrap w:val="0"/>
                  <w:vAlign w:val="center"/>
                </w:tcPr>
                <w:p w14:paraId="0B15ED55">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6F83BB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restart"/>
                  <w:tcBorders>
                    <w:tl2br w:val="nil"/>
                    <w:tr2bl w:val="nil"/>
                  </w:tcBorders>
                  <w:noWrap w:val="0"/>
                  <w:vAlign w:val="center"/>
                </w:tcPr>
                <w:p w14:paraId="06E85716">
                  <w:pPr>
                    <w:adjustRightInd w:val="0"/>
                    <w:snapToGrid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569" w:type="pct"/>
                  <w:vMerge w:val="restart"/>
                  <w:tcBorders>
                    <w:tl2br w:val="nil"/>
                    <w:tr2bl w:val="nil"/>
                  </w:tcBorders>
                  <w:noWrap w:val="0"/>
                  <w:vAlign w:val="center"/>
                </w:tcPr>
                <w:p w14:paraId="00544554">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钻机控制系统</w:t>
                  </w:r>
                </w:p>
              </w:tc>
              <w:tc>
                <w:tcPr>
                  <w:tcW w:w="966" w:type="pct"/>
                  <w:tcBorders>
                    <w:tl2br w:val="nil"/>
                    <w:tr2bl w:val="nil"/>
                  </w:tcBorders>
                  <w:noWrap w:val="0"/>
                  <w:vAlign w:val="center"/>
                </w:tcPr>
                <w:p w14:paraId="40B26A37">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自动压风机</w:t>
                  </w:r>
                </w:p>
              </w:tc>
              <w:tc>
                <w:tcPr>
                  <w:tcW w:w="1323" w:type="pct"/>
                  <w:tcBorders>
                    <w:tl2br w:val="nil"/>
                    <w:tr2bl w:val="nil"/>
                  </w:tcBorders>
                  <w:noWrap w:val="0"/>
                  <w:vAlign w:val="center"/>
                </w:tcPr>
                <w:p w14:paraId="5F931350">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2V-</w:t>
                  </w:r>
                  <w:r>
                    <w:rPr>
                      <w:rFonts w:hint="default" w:ascii="Times New Roman" w:hAnsi="Times New Roman" w:eastAsia="宋体" w:cs="Times New Roman"/>
                      <w:color w:val="000000" w:themeColor="text1"/>
                      <w:sz w:val="21"/>
                      <w:szCs w:val="21"/>
                      <w:lang w:eastAsia="zh-CN"/>
                      <w14:textFill>
                        <w14:solidFill>
                          <w14:schemeClr w14:val="tx1"/>
                        </w14:solidFill>
                      </w14:textFill>
                    </w:rPr>
                    <w:t>7</w:t>
                  </w:r>
                  <w:r>
                    <w:rPr>
                      <w:rFonts w:hint="default" w:ascii="Times New Roman" w:hAnsi="Times New Roman" w:cs="Times New Roman"/>
                      <w:color w:val="000000" w:themeColor="text1"/>
                      <w:sz w:val="21"/>
                      <w:szCs w:val="21"/>
                      <w14:textFill>
                        <w14:solidFill>
                          <w14:schemeClr w14:val="tx1"/>
                        </w14:solidFill>
                      </w14:textFill>
                    </w:rPr>
                    <w:t>-12</w:t>
                  </w:r>
                </w:p>
              </w:tc>
              <w:tc>
                <w:tcPr>
                  <w:tcW w:w="555" w:type="pct"/>
                  <w:tcBorders>
                    <w:tl2br w:val="nil"/>
                    <w:tr2bl w:val="nil"/>
                  </w:tcBorders>
                  <w:noWrap w:val="0"/>
                  <w:vAlign w:val="center"/>
                </w:tcPr>
                <w:p w14:paraId="5A13B422">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17" w:type="pct"/>
                  <w:tcBorders>
                    <w:tl2br w:val="nil"/>
                    <w:tr2bl w:val="nil"/>
                  </w:tcBorders>
                  <w:noWrap w:val="0"/>
                  <w:vAlign w:val="center"/>
                </w:tcPr>
                <w:p w14:paraId="34B54D13">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815" w:type="pct"/>
                  <w:tcBorders>
                    <w:tl2br w:val="nil"/>
                    <w:tr2bl w:val="nil"/>
                  </w:tcBorders>
                  <w:noWrap w:val="0"/>
                  <w:vAlign w:val="center"/>
                </w:tcPr>
                <w:p w14:paraId="0DFC3EFD">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32C360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continue"/>
                  <w:tcBorders>
                    <w:tl2br w:val="nil"/>
                    <w:tr2bl w:val="nil"/>
                  </w:tcBorders>
                  <w:noWrap w:val="0"/>
                  <w:vAlign w:val="center"/>
                </w:tcPr>
                <w:p w14:paraId="092F38B9">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69" w:type="pct"/>
                  <w:vMerge w:val="continue"/>
                  <w:tcBorders>
                    <w:tl2br w:val="nil"/>
                    <w:tr2bl w:val="nil"/>
                  </w:tcBorders>
                  <w:noWrap w:val="0"/>
                  <w:vAlign w:val="center"/>
                </w:tcPr>
                <w:p w14:paraId="0E9CF23C">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966" w:type="pct"/>
                  <w:tcBorders>
                    <w:tl2br w:val="nil"/>
                    <w:tr2bl w:val="nil"/>
                  </w:tcBorders>
                  <w:noWrap w:val="0"/>
                  <w:vAlign w:val="center"/>
                </w:tcPr>
                <w:p w14:paraId="6C1CF0B9">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电动压风机</w:t>
                  </w:r>
                </w:p>
              </w:tc>
              <w:tc>
                <w:tcPr>
                  <w:tcW w:w="1323" w:type="pct"/>
                  <w:tcBorders>
                    <w:tl2br w:val="nil"/>
                    <w:tr2bl w:val="nil"/>
                  </w:tcBorders>
                  <w:noWrap w:val="0"/>
                  <w:vAlign w:val="center"/>
                </w:tcPr>
                <w:p w14:paraId="14E776DD">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2V-</w:t>
                  </w:r>
                  <w:r>
                    <w:rPr>
                      <w:rFonts w:hint="default" w:ascii="Times New Roman" w:hAnsi="Times New Roman" w:eastAsia="宋体" w:cs="Times New Roman"/>
                      <w:color w:val="000000" w:themeColor="text1"/>
                      <w:sz w:val="21"/>
                      <w:szCs w:val="21"/>
                      <w:lang w:eastAsia="zh-CN"/>
                      <w14:textFill>
                        <w14:solidFill>
                          <w14:schemeClr w14:val="tx1"/>
                        </w14:solidFill>
                      </w14:textFill>
                    </w:rPr>
                    <w:t>7</w:t>
                  </w:r>
                  <w:r>
                    <w:rPr>
                      <w:rFonts w:hint="default" w:ascii="Times New Roman" w:hAnsi="Times New Roman" w:cs="Times New Roman"/>
                      <w:color w:val="000000" w:themeColor="text1"/>
                      <w:sz w:val="21"/>
                      <w:szCs w:val="21"/>
                      <w14:textFill>
                        <w14:solidFill>
                          <w14:schemeClr w14:val="tx1"/>
                        </w14:solidFill>
                      </w14:textFill>
                    </w:rPr>
                    <w:t>-12</w:t>
                  </w:r>
                </w:p>
              </w:tc>
              <w:tc>
                <w:tcPr>
                  <w:tcW w:w="555" w:type="pct"/>
                  <w:tcBorders>
                    <w:tl2br w:val="nil"/>
                    <w:tr2bl w:val="nil"/>
                  </w:tcBorders>
                  <w:noWrap w:val="0"/>
                  <w:vAlign w:val="center"/>
                </w:tcPr>
                <w:p w14:paraId="4F83FB6F">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17" w:type="pct"/>
                  <w:tcBorders>
                    <w:tl2br w:val="nil"/>
                    <w:tr2bl w:val="nil"/>
                  </w:tcBorders>
                  <w:noWrap w:val="0"/>
                  <w:vAlign w:val="center"/>
                </w:tcPr>
                <w:p w14:paraId="62A9D5FC">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815" w:type="pct"/>
                  <w:tcBorders>
                    <w:tl2br w:val="nil"/>
                    <w:tr2bl w:val="nil"/>
                  </w:tcBorders>
                  <w:noWrap w:val="0"/>
                  <w:vAlign w:val="center"/>
                </w:tcPr>
                <w:p w14:paraId="74C9E43A">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5651DE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continue"/>
                  <w:tcBorders>
                    <w:tl2br w:val="nil"/>
                    <w:tr2bl w:val="nil"/>
                  </w:tcBorders>
                  <w:noWrap w:val="0"/>
                  <w:vAlign w:val="center"/>
                </w:tcPr>
                <w:p w14:paraId="0E10A31B">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69" w:type="pct"/>
                  <w:vMerge w:val="continue"/>
                  <w:tcBorders>
                    <w:tl2br w:val="nil"/>
                    <w:tr2bl w:val="nil"/>
                  </w:tcBorders>
                  <w:noWrap w:val="0"/>
                  <w:vAlign w:val="center"/>
                </w:tcPr>
                <w:p w14:paraId="17A58D91">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966" w:type="pct"/>
                  <w:tcBorders>
                    <w:tl2br w:val="nil"/>
                    <w:tr2bl w:val="nil"/>
                  </w:tcBorders>
                  <w:noWrap w:val="0"/>
                  <w:vAlign w:val="center"/>
                </w:tcPr>
                <w:p w14:paraId="1083BECB">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刹车系统</w:t>
                  </w:r>
                </w:p>
              </w:tc>
              <w:tc>
                <w:tcPr>
                  <w:tcW w:w="1323" w:type="pct"/>
                  <w:tcBorders>
                    <w:tl2br w:val="nil"/>
                    <w:tr2bl w:val="nil"/>
                  </w:tcBorders>
                  <w:noWrap w:val="0"/>
                  <w:vAlign w:val="center"/>
                </w:tcPr>
                <w:p w14:paraId="4A59522A">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PSZ75</w:t>
                  </w:r>
                  <w:r>
                    <w:rPr>
                      <w:rFonts w:hint="default" w:ascii="Times New Roman" w:hAnsi="Times New Roman" w:eastAsia="宋体" w:cs="Times New Roman"/>
                      <w:color w:val="000000" w:themeColor="text1"/>
                      <w:sz w:val="21"/>
                      <w:szCs w:val="21"/>
                      <w14:textFill>
                        <w14:solidFill>
                          <w14:schemeClr w14:val="tx1"/>
                        </w14:solidFill>
                      </w14:textFill>
                    </w:rPr>
                    <w:t>液压盘刹车系统</w:t>
                  </w:r>
                </w:p>
              </w:tc>
              <w:tc>
                <w:tcPr>
                  <w:tcW w:w="555" w:type="pct"/>
                  <w:tcBorders>
                    <w:tl2br w:val="nil"/>
                    <w:tr2bl w:val="nil"/>
                  </w:tcBorders>
                  <w:noWrap w:val="0"/>
                  <w:vAlign w:val="center"/>
                </w:tcPr>
                <w:p w14:paraId="0914F46F">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17" w:type="pct"/>
                  <w:tcBorders>
                    <w:tl2br w:val="nil"/>
                    <w:tr2bl w:val="nil"/>
                  </w:tcBorders>
                  <w:noWrap w:val="0"/>
                  <w:vAlign w:val="center"/>
                </w:tcPr>
                <w:p w14:paraId="3A5D48C6">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815" w:type="pct"/>
                  <w:tcBorders>
                    <w:tl2br w:val="nil"/>
                    <w:tr2bl w:val="nil"/>
                  </w:tcBorders>
                  <w:noWrap w:val="0"/>
                  <w:vAlign w:val="center"/>
                </w:tcPr>
                <w:p w14:paraId="676E4918">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026C92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continue"/>
                  <w:tcBorders>
                    <w:tl2br w:val="nil"/>
                    <w:tr2bl w:val="nil"/>
                  </w:tcBorders>
                  <w:noWrap w:val="0"/>
                  <w:vAlign w:val="center"/>
                </w:tcPr>
                <w:p w14:paraId="06536D04">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69" w:type="pct"/>
                  <w:vMerge w:val="continue"/>
                  <w:tcBorders>
                    <w:tl2br w:val="nil"/>
                    <w:tr2bl w:val="nil"/>
                  </w:tcBorders>
                  <w:noWrap w:val="0"/>
                  <w:vAlign w:val="center"/>
                </w:tcPr>
                <w:p w14:paraId="5FBB62AF">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966" w:type="pct"/>
                  <w:tcBorders>
                    <w:tl2br w:val="nil"/>
                    <w:tr2bl w:val="nil"/>
                  </w:tcBorders>
                  <w:noWrap w:val="0"/>
                  <w:vAlign w:val="center"/>
                </w:tcPr>
                <w:p w14:paraId="77CE8F46">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辅助刹车</w:t>
                  </w:r>
                </w:p>
              </w:tc>
              <w:tc>
                <w:tcPr>
                  <w:tcW w:w="1323" w:type="pct"/>
                  <w:tcBorders>
                    <w:tl2br w:val="nil"/>
                    <w:tr2bl w:val="nil"/>
                  </w:tcBorders>
                  <w:noWrap w:val="0"/>
                  <w:vAlign w:val="center"/>
                </w:tcPr>
                <w:p w14:paraId="32416037">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SDF50L</w:t>
                  </w:r>
                </w:p>
              </w:tc>
              <w:tc>
                <w:tcPr>
                  <w:tcW w:w="555" w:type="pct"/>
                  <w:tcBorders>
                    <w:tl2br w:val="nil"/>
                    <w:tr2bl w:val="nil"/>
                  </w:tcBorders>
                  <w:noWrap w:val="0"/>
                  <w:vAlign w:val="center"/>
                </w:tcPr>
                <w:p w14:paraId="09430CA8">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17" w:type="pct"/>
                  <w:tcBorders>
                    <w:tl2br w:val="nil"/>
                    <w:tr2bl w:val="nil"/>
                  </w:tcBorders>
                  <w:noWrap w:val="0"/>
                  <w:vAlign w:val="center"/>
                </w:tcPr>
                <w:p w14:paraId="61D35F53">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815" w:type="pct"/>
                  <w:tcBorders>
                    <w:tl2br w:val="nil"/>
                    <w:tr2bl w:val="nil"/>
                  </w:tcBorders>
                  <w:noWrap w:val="0"/>
                  <w:vAlign w:val="center"/>
                </w:tcPr>
                <w:p w14:paraId="7981843B">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66008B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restart"/>
                  <w:tcBorders>
                    <w:tl2br w:val="nil"/>
                    <w:tr2bl w:val="nil"/>
                  </w:tcBorders>
                  <w:noWrap w:val="0"/>
                  <w:vAlign w:val="center"/>
                </w:tcPr>
                <w:p w14:paraId="1BADC626">
                  <w:pPr>
                    <w:adjustRightInd w:val="0"/>
                    <w:snapToGrid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569" w:type="pct"/>
                  <w:vMerge w:val="restart"/>
                  <w:tcBorders>
                    <w:tl2br w:val="nil"/>
                    <w:tr2bl w:val="nil"/>
                  </w:tcBorders>
                  <w:noWrap w:val="0"/>
                  <w:vAlign w:val="center"/>
                </w:tcPr>
                <w:p w14:paraId="49F7B5C6">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井控装置</w:t>
                  </w:r>
                </w:p>
              </w:tc>
              <w:tc>
                <w:tcPr>
                  <w:tcW w:w="966" w:type="pct"/>
                  <w:tcBorders>
                    <w:tl2br w:val="nil"/>
                    <w:tr2bl w:val="nil"/>
                  </w:tcBorders>
                  <w:noWrap w:val="0"/>
                  <w:vAlign w:val="center"/>
                </w:tcPr>
                <w:p w14:paraId="6427E7AE">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环形防喷器</w:t>
                  </w:r>
                </w:p>
              </w:tc>
              <w:tc>
                <w:tcPr>
                  <w:tcW w:w="1323" w:type="pct"/>
                  <w:tcBorders>
                    <w:tl2br w:val="nil"/>
                    <w:tr2bl w:val="nil"/>
                  </w:tcBorders>
                  <w:noWrap w:val="0"/>
                  <w:vAlign w:val="center"/>
                </w:tcPr>
                <w:p w14:paraId="20449905">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FH28-35</w:t>
                  </w:r>
                </w:p>
              </w:tc>
              <w:tc>
                <w:tcPr>
                  <w:tcW w:w="555" w:type="pct"/>
                  <w:tcBorders>
                    <w:tl2br w:val="nil"/>
                    <w:tr2bl w:val="nil"/>
                  </w:tcBorders>
                  <w:noWrap w:val="0"/>
                  <w:vAlign w:val="center"/>
                </w:tcPr>
                <w:p w14:paraId="310D6C72">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17" w:type="pct"/>
                  <w:tcBorders>
                    <w:tl2br w:val="nil"/>
                    <w:tr2bl w:val="nil"/>
                  </w:tcBorders>
                  <w:noWrap w:val="0"/>
                  <w:vAlign w:val="center"/>
                </w:tcPr>
                <w:p w14:paraId="2A409601">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815" w:type="pct"/>
                  <w:tcBorders>
                    <w:tl2br w:val="nil"/>
                    <w:tr2bl w:val="nil"/>
                  </w:tcBorders>
                  <w:noWrap w:val="0"/>
                  <w:vAlign w:val="center"/>
                </w:tcPr>
                <w:p w14:paraId="19EE4DB4">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656BA2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continue"/>
                  <w:tcBorders>
                    <w:tl2br w:val="nil"/>
                    <w:tr2bl w:val="nil"/>
                  </w:tcBorders>
                  <w:noWrap w:val="0"/>
                  <w:vAlign w:val="center"/>
                </w:tcPr>
                <w:p w14:paraId="42C2B954">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69" w:type="pct"/>
                  <w:vMerge w:val="continue"/>
                  <w:tcBorders>
                    <w:tl2br w:val="nil"/>
                    <w:tr2bl w:val="nil"/>
                  </w:tcBorders>
                  <w:noWrap w:val="0"/>
                  <w:vAlign w:val="center"/>
                </w:tcPr>
                <w:p w14:paraId="0AAE3184">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966" w:type="pct"/>
                  <w:tcBorders>
                    <w:tl2br w:val="nil"/>
                    <w:tr2bl w:val="nil"/>
                  </w:tcBorders>
                  <w:noWrap w:val="0"/>
                  <w:vAlign w:val="center"/>
                </w:tcPr>
                <w:p w14:paraId="004F44E1">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闸板防喷器</w:t>
                  </w:r>
                </w:p>
              </w:tc>
              <w:tc>
                <w:tcPr>
                  <w:tcW w:w="1323" w:type="pct"/>
                  <w:tcBorders>
                    <w:tl2br w:val="nil"/>
                    <w:tr2bl w:val="nil"/>
                  </w:tcBorders>
                  <w:noWrap w:val="0"/>
                  <w:vAlign w:val="center"/>
                </w:tcPr>
                <w:p w14:paraId="3DC83682">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2FZ28-35</w:t>
                  </w:r>
                </w:p>
              </w:tc>
              <w:tc>
                <w:tcPr>
                  <w:tcW w:w="555" w:type="pct"/>
                  <w:tcBorders>
                    <w:tl2br w:val="nil"/>
                    <w:tr2bl w:val="nil"/>
                  </w:tcBorders>
                  <w:noWrap w:val="0"/>
                  <w:vAlign w:val="center"/>
                </w:tcPr>
                <w:p w14:paraId="2B718313">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17" w:type="pct"/>
                  <w:tcBorders>
                    <w:tl2br w:val="nil"/>
                    <w:tr2bl w:val="nil"/>
                  </w:tcBorders>
                  <w:noWrap w:val="0"/>
                  <w:vAlign w:val="center"/>
                </w:tcPr>
                <w:p w14:paraId="7185D61B">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815" w:type="pct"/>
                  <w:tcBorders>
                    <w:tl2br w:val="nil"/>
                    <w:tr2bl w:val="nil"/>
                  </w:tcBorders>
                  <w:noWrap w:val="0"/>
                  <w:vAlign w:val="center"/>
                </w:tcPr>
                <w:p w14:paraId="3EDABAA0">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7B51C6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continue"/>
                  <w:tcBorders>
                    <w:tl2br w:val="nil"/>
                    <w:tr2bl w:val="nil"/>
                  </w:tcBorders>
                  <w:noWrap w:val="0"/>
                  <w:vAlign w:val="center"/>
                </w:tcPr>
                <w:p w14:paraId="168F42A4">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69" w:type="pct"/>
                  <w:vMerge w:val="continue"/>
                  <w:tcBorders>
                    <w:tl2br w:val="nil"/>
                    <w:tr2bl w:val="nil"/>
                  </w:tcBorders>
                  <w:noWrap w:val="0"/>
                  <w:vAlign w:val="center"/>
                </w:tcPr>
                <w:p w14:paraId="3F778A0E">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966" w:type="pct"/>
                  <w:tcBorders>
                    <w:tl2br w:val="nil"/>
                    <w:tr2bl w:val="nil"/>
                  </w:tcBorders>
                  <w:noWrap w:val="0"/>
                  <w:vAlign w:val="center"/>
                </w:tcPr>
                <w:p w14:paraId="033B6D24">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四通</w:t>
                  </w:r>
                </w:p>
              </w:tc>
              <w:tc>
                <w:tcPr>
                  <w:tcW w:w="1323" w:type="pct"/>
                  <w:tcBorders>
                    <w:tl2br w:val="nil"/>
                    <w:tr2bl w:val="nil"/>
                  </w:tcBorders>
                  <w:noWrap w:val="0"/>
                  <w:vAlign w:val="center"/>
                </w:tcPr>
                <w:p w14:paraId="5E28041C">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FS28-35</w:t>
                  </w:r>
                </w:p>
              </w:tc>
              <w:tc>
                <w:tcPr>
                  <w:tcW w:w="555" w:type="pct"/>
                  <w:tcBorders>
                    <w:tl2br w:val="nil"/>
                    <w:tr2bl w:val="nil"/>
                  </w:tcBorders>
                  <w:noWrap w:val="0"/>
                  <w:vAlign w:val="center"/>
                </w:tcPr>
                <w:p w14:paraId="2F2E5EF6">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17" w:type="pct"/>
                  <w:tcBorders>
                    <w:tl2br w:val="nil"/>
                    <w:tr2bl w:val="nil"/>
                  </w:tcBorders>
                  <w:noWrap w:val="0"/>
                  <w:vAlign w:val="center"/>
                </w:tcPr>
                <w:p w14:paraId="77E81F30">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815" w:type="pct"/>
                  <w:tcBorders>
                    <w:tl2br w:val="nil"/>
                    <w:tr2bl w:val="nil"/>
                  </w:tcBorders>
                  <w:noWrap w:val="0"/>
                  <w:vAlign w:val="center"/>
                </w:tcPr>
                <w:p w14:paraId="760E43D6">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5C9EA7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5" w:hRule="atLeast"/>
                <w:jc w:val="center"/>
              </w:trPr>
              <w:tc>
                <w:tcPr>
                  <w:tcW w:w="251" w:type="pct"/>
                  <w:vMerge w:val="continue"/>
                  <w:tcBorders>
                    <w:tl2br w:val="nil"/>
                    <w:tr2bl w:val="nil"/>
                  </w:tcBorders>
                  <w:noWrap w:val="0"/>
                  <w:vAlign w:val="center"/>
                </w:tcPr>
                <w:p w14:paraId="33967CD3">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69" w:type="pct"/>
                  <w:vMerge w:val="continue"/>
                  <w:tcBorders>
                    <w:tl2br w:val="nil"/>
                    <w:tr2bl w:val="nil"/>
                  </w:tcBorders>
                  <w:noWrap w:val="0"/>
                  <w:vAlign w:val="center"/>
                </w:tcPr>
                <w:p w14:paraId="59603D35">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966" w:type="pct"/>
                  <w:tcBorders>
                    <w:tl2br w:val="nil"/>
                    <w:tr2bl w:val="nil"/>
                  </w:tcBorders>
                  <w:noWrap w:val="0"/>
                  <w:vAlign w:val="center"/>
                </w:tcPr>
                <w:p w14:paraId="26848D68">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节流管汇</w:t>
                  </w:r>
                </w:p>
              </w:tc>
              <w:tc>
                <w:tcPr>
                  <w:tcW w:w="1323" w:type="pct"/>
                  <w:tcBorders>
                    <w:tl2br w:val="nil"/>
                    <w:tr2bl w:val="nil"/>
                  </w:tcBorders>
                  <w:noWrap w:val="0"/>
                  <w:vAlign w:val="center"/>
                </w:tcPr>
                <w:p w14:paraId="66E33E4A">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JG-35</w:t>
                  </w:r>
                </w:p>
              </w:tc>
              <w:tc>
                <w:tcPr>
                  <w:tcW w:w="555" w:type="pct"/>
                  <w:tcBorders>
                    <w:tl2br w:val="nil"/>
                    <w:tr2bl w:val="nil"/>
                  </w:tcBorders>
                  <w:noWrap w:val="0"/>
                  <w:vAlign w:val="center"/>
                </w:tcPr>
                <w:p w14:paraId="768A4CF0">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17" w:type="pct"/>
                  <w:tcBorders>
                    <w:tl2br w:val="nil"/>
                    <w:tr2bl w:val="nil"/>
                  </w:tcBorders>
                  <w:noWrap w:val="0"/>
                  <w:vAlign w:val="center"/>
                </w:tcPr>
                <w:p w14:paraId="6E4FD86E">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815" w:type="pct"/>
                  <w:tcBorders>
                    <w:tl2br w:val="nil"/>
                    <w:tr2bl w:val="nil"/>
                  </w:tcBorders>
                  <w:noWrap w:val="0"/>
                  <w:vAlign w:val="center"/>
                </w:tcPr>
                <w:p w14:paraId="0FB427BB">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4E2632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continue"/>
                  <w:tcBorders>
                    <w:tl2br w:val="nil"/>
                    <w:tr2bl w:val="nil"/>
                  </w:tcBorders>
                  <w:noWrap w:val="0"/>
                  <w:vAlign w:val="center"/>
                </w:tcPr>
                <w:p w14:paraId="33165F6D">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69" w:type="pct"/>
                  <w:vMerge w:val="continue"/>
                  <w:tcBorders>
                    <w:tl2br w:val="nil"/>
                    <w:tr2bl w:val="nil"/>
                  </w:tcBorders>
                  <w:noWrap w:val="0"/>
                  <w:vAlign w:val="center"/>
                </w:tcPr>
                <w:p w14:paraId="52EC0E4A">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966" w:type="pct"/>
                  <w:tcBorders>
                    <w:tl2br w:val="nil"/>
                    <w:tr2bl w:val="nil"/>
                  </w:tcBorders>
                  <w:noWrap w:val="0"/>
                  <w:vAlign w:val="center"/>
                </w:tcPr>
                <w:p w14:paraId="4B85585D">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压井管汇</w:t>
                  </w:r>
                </w:p>
              </w:tc>
              <w:tc>
                <w:tcPr>
                  <w:tcW w:w="1323" w:type="pct"/>
                  <w:tcBorders>
                    <w:tl2br w:val="nil"/>
                    <w:tr2bl w:val="nil"/>
                  </w:tcBorders>
                  <w:noWrap w:val="0"/>
                  <w:vAlign w:val="center"/>
                </w:tcPr>
                <w:p w14:paraId="6D6AA485">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YJ-35</w:t>
                  </w:r>
                </w:p>
              </w:tc>
              <w:tc>
                <w:tcPr>
                  <w:tcW w:w="555" w:type="pct"/>
                  <w:tcBorders>
                    <w:tl2br w:val="nil"/>
                    <w:tr2bl w:val="nil"/>
                  </w:tcBorders>
                  <w:noWrap w:val="0"/>
                  <w:vAlign w:val="center"/>
                </w:tcPr>
                <w:p w14:paraId="31986292">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17" w:type="pct"/>
                  <w:tcBorders>
                    <w:tl2br w:val="nil"/>
                    <w:tr2bl w:val="nil"/>
                  </w:tcBorders>
                  <w:noWrap w:val="0"/>
                  <w:vAlign w:val="center"/>
                </w:tcPr>
                <w:p w14:paraId="2A1D5A6F">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815" w:type="pct"/>
                  <w:tcBorders>
                    <w:tl2br w:val="nil"/>
                    <w:tr2bl w:val="nil"/>
                  </w:tcBorders>
                  <w:noWrap w:val="0"/>
                  <w:vAlign w:val="center"/>
                </w:tcPr>
                <w:p w14:paraId="55246603">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795401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continue"/>
                  <w:tcBorders>
                    <w:tl2br w:val="nil"/>
                    <w:tr2bl w:val="nil"/>
                  </w:tcBorders>
                  <w:noWrap w:val="0"/>
                  <w:vAlign w:val="center"/>
                </w:tcPr>
                <w:p w14:paraId="12C41B78">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69" w:type="pct"/>
                  <w:vMerge w:val="continue"/>
                  <w:tcBorders>
                    <w:tl2br w:val="nil"/>
                    <w:tr2bl w:val="nil"/>
                  </w:tcBorders>
                  <w:noWrap w:val="0"/>
                  <w:vAlign w:val="center"/>
                </w:tcPr>
                <w:p w14:paraId="735E1FEB">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966" w:type="pct"/>
                  <w:tcBorders>
                    <w:tl2br w:val="nil"/>
                    <w:tr2bl w:val="nil"/>
                  </w:tcBorders>
                  <w:noWrap w:val="0"/>
                  <w:vAlign w:val="center"/>
                </w:tcPr>
                <w:p w14:paraId="163AD669">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控制装置</w:t>
                  </w:r>
                </w:p>
              </w:tc>
              <w:tc>
                <w:tcPr>
                  <w:tcW w:w="1323" w:type="pct"/>
                  <w:tcBorders>
                    <w:tl2br w:val="nil"/>
                    <w:tr2bl w:val="nil"/>
                  </w:tcBorders>
                  <w:noWrap w:val="0"/>
                  <w:vAlign w:val="center"/>
                </w:tcPr>
                <w:p w14:paraId="20BF3699">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FKQ3204B</w:t>
                  </w:r>
                </w:p>
              </w:tc>
              <w:tc>
                <w:tcPr>
                  <w:tcW w:w="555" w:type="pct"/>
                  <w:tcBorders>
                    <w:tl2br w:val="nil"/>
                    <w:tr2bl w:val="nil"/>
                  </w:tcBorders>
                  <w:noWrap w:val="0"/>
                  <w:vAlign w:val="center"/>
                </w:tcPr>
                <w:p w14:paraId="0FF6A2FC">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17" w:type="pct"/>
                  <w:tcBorders>
                    <w:tl2br w:val="nil"/>
                    <w:tr2bl w:val="nil"/>
                  </w:tcBorders>
                  <w:noWrap w:val="0"/>
                  <w:vAlign w:val="center"/>
                </w:tcPr>
                <w:p w14:paraId="3E052E9E">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815" w:type="pct"/>
                  <w:tcBorders>
                    <w:tl2br w:val="nil"/>
                    <w:tr2bl w:val="nil"/>
                  </w:tcBorders>
                  <w:noWrap w:val="0"/>
                  <w:vAlign w:val="center"/>
                </w:tcPr>
                <w:p w14:paraId="0E866E54">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225452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restart"/>
                  <w:tcBorders>
                    <w:tl2br w:val="nil"/>
                    <w:tr2bl w:val="nil"/>
                  </w:tcBorders>
                  <w:noWrap w:val="0"/>
                  <w:vAlign w:val="center"/>
                </w:tcPr>
                <w:p w14:paraId="3E1CCC4E">
                  <w:pPr>
                    <w:adjustRightInd w:val="0"/>
                    <w:snapToGrid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569" w:type="pct"/>
                  <w:vMerge w:val="restart"/>
                  <w:tcBorders>
                    <w:tl2br w:val="nil"/>
                    <w:tr2bl w:val="nil"/>
                  </w:tcBorders>
                  <w:noWrap w:val="0"/>
                  <w:vAlign w:val="center"/>
                </w:tcPr>
                <w:p w14:paraId="0EC0DD6E">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检测系统</w:t>
                  </w:r>
                </w:p>
              </w:tc>
              <w:tc>
                <w:tcPr>
                  <w:tcW w:w="966" w:type="pct"/>
                  <w:tcBorders>
                    <w:tl2br w:val="nil"/>
                    <w:tr2bl w:val="nil"/>
                  </w:tcBorders>
                  <w:noWrap w:val="0"/>
                  <w:vAlign w:val="center"/>
                </w:tcPr>
                <w:p w14:paraId="341F6438">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固定式多功能气体检测仪</w:t>
                  </w:r>
                </w:p>
              </w:tc>
              <w:tc>
                <w:tcPr>
                  <w:tcW w:w="1323" w:type="pct"/>
                  <w:tcBorders>
                    <w:tl2br w:val="nil"/>
                    <w:tr2bl w:val="nil"/>
                  </w:tcBorders>
                  <w:noWrap w:val="0"/>
                  <w:vAlign w:val="center"/>
                </w:tcPr>
                <w:p w14:paraId="7AC6EBDE">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55" w:type="pct"/>
                  <w:tcBorders>
                    <w:tl2br w:val="nil"/>
                    <w:tr2bl w:val="nil"/>
                  </w:tcBorders>
                  <w:noWrap w:val="0"/>
                  <w:vAlign w:val="center"/>
                </w:tcPr>
                <w:p w14:paraId="6AAEC7C5">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17" w:type="pct"/>
                  <w:tcBorders>
                    <w:tl2br w:val="nil"/>
                    <w:tr2bl w:val="nil"/>
                  </w:tcBorders>
                  <w:noWrap w:val="0"/>
                  <w:vAlign w:val="center"/>
                </w:tcPr>
                <w:p w14:paraId="039A8C21">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815" w:type="pct"/>
                  <w:tcBorders>
                    <w:tl2br w:val="nil"/>
                    <w:tr2bl w:val="nil"/>
                  </w:tcBorders>
                  <w:noWrap w:val="0"/>
                  <w:vAlign w:val="center"/>
                </w:tcPr>
                <w:p w14:paraId="52EA1B4A">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2FBA9B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continue"/>
                  <w:tcBorders>
                    <w:tl2br w:val="nil"/>
                    <w:tr2bl w:val="nil"/>
                  </w:tcBorders>
                  <w:noWrap w:val="0"/>
                  <w:vAlign w:val="center"/>
                </w:tcPr>
                <w:p w14:paraId="63E10E27">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69" w:type="pct"/>
                  <w:vMerge w:val="continue"/>
                  <w:tcBorders>
                    <w:tl2br w:val="nil"/>
                    <w:tr2bl w:val="nil"/>
                  </w:tcBorders>
                  <w:noWrap w:val="0"/>
                  <w:vAlign w:val="center"/>
                </w:tcPr>
                <w:p w14:paraId="16C7E4D3">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966" w:type="pct"/>
                  <w:tcBorders>
                    <w:tl2br w:val="nil"/>
                    <w:tr2bl w:val="nil"/>
                  </w:tcBorders>
                  <w:noWrap w:val="0"/>
                  <w:vAlign w:val="center"/>
                </w:tcPr>
                <w:p w14:paraId="3DFDAE61">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便携式复合气体检测仪</w:t>
                  </w:r>
                </w:p>
              </w:tc>
              <w:tc>
                <w:tcPr>
                  <w:tcW w:w="1323" w:type="pct"/>
                  <w:tcBorders>
                    <w:tl2br w:val="nil"/>
                    <w:tr2bl w:val="nil"/>
                  </w:tcBorders>
                  <w:noWrap w:val="0"/>
                  <w:vAlign w:val="center"/>
                </w:tcPr>
                <w:p w14:paraId="7ACF4935">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55" w:type="pct"/>
                  <w:tcBorders>
                    <w:tl2br w:val="nil"/>
                    <w:tr2bl w:val="nil"/>
                  </w:tcBorders>
                  <w:noWrap w:val="0"/>
                  <w:vAlign w:val="center"/>
                </w:tcPr>
                <w:p w14:paraId="7481C77F">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17" w:type="pct"/>
                  <w:tcBorders>
                    <w:tl2br w:val="nil"/>
                    <w:tr2bl w:val="nil"/>
                  </w:tcBorders>
                  <w:noWrap w:val="0"/>
                  <w:vAlign w:val="center"/>
                </w:tcPr>
                <w:p w14:paraId="330C08D8">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815" w:type="pct"/>
                  <w:tcBorders>
                    <w:tl2br w:val="nil"/>
                    <w:tr2bl w:val="nil"/>
                  </w:tcBorders>
                  <w:noWrap w:val="0"/>
                  <w:vAlign w:val="center"/>
                </w:tcPr>
                <w:p w14:paraId="18DE123D">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3C9F2F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tcBorders>
                    <w:tl2br w:val="nil"/>
                    <w:tr2bl w:val="nil"/>
                  </w:tcBorders>
                  <w:noWrap w:val="0"/>
                  <w:vAlign w:val="center"/>
                </w:tcPr>
                <w:p w14:paraId="559F9FF0">
                  <w:pPr>
                    <w:adjustRightInd w:val="0"/>
                    <w:snapToGrid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569" w:type="pct"/>
                  <w:tcBorders>
                    <w:tl2br w:val="nil"/>
                    <w:tr2bl w:val="nil"/>
                  </w:tcBorders>
                  <w:noWrap w:val="0"/>
                  <w:vAlign w:val="center"/>
                </w:tcPr>
                <w:p w14:paraId="6B30C49F">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呼吸器</w:t>
                  </w:r>
                </w:p>
              </w:tc>
              <w:tc>
                <w:tcPr>
                  <w:tcW w:w="966" w:type="pct"/>
                  <w:tcBorders>
                    <w:tl2br w:val="nil"/>
                    <w:tr2bl w:val="nil"/>
                  </w:tcBorders>
                  <w:noWrap w:val="0"/>
                  <w:vAlign w:val="center"/>
                </w:tcPr>
                <w:p w14:paraId="4023D8D5">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正压式空气呼吸器</w:t>
                  </w:r>
                </w:p>
              </w:tc>
              <w:tc>
                <w:tcPr>
                  <w:tcW w:w="1323" w:type="pct"/>
                  <w:tcBorders>
                    <w:tl2br w:val="nil"/>
                    <w:tr2bl w:val="nil"/>
                  </w:tcBorders>
                  <w:noWrap w:val="0"/>
                  <w:vAlign w:val="center"/>
                </w:tcPr>
                <w:p w14:paraId="0E3145BD">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55" w:type="pct"/>
                  <w:tcBorders>
                    <w:tl2br w:val="nil"/>
                    <w:tr2bl w:val="nil"/>
                  </w:tcBorders>
                  <w:noWrap w:val="0"/>
                  <w:vAlign w:val="center"/>
                </w:tcPr>
                <w:p w14:paraId="01470042">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17" w:type="pct"/>
                  <w:tcBorders>
                    <w:tl2br w:val="nil"/>
                    <w:tr2bl w:val="nil"/>
                  </w:tcBorders>
                  <w:noWrap w:val="0"/>
                  <w:vAlign w:val="center"/>
                </w:tcPr>
                <w:p w14:paraId="525D95DA">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815" w:type="pct"/>
                  <w:tcBorders>
                    <w:tl2br w:val="nil"/>
                    <w:tr2bl w:val="nil"/>
                  </w:tcBorders>
                  <w:noWrap w:val="0"/>
                  <w:vAlign w:val="center"/>
                </w:tcPr>
                <w:p w14:paraId="5C93E096">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当班生产人员每人1套，并配备2套作为公用</w:t>
                  </w:r>
                </w:p>
              </w:tc>
            </w:tr>
            <w:tr w14:paraId="185388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restart"/>
                  <w:tcBorders>
                    <w:tl2br w:val="nil"/>
                    <w:tr2bl w:val="nil"/>
                  </w:tcBorders>
                  <w:noWrap w:val="0"/>
                  <w:vAlign w:val="center"/>
                </w:tcPr>
                <w:p w14:paraId="3BBCCA13">
                  <w:pPr>
                    <w:adjustRightInd w:val="0"/>
                    <w:snapToGrid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p>
              </w:tc>
              <w:tc>
                <w:tcPr>
                  <w:tcW w:w="569" w:type="pct"/>
                  <w:vMerge w:val="restart"/>
                  <w:tcBorders>
                    <w:tl2br w:val="nil"/>
                    <w:tr2bl w:val="nil"/>
                  </w:tcBorders>
                  <w:noWrap w:val="0"/>
                  <w:vAlign w:val="center"/>
                </w:tcPr>
                <w:p w14:paraId="3E4E6202">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循环系统 配置</w:t>
                  </w:r>
                </w:p>
              </w:tc>
              <w:tc>
                <w:tcPr>
                  <w:tcW w:w="966" w:type="pct"/>
                  <w:tcBorders>
                    <w:tl2br w:val="nil"/>
                    <w:tr2bl w:val="nil"/>
                  </w:tcBorders>
                  <w:noWrap w:val="0"/>
                  <w:vAlign w:val="center"/>
                </w:tcPr>
                <w:p w14:paraId="72DE6534">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钻井泵</w:t>
                  </w:r>
                </w:p>
              </w:tc>
              <w:tc>
                <w:tcPr>
                  <w:tcW w:w="1323" w:type="pct"/>
                  <w:tcBorders>
                    <w:tl2br w:val="nil"/>
                    <w:tr2bl w:val="nil"/>
                  </w:tcBorders>
                  <w:noWrap w:val="0"/>
                  <w:vAlign w:val="center"/>
                </w:tcPr>
                <w:p w14:paraId="59C64134">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55" w:type="pct"/>
                  <w:tcBorders>
                    <w:tl2br w:val="nil"/>
                    <w:tr2bl w:val="nil"/>
                  </w:tcBorders>
                  <w:noWrap w:val="0"/>
                  <w:vAlign w:val="center"/>
                </w:tcPr>
                <w:p w14:paraId="3451A3E0">
                  <w:pPr>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17" w:type="pct"/>
                  <w:tcBorders>
                    <w:tl2br w:val="nil"/>
                    <w:tr2bl w:val="nil"/>
                  </w:tcBorders>
                  <w:noWrap w:val="0"/>
                  <w:vAlign w:val="center"/>
                </w:tcPr>
                <w:p w14:paraId="70B5F835">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815" w:type="pct"/>
                  <w:tcBorders>
                    <w:tl2br w:val="nil"/>
                    <w:tr2bl w:val="nil"/>
                  </w:tcBorders>
                  <w:noWrap w:val="0"/>
                  <w:vAlign w:val="center"/>
                </w:tcPr>
                <w:p w14:paraId="30F15138">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556C67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continue"/>
                  <w:tcBorders>
                    <w:tl2br w:val="nil"/>
                    <w:tr2bl w:val="nil"/>
                  </w:tcBorders>
                  <w:noWrap w:val="0"/>
                  <w:vAlign w:val="center"/>
                </w:tcPr>
                <w:p w14:paraId="4FDB1090">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69" w:type="pct"/>
                  <w:vMerge w:val="continue"/>
                  <w:tcBorders>
                    <w:tl2br w:val="nil"/>
                    <w:tr2bl w:val="nil"/>
                  </w:tcBorders>
                  <w:noWrap w:val="0"/>
                  <w:vAlign w:val="center"/>
                </w:tcPr>
                <w:p w14:paraId="608F4CC4">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966" w:type="pct"/>
                  <w:tcBorders>
                    <w:tl2br w:val="nil"/>
                    <w:tr2bl w:val="nil"/>
                  </w:tcBorders>
                  <w:noWrap w:val="0"/>
                  <w:vAlign w:val="center"/>
                </w:tcPr>
                <w:p w14:paraId="1CB99760">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洗井废水罐</w:t>
                  </w:r>
                </w:p>
              </w:tc>
              <w:tc>
                <w:tcPr>
                  <w:tcW w:w="1323" w:type="pct"/>
                  <w:tcBorders>
                    <w:tl2br w:val="nil"/>
                    <w:tr2bl w:val="nil"/>
                  </w:tcBorders>
                  <w:noWrap w:val="0"/>
                  <w:vAlign w:val="center"/>
                </w:tcPr>
                <w:p w14:paraId="225A9C14">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55" w:type="pct"/>
                  <w:tcBorders>
                    <w:tl2br w:val="nil"/>
                    <w:tr2bl w:val="nil"/>
                  </w:tcBorders>
                  <w:noWrap w:val="0"/>
                  <w:vAlign w:val="center"/>
                </w:tcPr>
                <w:p w14:paraId="59D6E8F5">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75m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517" w:type="pct"/>
                  <w:tcBorders>
                    <w:tl2br w:val="nil"/>
                    <w:tr2bl w:val="nil"/>
                  </w:tcBorders>
                  <w:noWrap w:val="0"/>
                  <w:vAlign w:val="center"/>
                </w:tcPr>
                <w:p w14:paraId="04823C51">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815" w:type="pct"/>
                  <w:tcBorders>
                    <w:tl2br w:val="nil"/>
                    <w:tr2bl w:val="nil"/>
                  </w:tcBorders>
                  <w:noWrap w:val="0"/>
                  <w:vAlign w:val="center"/>
                </w:tcPr>
                <w:p w14:paraId="0851814A">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2F6D33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continue"/>
                  <w:tcBorders>
                    <w:tl2br w:val="nil"/>
                    <w:tr2bl w:val="nil"/>
                  </w:tcBorders>
                  <w:noWrap w:val="0"/>
                  <w:vAlign w:val="center"/>
                </w:tcPr>
                <w:p w14:paraId="1D911612">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69" w:type="pct"/>
                  <w:vMerge w:val="continue"/>
                  <w:tcBorders>
                    <w:tl2br w:val="nil"/>
                    <w:tr2bl w:val="nil"/>
                  </w:tcBorders>
                  <w:noWrap w:val="0"/>
                  <w:vAlign w:val="center"/>
                </w:tcPr>
                <w:p w14:paraId="68CB9C8D">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966" w:type="pct"/>
                  <w:tcBorders>
                    <w:tl2br w:val="nil"/>
                    <w:tr2bl w:val="nil"/>
                  </w:tcBorders>
                  <w:noWrap w:val="0"/>
                  <w:vAlign w:val="center"/>
                </w:tcPr>
                <w:p w14:paraId="4C874224">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压裂返排液罐</w:t>
                  </w:r>
                </w:p>
              </w:tc>
              <w:tc>
                <w:tcPr>
                  <w:tcW w:w="1323" w:type="pct"/>
                  <w:tcBorders>
                    <w:tl2br w:val="nil"/>
                    <w:tr2bl w:val="nil"/>
                  </w:tcBorders>
                  <w:noWrap w:val="0"/>
                  <w:vAlign w:val="center"/>
                </w:tcPr>
                <w:p w14:paraId="61FCD2D8">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55" w:type="pct"/>
                  <w:tcBorders>
                    <w:tl2br w:val="nil"/>
                    <w:tr2bl w:val="nil"/>
                  </w:tcBorders>
                  <w:noWrap w:val="0"/>
                  <w:vAlign w:val="center"/>
                </w:tcPr>
                <w:p w14:paraId="5F071E9C">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75m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517" w:type="pct"/>
                  <w:tcBorders>
                    <w:tl2br w:val="nil"/>
                    <w:tr2bl w:val="nil"/>
                  </w:tcBorders>
                  <w:noWrap w:val="0"/>
                  <w:vAlign w:val="center"/>
                </w:tcPr>
                <w:p w14:paraId="26EBC4B2">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815" w:type="pct"/>
                  <w:tcBorders>
                    <w:tl2br w:val="nil"/>
                    <w:tr2bl w:val="nil"/>
                  </w:tcBorders>
                  <w:noWrap w:val="0"/>
                  <w:vAlign w:val="center"/>
                </w:tcPr>
                <w:p w14:paraId="2E41A9DF">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59E02F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continue"/>
                  <w:tcBorders>
                    <w:tl2br w:val="nil"/>
                    <w:tr2bl w:val="nil"/>
                  </w:tcBorders>
                  <w:noWrap w:val="0"/>
                  <w:vAlign w:val="center"/>
                </w:tcPr>
                <w:p w14:paraId="76748967">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69" w:type="pct"/>
                  <w:vMerge w:val="continue"/>
                  <w:tcBorders>
                    <w:tl2br w:val="nil"/>
                    <w:tr2bl w:val="nil"/>
                  </w:tcBorders>
                  <w:noWrap w:val="0"/>
                  <w:vAlign w:val="center"/>
                </w:tcPr>
                <w:p w14:paraId="5B6AD0A8">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966" w:type="pct"/>
                  <w:tcBorders>
                    <w:tl2br w:val="nil"/>
                    <w:tr2bl w:val="nil"/>
                  </w:tcBorders>
                  <w:noWrap w:val="0"/>
                  <w:vAlign w:val="center"/>
                </w:tcPr>
                <w:p w14:paraId="49F39163">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移动式泥饼和岩屑收集罐</w:t>
                  </w:r>
                </w:p>
              </w:tc>
              <w:tc>
                <w:tcPr>
                  <w:tcW w:w="1323" w:type="pct"/>
                  <w:tcBorders>
                    <w:tl2br w:val="nil"/>
                    <w:tr2bl w:val="nil"/>
                  </w:tcBorders>
                  <w:noWrap w:val="0"/>
                  <w:vAlign w:val="center"/>
                </w:tcPr>
                <w:p w14:paraId="3A72531B">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55" w:type="pct"/>
                  <w:tcBorders>
                    <w:tl2br w:val="nil"/>
                    <w:tr2bl w:val="nil"/>
                  </w:tcBorders>
                  <w:noWrap w:val="0"/>
                  <w:vAlign w:val="center"/>
                </w:tcPr>
                <w:p w14:paraId="3C6A6B80">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100m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517" w:type="pct"/>
                  <w:tcBorders>
                    <w:tl2br w:val="nil"/>
                    <w:tr2bl w:val="nil"/>
                  </w:tcBorders>
                  <w:noWrap w:val="0"/>
                  <w:vAlign w:val="center"/>
                </w:tcPr>
                <w:p w14:paraId="29E6EE8B">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815" w:type="pct"/>
                  <w:tcBorders>
                    <w:tl2br w:val="nil"/>
                    <w:tr2bl w:val="nil"/>
                  </w:tcBorders>
                  <w:noWrap w:val="0"/>
                  <w:vAlign w:val="center"/>
                </w:tcPr>
                <w:p w14:paraId="6581B6A3">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0BFFFE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continue"/>
                  <w:tcBorders>
                    <w:tl2br w:val="nil"/>
                    <w:tr2bl w:val="nil"/>
                  </w:tcBorders>
                  <w:noWrap w:val="0"/>
                  <w:vAlign w:val="center"/>
                </w:tcPr>
                <w:p w14:paraId="6EDA4E1B">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69" w:type="pct"/>
                  <w:vMerge w:val="continue"/>
                  <w:tcBorders>
                    <w:tl2br w:val="nil"/>
                    <w:tr2bl w:val="nil"/>
                  </w:tcBorders>
                  <w:noWrap w:val="0"/>
                  <w:vAlign w:val="center"/>
                </w:tcPr>
                <w:p w14:paraId="33E55705">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966" w:type="pct"/>
                  <w:tcBorders>
                    <w:tl2br w:val="nil"/>
                    <w:tr2bl w:val="nil"/>
                  </w:tcBorders>
                  <w:noWrap w:val="0"/>
                  <w:vAlign w:val="center"/>
                </w:tcPr>
                <w:p w14:paraId="352B1141">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放喷废液收集罐</w:t>
                  </w:r>
                </w:p>
              </w:tc>
              <w:tc>
                <w:tcPr>
                  <w:tcW w:w="1323" w:type="pct"/>
                  <w:tcBorders>
                    <w:tl2br w:val="nil"/>
                    <w:tr2bl w:val="nil"/>
                  </w:tcBorders>
                  <w:noWrap w:val="0"/>
                  <w:vAlign w:val="center"/>
                </w:tcPr>
                <w:p w14:paraId="1374977D">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55" w:type="pct"/>
                  <w:tcBorders>
                    <w:tl2br w:val="nil"/>
                    <w:tr2bl w:val="nil"/>
                  </w:tcBorders>
                  <w:noWrap w:val="0"/>
                  <w:vAlign w:val="center"/>
                </w:tcPr>
                <w:p w14:paraId="769D3117">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10.6m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517" w:type="pct"/>
                  <w:tcBorders>
                    <w:tl2br w:val="nil"/>
                    <w:tr2bl w:val="nil"/>
                  </w:tcBorders>
                  <w:noWrap w:val="0"/>
                  <w:vAlign w:val="center"/>
                </w:tcPr>
                <w:p w14:paraId="0B618E35">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815" w:type="pct"/>
                  <w:tcBorders>
                    <w:tl2br w:val="nil"/>
                    <w:tr2bl w:val="nil"/>
                  </w:tcBorders>
                  <w:noWrap w:val="0"/>
                  <w:vAlign w:val="center"/>
                </w:tcPr>
                <w:p w14:paraId="6F18FC20">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0AD826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continue"/>
                  <w:tcBorders>
                    <w:tl2br w:val="nil"/>
                    <w:tr2bl w:val="nil"/>
                  </w:tcBorders>
                  <w:noWrap w:val="0"/>
                  <w:vAlign w:val="center"/>
                </w:tcPr>
                <w:p w14:paraId="5E22F3F5">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69" w:type="pct"/>
                  <w:vMerge w:val="continue"/>
                  <w:tcBorders>
                    <w:tl2br w:val="nil"/>
                    <w:tr2bl w:val="nil"/>
                  </w:tcBorders>
                  <w:noWrap w:val="0"/>
                  <w:vAlign w:val="center"/>
                </w:tcPr>
                <w:p w14:paraId="30C6362B">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966" w:type="pct"/>
                  <w:tcBorders>
                    <w:tl2br w:val="nil"/>
                    <w:tr2bl w:val="nil"/>
                  </w:tcBorders>
                  <w:noWrap w:val="0"/>
                  <w:vAlign w:val="center"/>
                </w:tcPr>
                <w:p w14:paraId="3F95C2E4">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搅拌器</w:t>
                  </w:r>
                </w:p>
              </w:tc>
              <w:tc>
                <w:tcPr>
                  <w:tcW w:w="1323" w:type="pct"/>
                  <w:tcBorders>
                    <w:tl2br w:val="nil"/>
                    <w:tr2bl w:val="nil"/>
                  </w:tcBorders>
                  <w:noWrap w:val="0"/>
                  <w:vAlign w:val="center"/>
                </w:tcPr>
                <w:p w14:paraId="76656478">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55" w:type="pct"/>
                  <w:tcBorders>
                    <w:tl2br w:val="nil"/>
                    <w:tr2bl w:val="nil"/>
                  </w:tcBorders>
                  <w:noWrap w:val="0"/>
                  <w:vAlign w:val="center"/>
                </w:tcPr>
                <w:p w14:paraId="520EDA03">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NJ-7.5</w:t>
                  </w:r>
                </w:p>
              </w:tc>
              <w:tc>
                <w:tcPr>
                  <w:tcW w:w="517" w:type="pct"/>
                  <w:tcBorders>
                    <w:tl2br w:val="nil"/>
                    <w:tr2bl w:val="nil"/>
                  </w:tcBorders>
                  <w:noWrap w:val="0"/>
                  <w:vAlign w:val="center"/>
                </w:tcPr>
                <w:p w14:paraId="04245F96">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815" w:type="pct"/>
                  <w:tcBorders>
                    <w:tl2br w:val="nil"/>
                    <w:tr2bl w:val="nil"/>
                  </w:tcBorders>
                  <w:noWrap w:val="0"/>
                  <w:vAlign w:val="center"/>
                </w:tcPr>
                <w:p w14:paraId="3E21B840">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1609ED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vMerge w:val="continue"/>
                  <w:tcBorders>
                    <w:tl2br w:val="nil"/>
                    <w:tr2bl w:val="nil"/>
                  </w:tcBorders>
                  <w:noWrap w:val="0"/>
                  <w:vAlign w:val="center"/>
                </w:tcPr>
                <w:p w14:paraId="01B90B4F">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69" w:type="pct"/>
                  <w:vMerge w:val="continue"/>
                  <w:tcBorders>
                    <w:tl2br w:val="nil"/>
                    <w:tr2bl w:val="nil"/>
                  </w:tcBorders>
                  <w:noWrap w:val="0"/>
                  <w:vAlign w:val="center"/>
                </w:tcPr>
                <w:p w14:paraId="4B377083">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966" w:type="pct"/>
                  <w:tcBorders>
                    <w:tl2br w:val="nil"/>
                    <w:tr2bl w:val="nil"/>
                  </w:tcBorders>
                  <w:noWrap w:val="0"/>
                  <w:vAlign w:val="center"/>
                </w:tcPr>
                <w:p w14:paraId="61F26036">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泥浆循环罐</w:t>
                  </w:r>
                </w:p>
              </w:tc>
              <w:tc>
                <w:tcPr>
                  <w:tcW w:w="1323" w:type="pct"/>
                  <w:tcBorders>
                    <w:tl2br w:val="nil"/>
                    <w:tr2bl w:val="nil"/>
                  </w:tcBorders>
                  <w:shd w:val="clear" w:color="auto" w:fill="auto"/>
                  <w:noWrap w:val="0"/>
                  <w:vAlign w:val="center"/>
                </w:tcPr>
                <w:p w14:paraId="506F0273">
                  <w:pPr>
                    <w:adjustRightInd w:val="0"/>
                    <w:snapToGrid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55" w:type="pct"/>
                  <w:tcBorders>
                    <w:tl2br w:val="nil"/>
                    <w:tr2bl w:val="nil"/>
                  </w:tcBorders>
                  <w:shd w:val="clear" w:color="auto" w:fill="auto"/>
                  <w:noWrap w:val="0"/>
                  <w:vAlign w:val="center"/>
                </w:tcPr>
                <w:p w14:paraId="7901998C">
                  <w:pPr>
                    <w:adjustRightInd w:val="0"/>
                    <w:snapToGrid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c>
                <w:tcPr>
                  <w:tcW w:w="517" w:type="pct"/>
                  <w:tcBorders>
                    <w:tl2br w:val="nil"/>
                    <w:tr2bl w:val="nil"/>
                  </w:tcBorders>
                  <w:shd w:val="clear" w:color="auto" w:fill="auto"/>
                  <w:noWrap w:val="0"/>
                  <w:vAlign w:val="center"/>
                </w:tcPr>
                <w:p w14:paraId="53B116CE">
                  <w:pPr>
                    <w:adjustRightInd w:val="0"/>
                    <w:snapToGrid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7个</w:t>
                  </w:r>
                </w:p>
              </w:tc>
              <w:tc>
                <w:tcPr>
                  <w:tcW w:w="815" w:type="pct"/>
                  <w:tcBorders>
                    <w:tl2br w:val="nil"/>
                    <w:tr2bl w:val="nil"/>
                  </w:tcBorders>
                  <w:shd w:val="clear" w:color="auto" w:fill="auto"/>
                  <w:noWrap w:val="0"/>
                  <w:vAlign w:val="center"/>
                </w:tcPr>
                <w:p w14:paraId="7664A72D">
                  <w:pPr>
                    <w:adjustRightInd w:val="0"/>
                    <w:snapToGrid w:val="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78CD29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51" w:type="pct"/>
                  <w:tcBorders>
                    <w:tl2br w:val="nil"/>
                    <w:tr2bl w:val="nil"/>
                  </w:tcBorders>
                  <w:noWrap w:val="0"/>
                  <w:vAlign w:val="center"/>
                </w:tcPr>
                <w:p w14:paraId="5DBC9328">
                  <w:pPr>
                    <w:adjustRightInd w:val="0"/>
                    <w:snapToGrid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w:t>
                  </w:r>
                </w:p>
              </w:tc>
              <w:tc>
                <w:tcPr>
                  <w:tcW w:w="569" w:type="pct"/>
                  <w:tcBorders>
                    <w:tl2br w:val="nil"/>
                    <w:tr2bl w:val="nil"/>
                  </w:tcBorders>
                  <w:noWrap w:val="0"/>
                  <w:vAlign w:val="center"/>
                </w:tcPr>
                <w:p w14:paraId="3E32CD24">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压裂设备</w:t>
                  </w:r>
                </w:p>
              </w:tc>
              <w:tc>
                <w:tcPr>
                  <w:tcW w:w="966" w:type="pct"/>
                  <w:tcBorders>
                    <w:tl2br w:val="nil"/>
                    <w:tr2bl w:val="nil"/>
                  </w:tcBorders>
                  <w:noWrap w:val="0"/>
                  <w:vAlign w:val="center"/>
                </w:tcPr>
                <w:p w14:paraId="28BFF253">
                  <w:pPr>
                    <w:adjustRightInd w:val="0"/>
                    <w:snapToGrid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压裂车</w:t>
                  </w:r>
                </w:p>
              </w:tc>
              <w:tc>
                <w:tcPr>
                  <w:tcW w:w="1323" w:type="pct"/>
                  <w:tcBorders>
                    <w:tl2br w:val="nil"/>
                    <w:tr2bl w:val="nil"/>
                  </w:tcBorders>
                  <w:noWrap w:val="0"/>
                  <w:vAlign w:val="center"/>
                </w:tcPr>
                <w:p w14:paraId="461AD348">
                  <w:pPr>
                    <w:adjustRightInd w:val="0"/>
                    <w:snapToGrid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55" w:type="pct"/>
                  <w:tcBorders>
                    <w:tl2br w:val="nil"/>
                    <w:tr2bl w:val="nil"/>
                  </w:tcBorders>
                  <w:noWrap w:val="0"/>
                  <w:vAlign w:val="center"/>
                </w:tcPr>
                <w:p w14:paraId="02A62D8A">
                  <w:pPr>
                    <w:adjustRightInd w:val="0"/>
                    <w:snapToGrid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17" w:type="pct"/>
                  <w:tcBorders>
                    <w:tl2br w:val="nil"/>
                    <w:tr2bl w:val="nil"/>
                  </w:tcBorders>
                  <w:noWrap w:val="0"/>
                  <w:vAlign w:val="center"/>
                </w:tcPr>
                <w:p w14:paraId="550940AE">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4台</w:t>
                  </w:r>
                </w:p>
              </w:tc>
              <w:tc>
                <w:tcPr>
                  <w:tcW w:w="815" w:type="pct"/>
                  <w:tcBorders>
                    <w:tl2br w:val="nil"/>
                    <w:tr2bl w:val="nil"/>
                  </w:tcBorders>
                  <w:noWrap w:val="0"/>
                  <w:vAlign w:val="center"/>
                </w:tcPr>
                <w:p w14:paraId="1E8C2772">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由发动机、液力传动箱、压力泵、吸入排出管汇、安全系统、润滑系统、电路系统、液压系统、仪表及控制系统等组成</w:t>
                  </w:r>
                </w:p>
              </w:tc>
            </w:tr>
          </w:tbl>
          <w:p w14:paraId="21D6177F">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（2）测井设备</w:t>
            </w:r>
          </w:p>
          <w:p w14:paraId="7029FB36">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测井是利用专用仪器设备测量岩层的电化学特性、导电特性、声学特性、放射性等地球物理特性，以获取岩层的孔隙度、渗透率以及含气情况等地层信息。本项目完井测井采用CPlog系列仪器，小井眼采用吉艾GILEE系列仪器，测井项目包括双侧向、声波时差、自然伽马、自然电位、井径、方位等。</w:t>
            </w:r>
          </w:p>
          <w:p w14:paraId="01AA022A">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（3）录井设备</w:t>
            </w:r>
          </w:p>
          <w:p w14:paraId="3455AEAB">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录井是利用肉眼、综合录井仪，观察、采集、收集、记录、分析随钻过程中由井筒返出的固体、液体、气体等井筒返出物信息，以此建立录井地质剖面、发现油气显示，并为钻井提供信息服务。录井主要设备为综合录井仪。</w:t>
            </w:r>
          </w:p>
          <w:p w14:paraId="6B78727D">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（4）钻井泥浆固液分离设备</w:t>
            </w:r>
          </w:p>
          <w:p w14:paraId="044B62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钻井泥浆固液分离设备见表2-</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p>
          <w:p w14:paraId="0D9DFCD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表2-</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6</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单井</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钻井泥浆固液分离设备一览表</w:t>
            </w:r>
          </w:p>
          <w:tbl>
            <w:tblPr>
              <w:tblStyle w:val="20"/>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531"/>
              <w:gridCol w:w="2395"/>
              <w:gridCol w:w="1220"/>
              <w:gridCol w:w="2123"/>
              <w:gridCol w:w="2123"/>
            </w:tblGrid>
            <w:tr w14:paraId="296951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7" w:type="pct"/>
                  <w:tcBorders>
                    <w:tl2br w:val="nil"/>
                    <w:tr2bl w:val="nil"/>
                  </w:tcBorders>
                  <w:noWrap w:val="0"/>
                  <w:vAlign w:val="center"/>
                </w:tcPr>
                <w:p w14:paraId="711D4873">
                  <w:pPr>
                    <w:adjustRightInd w:val="0"/>
                    <w:snapToGrid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1426" w:type="pct"/>
                  <w:tcBorders>
                    <w:tl2br w:val="nil"/>
                    <w:tr2bl w:val="nil"/>
                  </w:tcBorders>
                  <w:noWrap w:val="0"/>
                  <w:vAlign w:val="center"/>
                </w:tcPr>
                <w:p w14:paraId="1465AFE2">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名称</w:t>
                  </w:r>
                </w:p>
              </w:tc>
              <w:tc>
                <w:tcPr>
                  <w:tcW w:w="726" w:type="pct"/>
                  <w:tcBorders>
                    <w:tl2br w:val="nil"/>
                    <w:tr2bl w:val="nil"/>
                  </w:tcBorders>
                  <w:noWrap w:val="0"/>
                  <w:vAlign w:val="center"/>
                </w:tcPr>
                <w:p w14:paraId="7505E05D">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型号</w:t>
                  </w:r>
                </w:p>
              </w:tc>
              <w:tc>
                <w:tcPr>
                  <w:tcW w:w="1264" w:type="pct"/>
                  <w:tcBorders>
                    <w:tl2br w:val="nil"/>
                    <w:tr2bl w:val="nil"/>
                  </w:tcBorders>
                  <w:noWrap w:val="0"/>
                  <w:vAlign w:val="center"/>
                </w:tcPr>
                <w:p w14:paraId="29CD9D0C">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载荷或功率（KN/KW）</w:t>
                  </w:r>
                </w:p>
              </w:tc>
              <w:tc>
                <w:tcPr>
                  <w:tcW w:w="1264" w:type="pct"/>
                  <w:tcBorders>
                    <w:tl2br w:val="nil"/>
                    <w:tr2bl w:val="nil"/>
                  </w:tcBorders>
                  <w:noWrap w:val="0"/>
                  <w:vAlign w:val="center"/>
                </w:tcPr>
                <w:p w14:paraId="32329AB0">
                  <w:pPr>
                    <w:adjustRightInd w:val="0"/>
                    <w:snapToGrid w:val="0"/>
                    <w:jc w:val="cente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数量（台）</w:t>
                  </w:r>
                </w:p>
              </w:tc>
            </w:tr>
            <w:tr w14:paraId="1335D7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7" w:type="pct"/>
                  <w:vMerge w:val="restart"/>
                  <w:tcBorders>
                    <w:tl2br w:val="nil"/>
                    <w:tr2bl w:val="nil"/>
                  </w:tcBorders>
                  <w:noWrap w:val="0"/>
                  <w:vAlign w:val="center"/>
                </w:tcPr>
                <w:p w14:paraId="5E88066C">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426" w:type="pct"/>
                  <w:tcBorders>
                    <w:tl2br w:val="nil"/>
                    <w:tr2bl w:val="nil"/>
                  </w:tcBorders>
                  <w:noWrap w:val="0"/>
                  <w:vAlign w:val="center"/>
                </w:tcPr>
                <w:p w14:paraId="563AD63A">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螺旋输送系统（轴）</w:t>
                  </w:r>
                </w:p>
              </w:tc>
              <w:tc>
                <w:tcPr>
                  <w:tcW w:w="726" w:type="pct"/>
                  <w:tcBorders>
                    <w:tl2br w:val="nil"/>
                    <w:tr2bl w:val="nil"/>
                  </w:tcBorders>
                  <w:noWrap w:val="0"/>
                  <w:vAlign w:val="center"/>
                </w:tcPr>
                <w:p w14:paraId="425256F5">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SS-300-12000</w:t>
                  </w:r>
                </w:p>
              </w:tc>
              <w:tc>
                <w:tcPr>
                  <w:tcW w:w="1264" w:type="pct"/>
                  <w:tcBorders>
                    <w:tl2br w:val="nil"/>
                    <w:tr2bl w:val="nil"/>
                  </w:tcBorders>
                  <w:noWrap w:val="0"/>
                  <w:vAlign w:val="center"/>
                </w:tcPr>
                <w:p w14:paraId="54665B18">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5.5×3kW</w:t>
                  </w:r>
                </w:p>
              </w:tc>
              <w:tc>
                <w:tcPr>
                  <w:tcW w:w="1264" w:type="pct"/>
                  <w:tcBorders>
                    <w:tl2br w:val="nil"/>
                    <w:tr2bl w:val="nil"/>
                  </w:tcBorders>
                  <w:noWrap w:val="0"/>
                  <w:vAlign w:val="center"/>
                </w:tcPr>
                <w:p w14:paraId="168C2046">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r>
            <w:tr w14:paraId="0EE543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7" w:type="pct"/>
                  <w:vMerge w:val="continue"/>
                  <w:tcBorders>
                    <w:tl2br w:val="nil"/>
                    <w:tr2bl w:val="nil"/>
                  </w:tcBorders>
                  <w:noWrap w:val="0"/>
                  <w:vAlign w:val="center"/>
                </w:tcPr>
                <w:p w14:paraId="53CACA34">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1426" w:type="pct"/>
                  <w:tcBorders>
                    <w:tl2br w:val="nil"/>
                    <w:tr2bl w:val="nil"/>
                  </w:tcBorders>
                  <w:noWrap w:val="0"/>
                  <w:vAlign w:val="center"/>
                </w:tcPr>
                <w:p w14:paraId="59D2B439">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螺旋输送系统（有轴）</w:t>
                  </w:r>
                </w:p>
              </w:tc>
              <w:tc>
                <w:tcPr>
                  <w:tcW w:w="726" w:type="pct"/>
                  <w:tcBorders>
                    <w:tl2br w:val="nil"/>
                    <w:tr2bl w:val="nil"/>
                  </w:tcBorders>
                  <w:noWrap w:val="0"/>
                  <w:vAlign w:val="center"/>
                </w:tcPr>
                <w:p w14:paraId="3A62986D">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SS-200-6000</w:t>
                  </w:r>
                </w:p>
              </w:tc>
              <w:tc>
                <w:tcPr>
                  <w:tcW w:w="1264" w:type="pct"/>
                  <w:tcBorders>
                    <w:tl2br w:val="nil"/>
                    <w:tr2bl w:val="nil"/>
                  </w:tcBorders>
                  <w:noWrap w:val="0"/>
                  <w:vAlign w:val="center"/>
                </w:tcPr>
                <w:p w14:paraId="23935067">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2.2×3kW</w:t>
                  </w:r>
                </w:p>
              </w:tc>
              <w:tc>
                <w:tcPr>
                  <w:tcW w:w="1264" w:type="pct"/>
                  <w:tcBorders>
                    <w:tl2br w:val="nil"/>
                    <w:tr2bl w:val="nil"/>
                  </w:tcBorders>
                  <w:noWrap w:val="0"/>
                  <w:vAlign w:val="center"/>
                </w:tcPr>
                <w:p w14:paraId="13B96283">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r>
            <w:tr w14:paraId="0176D9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7" w:type="pct"/>
                  <w:tcBorders>
                    <w:tl2br w:val="nil"/>
                    <w:tr2bl w:val="nil"/>
                  </w:tcBorders>
                  <w:noWrap w:val="0"/>
                  <w:vAlign w:val="center"/>
                </w:tcPr>
                <w:p w14:paraId="6ABFB04B">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1426" w:type="pct"/>
                  <w:tcBorders>
                    <w:tl2br w:val="nil"/>
                    <w:tr2bl w:val="nil"/>
                  </w:tcBorders>
                  <w:noWrap w:val="0"/>
                  <w:vAlign w:val="center"/>
                </w:tcPr>
                <w:p w14:paraId="4C9757C7">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除砂器</w:t>
                  </w:r>
                </w:p>
              </w:tc>
              <w:tc>
                <w:tcPr>
                  <w:tcW w:w="726" w:type="pct"/>
                  <w:tcBorders>
                    <w:tl2br w:val="nil"/>
                    <w:tr2bl w:val="nil"/>
                  </w:tcBorders>
                  <w:noWrap w:val="0"/>
                  <w:vAlign w:val="center"/>
                </w:tcPr>
                <w:p w14:paraId="7C2AB579">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ZQJ250</w:t>
                  </w:r>
                </w:p>
              </w:tc>
              <w:tc>
                <w:tcPr>
                  <w:tcW w:w="1264" w:type="pct"/>
                  <w:tcBorders>
                    <w:tl2br w:val="nil"/>
                    <w:tr2bl w:val="nil"/>
                  </w:tcBorders>
                  <w:noWrap w:val="0"/>
                  <w:vAlign w:val="center"/>
                </w:tcPr>
                <w:p w14:paraId="767C32B9">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264" w:type="pct"/>
                  <w:tcBorders>
                    <w:tl2br w:val="nil"/>
                    <w:tr2bl w:val="nil"/>
                  </w:tcBorders>
                  <w:noWrap w:val="0"/>
                  <w:vAlign w:val="center"/>
                </w:tcPr>
                <w:p w14:paraId="01A6A39C">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02FAC2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7" w:type="pct"/>
                  <w:vMerge w:val="restart"/>
                  <w:tcBorders>
                    <w:tl2br w:val="nil"/>
                    <w:tr2bl w:val="nil"/>
                  </w:tcBorders>
                  <w:noWrap w:val="0"/>
                  <w:vAlign w:val="center"/>
                </w:tcPr>
                <w:p w14:paraId="5908AFFC">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1426" w:type="pct"/>
                  <w:tcBorders>
                    <w:tl2br w:val="nil"/>
                    <w:tr2bl w:val="nil"/>
                  </w:tcBorders>
                  <w:noWrap w:val="0"/>
                  <w:vAlign w:val="center"/>
                </w:tcPr>
                <w:p w14:paraId="1442345E">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除泥器</w:t>
                  </w:r>
                </w:p>
              </w:tc>
              <w:tc>
                <w:tcPr>
                  <w:tcW w:w="726" w:type="pct"/>
                  <w:tcBorders>
                    <w:tl2br w:val="nil"/>
                    <w:tr2bl w:val="nil"/>
                  </w:tcBorders>
                  <w:noWrap w:val="0"/>
                  <w:vAlign w:val="center"/>
                </w:tcPr>
                <w:p w14:paraId="55276ABE">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ZQJ250</w:t>
                  </w:r>
                </w:p>
              </w:tc>
              <w:tc>
                <w:tcPr>
                  <w:tcW w:w="1264" w:type="pct"/>
                  <w:tcBorders>
                    <w:tl2br w:val="nil"/>
                    <w:tr2bl w:val="nil"/>
                  </w:tcBorders>
                  <w:noWrap w:val="0"/>
                  <w:vAlign w:val="center"/>
                </w:tcPr>
                <w:p w14:paraId="53816119">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264" w:type="pct"/>
                  <w:tcBorders>
                    <w:tl2br w:val="nil"/>
                    <w:tr2bl w:val="nil"/>
                  </w:tcBorders>
                  <w:noWrap w:val="0"/>
                  <w:vAlign w:val="center"/>
                </w:tcPr>
                <w:p w14:paraId="57E367A5">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38349E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7" w:type="pct"/>
                  <w:vMerge w:val="continue"/>
                  <w:tcBorders>
                    <w:tl2br w:val="nil"/>
                    <w:tr2bl w:val="nil"/>
                  </w:tcBorders>
                  <w:noWrap w:val="0"/>
                  <w:vAlign w:val="center"/>
                </w:tcPr>
                <w:p w14:paraId="22C92AF4">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1426" w:type="pct"/>
                  <w:tcBorders>
                    <w:tl2br w:val="nil"/>
                    <w:tr2bl w:val="nil"/>
                  </w:tcBorders>
                  <w:noWrap w:val="0"/>
                  <w:vAlign w:val="center"/>
                </w:tcPr>
                <w:p w14:paraId="22CF1357">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甩干机</w:t>
                  </w:r>
                </w:p>
              </w:tc>
              <w:tc>
                <w:tcPr>
                  <w:tcW w:w="726" w:type="pct"/>
                  <w:tcBorders>
                    <w:tl2br w:val="nil"/>
                    <w:tr2bl w:val="nil"/>
                  </w:tcBorders>
                  <w:noWrap w:val="0"/>
                  <w:vAlign w:val="center"/>
                </w:tcPr>
                <w:p w14:paraId="5F4C0AB7">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GHD-1</w:t>
                  </w:r>
                </w:p>
              </w:tc>
              <w:tc>
                <w:tcPr>
                  <w:tcW w:w="1264" w:type="pct"/>
                  <w:tcBorders>
                    <w:tl2br w:val="nil"/>
                    <w:tr2bl w:val="nil"/>
                  </w:tcBorders>
                  <w:noWrap w:val="0"/>
                  <w:vAlign w:val="center"/>
                </w:tcPr>
                <w:p w14:paraId="70DF82ED">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18.5kW</w:t>
                  </w:r>
                </w:p>
              </w:tc>
              <w:tc>
                <w:tcPr>
                  <w:tcW w:w="1264" w:type="pct"/>
                  <w:tcBorders>
                    <w:tl2br w:val="nil"/>
                    <w:tr2bl w:val="nil"/>
                  </w:tcBorders>
                  <w:noWrap w:val="0"/>
                  <w:vAlign w:val="center"/>
                </w:tcPr>
                <w:p w14:paraId="43891A70">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7DC7F4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7" w:type="pct"/>
                  <w:tcBorders>
                    <w:tl2br w:val="nil"/>
                    <w:tr2bl w:val="nil"/>
                  </w:tcBorders>
                  <w:noWrap w:val="0"/>
                  <w:vAlign w:val="center"/>
                </w:tcPr>
                <w:p w14:paraId="5170B401">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1426" w:type="pct"/>
                  <w:tcBorders>
                    <w:tl2br w:val="nil"/>
                    <w:tr2bl w:val="nil"/>
                  </w:tcBorders>
                  <w:noWrap w:val="0"/>
                  <w:vAlign w:val="center"/>
                </w:tcPr>
                <w:p w14:paraId="2A410F77">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离心机</w:t>
                  </w:r>
                </w:p>
              </w:tc>
              <w:tc>
                <w:tcPr>
                  <w:tcW w:w="726" w:type="pct"/>
                  <w:tcBorders>
                    <w:tl2br w:val="nil"/>
                    <w:tr2bl w:val="nil"/>
                  </w:tcBorders>
                  <w:noWrap w:val="0"/>
                  <w:vAlign w:val="center"/>
                </w:tcPr>
                <w:p w14:paraId="4ED87ED9">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LW600</w:t>
                  </w:r>
                </w:p>
              </w:tc>
              <w:tc>
                <w:tcPr>
                  <w:tcW w:w="1264" w:type="pct"/>
                  <w:tcBorders>
                    <w:tl2br w:val="nil"/>
                    <w:tr2bl w:val="nil"/>
                  </w:tcBorders>
                  <w:noWrap w:val="0"/>
                  <w:vAlign w:val="center"/>
                </w:tcPr>
                <w:p w14:paraId="3F6F3A23">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7.5KW</w:t>
                  </w:r>
                </w:p>
              </w:tc>
              <w:tc>
                <w:tcPr>
                  <w:tcW w:w="1264" w:type="pct"/>
                  <w:tcBorders>
                    <w:tl2br w:val="nil"/>
                    <w:tr2bl w:val="nil"/>
                  </w:tcBorders>
                  <w:noWrap w:val="0"/>
                  <w:vAlign w:val="center"/>
                </w:tcPr>
                <w:p w14:paraId="1620FC85">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2A3C07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7" w:type="pct"/>
                  <w:tcBorders>
                    <w:tl2br w:val="nil"/>
                    <w:tr2bl w:val="nil"/>
                  </w:tcBorders>
                  <w:noWrap w:val="0"/>
                  <w:vAlign w:val="center"/>
                </w:tcPr>
                <w:p w14:paraId="7AA4FC21">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1426" w:type="pct"/>
                  <w:tcBorders>
                    <w:tl2br w:val="nil"/>
                    <w:tr2bl w:val="nil"/>
                  </w:tcBorders>
                  <w:noWrap w:val="0"/>
                  <w:vAlign w:val="center"/>
                </w:tcPr>
                <w:p w14:paraId="6C6415B7">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储罐搅拌系统</w:t>
                  </w:r>
                </w:p>
              </w:tc>
              <w:tc>
                <w:tcPr>
                  <w:tcW w:w="726" w:type="pct"/>
                  <w:tcBorders>
                    <w:tl2br w:val="nil"/>
                    <w:tr2bl w:val="nil"/>
                  </w:tcBorders>
                  <w:noWrap w:val="0"/>
                  <w:vAlign w:val="center"/>
                </w:tcPr>
                <w:p w14:paraId="6A940F83">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264" w:type="pct"/>
                  <w:tcBorders>
                    <w:tl2br w:val="nil"/>
                    <w:tr2bl w:val="nil"/>
                  </w:tcBorders>
                  <w:noWrap w:val="0"/>
                  <w:vAlign w:val="center"/>
                </w:tcPr>
                <w:p w14:paraId="0F8AA3E7">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11kW</w:t>
                  </w:r>
                </w:p>
              </w:tc>
              <w:tc>
                <w:tcPr>
                  <w:tcW w:w="1264" w:type="pct"/>
                  <w:tcBorders>
                    <w:tl2br w:val="nil"/>
                    <w:tr2bl w:val="nil"/>
                  </w:tcBorders>
                  <w:noWrap w:val="0"/>
                  <w:vAlign w:val="center"/>
                </w:tcPr>
                <w:p w14:paraId="67464031">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198BEA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7" w:type="pct"/>
                  <w:tcBorders>
                    <w:tl2br w:val="nil"/>
                    <w:tr2bl w:val="nil"/>
                  </w:tcBorders>
                  <w:noWrap w:val="0"/>
                  <w:vAlign w:val="center"/>
                </w:tcPr>
                <w:p w14:paraId="513E67E4">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w:t>
                  </w:r>
                </w:p>
              </w:tc>
              <w:tc>
                <w:tcPr>
                  <w:tcW w:w="1426" w:type="pct"/>
                  <w:tcBorders>
                    <w:tl2br w:val="nil"/>
                    <w:tr2bl w:val="nil"/>
                  </w:tcBorders>
                  <w:noWrap w:val="0"/>
                  <w:vAlign w:val="center"/>
                </w:tcPr>
                <w:p w14:paraId="69A6E660">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废液缓冲罐</w:t>
                  </w:r>
                </w:p>
              </w:tc>
              <w:tc>
                <w:tcPr>
                  <w:tcW w:w="726" w:type="pct"/>
                  <w:tcBorders>
                    <w:tl2br w:val="nil"/>
                    <w:tr2bl w:val="nil"/>
                  </w:tcBorders>
                  <w:noWrap w:val="0"/>
                  <w:vAlign w:val="center"/>
                </w:tcPr>
                <w:p w14:paraId="6D78BB68">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75</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64" w:type="pct"/>
                  <w:tcBorders>
                    <w:tl2br w:val="nil"/>
                    <w:tr2bl w:val="nil"/>
                  </w:tcBorders>
                  <w:noWrap w:val="0"/>
                  <w:vAlign w:val="center"/>
                </w:tcPr>
                <w:p w14:paraId="75DFDF56">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64" w:type="pct"/>
                  <w:tcBorders>
                    <w:tl2br w:val="nil"/>
                    <w:tr2bl w:val="nil"/>
                  </w:tcBorders>
                  <w:noWrap w:val="0"/>
                  <w:vAlign w:val="center"/>
                </w:tcPr>
                <w:p w14:paraId="6844FEEF">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r>
            <w:tr w14:paraId="298D8C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7" w:type="pct"/>
                  <w:tcBorders>
                    <w:tl2br w:val="nil"/>
                    <w:tr2bl w:val="nil"/>
                  </w:tcBorders>
                  <w:noWrap w:val="0"/>
                  <w:vAlign w:val="center"/>
                </w:tcPr>
                <w:p w14:paraId="5CCD3BD9">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w:t>
                  </w:r>
                </w:p>
              </w:tc>
              <w:tc>
                <w:tcPr>
                  <w:tcW w:w="1426" w:type="pct"/>
                  <w:tcBorders>
                    <w:tl2br w:val="nil"/>
                    <w:tr2bl w:val="nil"/>
                  </w:tcBorders>
                  <w:noWrap w:val="0"/>
                  <w:vAlign w:val="center"/>
                </w:tcPr>
                <w:p w14:paraId="0F4A377C">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返排液收集罐</w:t>
                  </w:r>
                </w:p>
              </w:tc>
              <w:tc>
                <w:tcPr>
                  <w:tcW w:w="726" w:type="pct"/>
                  <w:tcBorders>
                    <w:tl2br w:val="nil"/>
                    <w:tr2bl w:val="nil"/>
                  </w:tcBorders>
                  <w:noWrap w:val="0"/>
                  <w:vAlign w:val="center"/>
                </w:tcPr>
                <w:p w14:paraId="35CCF7C3">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75</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64" w:type="pct"/>
                  <w:tcBorders>
                    <w:tl2br w:val="nil"/>
                    <w:tr2bl w:val="nil"/>
                  </w:tcBorders>
                  <w:noWrap w:val="0"/>
                  <w:vAlign w:val="center"/>
                </w:tcPr>
                <w:p w14:paraId="1393C42A">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64" w:type="pct"/>
                  <w:tcBorders>
                    <w:tl2br w:val="nil"/>
                    <w:tr2bl w:val="nil"/>
                  </w:tcBorders>
                  <w:noWrap w:val="0"/>
                  <w:vAlign w:val="center"/>
                </w:tcPr>
                <w:p w14:paraId="6CDF4C76">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r>
            <w:tr w14:paraId="1C7353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7" w:type="pct"/>
                  <w:tcBorders>
                    <w:tl2br w:val="nil"/>
                    <w:tr2bl w:val="nil"/>
                  </w:tcBorders>
                  <w:noWrap w:val="0"/>
                  <w:vAlign w:val="center"/>
                </w:tcPr>
                <w:p w14:paraId="489AE4A2">
                  <w:pPr>
                    <w:adjustRightInd w:val="0"/>
                    <w:snapToGrid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1426" w:type="pct"/>
                  <w:tcBorders>
                    <w:tl2br w:val="nil"/>
                    <w:tr2bl w:val="nil"/>
                  </w:tcBorders>
                  <w:noWrap w:val="0"/>
                  <w:vAlign w:val="center"/>
                </w:tcPr>
                <w:p w14:paraId="23B7C0BB">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泥饼、</w:t>
                  </w:r>
                  <w:r>
                    <w:rPr>
                      <w:rFonts w:hint="default" w:ascii="Times New Roman" w:hAnsi="Times New Roman" w:eastAsia="宋体" w:cs="Times New Roman"/>
                      <w:color w:val="000000" w:themeColor="text1"/>
                      <w:sz w:val="21"/>
                      <w:szCs w:val="21"/>
                      <w14:textFill>
                        <w14:solidFill>
                          <w14:schemeClr w14:val="tx1"/>
                        </w14:solidFill>
                      </w14:textFill>
                    </w:rPr>
                    <w:t>岩屑收集罐</w:t>
                  </w:r>
                </w:p>
              </w:tc>
              <w:tc>
                <w:tcPr>
                  <w:tcW w:w="726" w:type="pct"/>
                  <w:tcBorders>
                    <w:tl2br w:val="nil"/>
                    <w:tr2bl w:val="nil"/>
                  </w:tcBorders>
                  <w:noWrap w:val="0"/>
                  <w:vAlign w:val="center"/>
                </w:tcPr>
                <w:p w14:paraId="077EA8F4">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64" w:type="pct"/>
                  <w:tcBorders>
                    <w:tl2br w:val="nil"/>
                    <w:tr2bl w:val="nil"/>
                  </w:tcBorders>
                  <w:noWrap w:val="0"/>
                  <w:vAlign w:val="center"/>
                </w:tcPr>
                <w:p w14:paraId="276E9B3C">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264" w:type="pct"/>
                  <w:tcBorders>
                    <w:tl2br w:val="nil"/>
                    <w:tr2bl w:val="nil"/>
                  </w:tcBorders>
                  <w:noWrap w:val="0"/>
                  <w:vAlign w:val="center"/>
                </w:tcPr>
                <w:p w14:paraId="54619B8C">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r>
            <w:tr w14:paraId="718C53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7" w:type="pct"/>
                  <w:tcBorders>
                    <w:tl2br w:val="nil"/>
                    <w:tr2bl w:val="nil"/>
                  </w:tcBorders>
                  <w:noWrap w:val="0"/>
                  <w:vAlign w:val="center"/>
                </w:tcPr>
                <w:p w14:paraId="13692931">
                  <w:pPr>
                    <w:adjustRightInd w:val="0"/>
                    <w:snapToGrid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p>
              </w:tc>
              <w:tc>
                <w:tcPr>
                  <w:tcW w:w="1426" w:type="pct"/>
                  <w:tcBorders>
                    <w:tl2br w:val="nil"/>
                    <w:tr2bl w:val="nil"/>
                  </w:tcBorders>
                  <w:noWrap w:val="0"/>
                  <w:vAlign w:val="center"/>
                </w:tcPr>
                <w:p w14:paraId="1C862C9B">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振动筛</w:t>
                  </w:r>
                </w:p>
              </w:tc>
              <w:tc>
                <w:tcPr>
                  <w:tcW w:w="726" w:type="pct"/>
                  <w:tcBorders>
                    <w:tl2br w:val="nil"/>
                    <w:tr2bl w:val="nil"/>
                  </w:tcBorders>
                  <w:noWrap w:val="0"/>
                  <w:vAlign w:val="center"/>
                </w:tcPr>
                <w:p w14:paraId="1FFB52AF">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V20-h</w:t>
                  </w:r>
                </w:p>
              </w:tc>
              <w:tc>
                <w:tcPr>
                  <w:tcW w:w="1264" w:type="pct"/>
                  <w:tcBorders>
                    <w:tl2br w:val="nil"/>
                    <w:tr2bl w:val="nil"/>
                  </w:tcBorders>
                  <w:noWrap w:val="0"/>
                  <w:vAlign w:val="center"/>
                </w:tcPr>
                <w:p w14:paraId="1A6B7E0A">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2.5kW</w:t>
                  </w:r>
                </w:p>
              </w:tc>
              <w:tc>
                <w:tcPr>
                  <w:tcW w:w="1264" w:type="pct"/>
                  <w:tcBorders>
                    <w:tl2br w:val="nil"/>
                    <w:tr2bl w:val="nil"/>
                  </w:tcBorders>
                  <w:noWrap w:val="0"/>
                  <w:vAlign w:val="center"/>
                </w:tcPr>
                <w:p w14:paraId="674E8A34">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50D648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7" w:type="pct"/>
                  <w:tcBorders>
                    <w:tl2br w:val="nil"/>
                    <w:tr2bl w:val="nil"/>
                  </w:tcBorders>
                  <w:noWrap w:val="0"/>
                  <w:vAlign w:val="center"/>
                </w:tcPr>
                <w:p w14:paraId="602B10EE">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426" w:type="pct"/>
                  <w:tcBorders>
                    <w:tl2br w:val="nil"/>
                    <w:tr2bl w:val="nil"/>
                  </w:tcBorders>
                  <w:noWrap w:val="0"/>
                  <w:vAlign w:val="center"/>
                </w:tcPr>
                <w:p w14:paraId="7EBBBBAC">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压滤机</w:t>
                  </w:r>
                </w:p>
              </w:tc>
              <w:tc>
                <w:tcPr>
                  <w:tcW w:w="726" w:type="pct"/>
                  <w:tcBorders>
                    <w:tl2br w:val="nil"/>
                    <w:tr2bl w:val="nil"/>
                  </w:tcBorders>
                  <w:noWrap w:val="0"/>
                  <w:vAlign w:val="center"/>
                </w:tcPr>
                <w:p w14:paraId="2314B4FE">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64" w:type="pct"/>
                  <w:tcBorders>
                    <w:tl2br w:val="nil"/>
                    <w:tr2bl w:val="nil"/>
                  </w:tcBorders>
                  <w:noWrap w:val="0"/>
                  <w:vAlign w:val="center"/>
                </w:tcPr>
                <w:p w14:paraId="1747B93E">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1264" w:type="pct"/>
                  <w:tcBorders>
                    <w:tl2br w:val="nil"/>
                    <w:tr2bl w:val="nil"/>
                  </w:tcBorders>
                  <w:noWrap w:val="0"/>
                  <w:vAlign w:val="center"/>
                </w:tcPr>
                <w:p w14:paraId="6B499B52">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r>
          </w:tbl>
          <w:p w14:paraId="5BF0AD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六</w:t>
            </w: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、主要原辅材料</w:t>
            </w:r>
          </w:p>
          <w:p w14:paraId="05895E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项目主要原辅材料消耗情况见表2-</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7。</w:t>
            </w:r>
          </w:p>
          <w:p w14:paraId="0E0283B9">
            <w:pPr>
              <w:pStyle w:val="3"/>
              <w:keepNext/>
              <w:keepLines w:val="0"/>
              <w:pageBreakBefore w:val="0"/>
              <w:widowControl w:val="0"/>
              <w:kinsoku/>
              <w:wordWrap/>
              <w:overflowPunct w:val="0"/>
              <w:topLinePunct w:val="0"/>
              <w:autoSpaceDE/>
              <w:autoSpaceDN/>
              <w:bidi w:val="0"/>
              <w:adjustRightInd/>
              <w:snapToGrid w:val="0"/>
              <w:spacing w:before="0" w:after="0" w:line="240" w:lineRule="auto"/>
              <w:ind w:left="431" w:hanging="431"/>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表2-</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7</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 xml:space="preserve">   项目主要原辅材料消耗表</w:t>
            </w:r>
          </w:p>
          <w:tbl>
            <w:tblPr>
              <w:tblStyle w:val="20"/>
              <w:tblW w:w="4994"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641"/>
              <w:gridCol w:w="1196"/>
              <w:gridCol w:w="1131"/>
              <w:gridCol w:w="5417"/>
            </w:tblGrid>
            <w:tr w14:paraId="1CB0B0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4" w:hRule="atLeast"/>
                <w:jc w:val="center"/>
              </w:trPr>
              <w:tc>
                <w:tcPr>
                  <w:tcW w:w="382" w:type="pct"/>
                  <w:tcBorders>
                    <w:tl2br w:val="nil"/>
                    <w:tr2bl w:val="nil"/>
                  </w:tcBorders>
                  <w:noWrap w:val="0"/>
                  <w:vAlign w:val="center"/>
                </w:tcPr>
                <w:p w14:paraId="4885A133">
                  <w:pPr>
                    <w:spacing w:line="36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713" w:type="pct"/>
                  <w:tcBorders>
                    <w:tl2br w:val="nil"/>
                    <w:tr2bl w:val="nil"/>
                  </w:tcBorders>
                  <w:noWrap w:val="0"/>
                  <w:vAlign w:val="center"/>
                </w:tcPr>
                <w:p w14:paraId="1288A971">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lang w:bidi="ar"/>
                      <w14:textFill>
                        <w14:solidFill>
                          <w14:schemeClr w14:val="tx1"/>
                        </w14:solidFill>
                      </w14:textFill>
                    </w:rPr>
                    <w:t>原料名称</w:t>
                  </w:r>
                </w:p>
              </w:tc>
              <w:tc>
                <w:tcPr>
                  <w:tcW w:w="674" w:type="pct"/>
                  <w:tcBorders>
                    <w:tl2br w:val="nil"/>
                    <w:tr2bl w:val="nil"/>
                  </w:tcBorders>
                  <w:noWrap w:val="0"/>
                  <w:vAlign w:val="center"/>
                </w:tcPr>
                <w:p w14:paraId="2D1E4295">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lang w:bidi="ar"/>
                      <w14:textFill>
                        <w14:solidFill>
                          <w14:schemeClr w14:val="tx1"/>
                        </w14:solidFill>
                      </w14:textFill>
                    </w:rPr>
                    <w:t>项目用量</w:t>
                  </w:r>
                </w:p>
              </w:tc>
              <w:tc>
                <w:tcPr>
                  <w:tcW w:w="3229" w:type="pct"/>
                  <w:tcBorders>
                    <w:tl2br w:val="nil"/>
                    <w:tr2bl w:val="nil"/>
                  </w:tcBorders>
                  <w:noWrap w:val="0"/>
                  <w:vAlign w:val="center"/>
                </w:tcPr>
                <w:p w14:paraId="0B616DF4">
                  <w:pPr>
                    <w:spacing w:line="36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备注</w:t>
                  </w:r>
                </w:p>
              </w:tc>
            </w:tr>
            <w:tr w14:paraId="740088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4" w:hRule="atLeast"/>
                <w:jc w:val="center"/>
              </w:trPr>
              <w:tc>
                <w:tcPr>
                  <w:tcW w:w="382" w:type="pct"/>
                  <w:tcBorders>
                    <w:tl2br w:val="nil"/>
                    <w:tr2bl w:val="nil"/>
                  </w:tcBorders>
                  <w:noWrap w:val="0"/>
                  <w:vAlign w:val="center"/>
                </w:tcPr>
                <w:p w14:paraId="62E03A52">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713" w:type="pct"/>
                  <w:tcBorders>
                    <w:tl2br w:val="nil"/>
                    <w:tr2bl w:val="nil"/>
                  </w:tcBorders>
                  <w:noWrap w:val="0"/>
                  <w:vAlign w:val="center"/>
                </w:tcPr>
                <w:p w14:paraId="1BB3A202">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新鲜水</w:t>
                  </w:r>
                </w:p>
              </w:tc>
              <w:tc>
                <w:tcPr>
                  <w:tcW w:w="674" w:type="pct"/>
                  <w:tcBorders>
                    <w:tl2br w:val="nil"/>
                    <w:tr2bl w:val="nil"/>
                  </w:tcBorders>
                  <w:noWrap w:val="0"/>
                  <w:vAlign w:val="center"/>
                </w:tcPr>
                <w:p w14:paraId="15A7D6D1">
                  <w:pPr>
                    <w:adjustRightInd w:val="0"/>
                    <w:snapToGrid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5471.25</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3229" w:type="pct"/>
                  <w:tcBorders>
                    <w:tl2br w:val="nil"/>
                    <w:tr2bl w:val="nil"/>
                  </w:tcBorders>
                  <w:noWrap w:val="0"/>
                  <w:vAlign w:val="center"/>
                </w:tcPr>
                <w:p w14:paraId="01750940">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用于生活、钻井和洗井，罐车拉运及储存</w:t>
                  </w:r>
                </w:p>
              </w:tc>
            </w:tr>
            <w:tr w14:paraId="47039B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7" w:hRule="atLeast"/>
                <w:jc w:val="center"/>
              </w:trPr>
              <w:tc>
                <w:tcPr>
                  <w:tcW w:w="382" w:type="pct"/>
                  <w:tcBorders>
                    <w:tl2br w:val="nil"/>
                    <w:tr2bl w:val="nil"/>
                  </w:tcBorders>
                  <w:noWrap w:val="0"/>
                  <w:vAlign w:val="center"/>
                </w:tcPr>
                <w:p w14:paraId="5BF88DE1">
                  <w:pPr>
                    <w:spacing w:line="360" w:lineRule="exact"/>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713" w:type="pct"/>
                  <w:tcBorders>
                    <w:tl2br w:val="nil"/>
                    <w:tr2bl w:val="nil"/>
                  </w:tcBorders>
                  <w:noWrap w:val="0"/>
                  <w:vAlign w:val="center"/>
                </w:tcPr>
                <w:p w14:paraId="3EC7A23B">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钻井液添加剂</w:t>
                  </w:r>
                </w:p>
              </w:tc>
              <w:tc>
                <w:tcPr>
                  <w:tcW w:w="674" w:type="pct"/>
                  <w:tcBorders>
                    <w:tl2br w:val="nil"/>
                    <w:tr2bl w:val="nil"/>
                  </w:tcBorders>
                  <w:noWrap w:val="0"/>
                  <w:vAlign w:val="center"/>
                </w:tcPr>
                <w:p w14:paraId="28DF48F2">
                  <w:pPr>
                    <w:adjustRightInd w:val="0"/>
                    <w:snapToGrid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244</w:t>
                  </w:r>
                  <w:r>
                    <w:rPr>
                      <w:rFonts w:hint="default" w:ascii="Times New Roman" w:hAnsi="Times New Roman" w:cs="Times New Roman"/>
                      <w:color w:val="000000" w:themeColor="text1"/>
                      <w:sz w:val="21"/>
                      <w:szCs w:val="21"/>
                      <w14:textFill>
                        <w14:solidFill>
                          <w14:schemeClr w14:val="tx1"/>
                        </w14:solidFill>
                      </w14:textFill>
                    </w:rPr>
                    <w:t>t</w:t>
                  </w:r>
                </w:p>
              </w:tc>
              <w:tc>
                <w:tcPr>
                  <w:tcW w:w="3229" w:type="pct"/>
                  <w:tcBorders>
                    <w:tl2br w:val="nil"/>
                    <w:tr2bl w:val="nil"/>
                  </w:tcBorders>
                  <w:noWrap w:val="0"/>
                  <w:vAlign w:val="center"/>
                </w:tcPr>
                <w:p w14:paraId="05DABD0B">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携带岩屑，稳定井壁，减少钻机磨损，平衡（控制）地层压力等，添加剂储罐置于进行防渗处理的围堰内，底部压实后铺设2mm厚高密度聚乙烯膜，使渗透系数≤10</w:t>
                  </w:r>
                  <w:r>
                    <w:rPr>
                      <w:rFonts w:hint="default" w:ascii="Times New Roman" w:hAnsi="Times New Roman" w:cs="Times New Roman"/>
                      <w:color w:val="000000" w:themeColor="text1"/>
                      <w:sz w:val="21"/>
                      <w:szCs w:val="21"/>
                      <w:vertAlign w:val="superscript"/>
                      <w14:textFill>
                        <w14:solidFill>
                          <w14:schemeClr w14:val="tx1"/>
                        </w14:solidFill>
                      </w14:textFill>
                    </w:rPr>
                    <w:t>-7</w:t>
                  </w:r>
                  <w:r>
                    <w:rPr>
                      <w:rFonts w:hint="default" w:ascii="Times New Roman" w:hAnsi="Times New Roman" w:cs="Times New Roman"/>
                      <w:color w:val="000000" w:themeColor="text1"/>
                      <w:sz w:val="21"/>
                      <w:szCs w:val="21"/>
                      <w14:textFill>
                        <w14:solidFill>
                          <w14:schemeClr w14:val="tx1"/>
                        </w14:solidFill>
                      </w14:textFill>
                    </w:rPr>
                    <w:t>cm/s</w:t>
                  </w:r>
                  <w:r>
                    <w:rPr>
                      <w:rFonts w:hint="default" w:ascii="Times New Roman" w:hAnsi="Times New Roman" w:eastAsia="宋体" w:cs="Times New Roman"/>
                      <w:color w:val="000000" w:themeColor="text1"/>
                      <w:sz w:val="21"/>
                      <w:szCs w:val="21"/>
                      <w14:textFill>
                        <w14:solidFill>
                          <w14:schemeClr w14:val="tx1"/>
                        </w14:solidFill>
                      </w14:textFill>
                    </w:rPr>
                    <w:t>；由车辆拉运至材料房内暂存。</w:t>
                  </w:r>
                </w:p>
              </w:tc>
            </w:tr>
            <w:tr w14:paraId="6BAEBE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7" w:hRule="atLeast"/>
                <w:jc w:val="center"/>
              </w:trPr>
              <w:tc>
                <w:tcPr>
                  <w:tcW w:w="382" w:type="pct"/>
                  <w:tcBorders>
                    <w:tl2br w:val="nil"/>
                    <w:tr2bl w:val="nil"/>
                  </w:tcBorders>
                  <w:noWrap w:val="0"/>
                  <w:vAlign w:val="center"/>
                </w:tcPr>
                <w:p w14:paraId="75291B7A">
                  <w:pPr>
                    <w:spacing w:line="360" w:lineRule="exact"/>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713" w:type="pct"/>
                  <w:tcBorders>
                    <w:tl2br w:val="nil"/>
                    <w:tr2bl w:val="nil"/>
                  </w:tcBorders>
                  <w:noWrap w:val="0"/>
                  <w:vAlign w:val="center"/>
                </w:tcPr>
                <w:p w14:paraId="109E4576">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压裂液</w:t>
                  </w:r>
                </w:p>
              </w:tc>
              <w:tc>
                <w:tcPr>
                  <w:tcW w:w="674" w:type="pct"/>
                  <w:tcBorders>
                    <w:tl2br w:val="nil"/>
                    <w:tr2bl w:val="nil"/>
                  </w:tcBorders>
                  <w:noWrap w:val="0"/>
                  <w:vAlign w:val="center"/>
                </w:tcPr>
                <w:p w14:paraId="3ABD6982">
                  <w:pPr>
                    <w:adjustRightInd w:val="0"/>
                    <w:snapToGrid w:val="0"/>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1200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3229" w:type="pct"/>
                  <w:tcBorders>
                    <w:tl2br w:val="nil"/>
                    <w:tr2bl w:val="nil"/>
                  </w:tcBorders>
                  <w:noWrap w:val="0"/>
                  <w:vAlign w:val="center"/>
                </w:tcPr>
                <w:p w14:paraId="5A94A1FC">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用于压裂作业，形成油气高渗透带，改善气层导流能力，压裂液储罐置于进行防渗处理的围堰内，围堰内底部压实后铺设2mm厚高密度聚乙烯膜，使渗透系数≤10</w:t>
                  </w:r>
                  <w:r>
                    <w:rPr>
                      <w:rFonts w:hint="default" w:ascii="Times New Roman" w:hAnsi="Times New Roman" w:cs="Times New Roman"/>
                      <w:color w:val="000000" w:themeColor="text1"/>
                      <w:sz w:val="21"/>
                      <w:szCs w:val="21"/>
                      <w:vertAlign w:val="superscript"/>
                      <w14:textFill>
                        <w14:solidFill>
                          <w14:schemeClr w14:val="tx1"/>
                        </w14:solidFill>
                      </w14:textFill>
                    </w:rPr>
                    <w:t>-7</w:t>
                  </w:r>
                  <w:r>
                    <w:rPr>
                      <w:rFonts w:hint="default" w:ascii="Times New Roman" w:hAnsi="Times New Roman" w:cs="Times New Roman"/>
                      <w:color w:val="000000" w:themeColor="text1"/>
                      <w:sz w:val="21"/>
                      <w:szCs w:val="21"/>
                      <w14:textFill>
                        <w14:solidFill>
                          <w14:schemeClr w14:val="tx1"/>
                        </w14:solidFill>
                      </w14:textFill>
                    </w:rPr>
                    <w:t>cm/s</w:t>
                  </w:r>
                  <w:r>
                    <w:rPr>
                      <w:rFonts w:hint="default" w:ascii="Times New Roman" w:hAnsi="Times New Roman" w:eastAsia="宋体" w:cs="Times New Roman"/>
                      <w:color w:val="000000" w:themeColor="text1"/>
                      <w:sz w:val="21"/>
                      <w:szCs w:val="21"/>
                      <w14:textFill>
                        <w14:solidFill>
                          <w14:schemeClr w14:val="tx1"/>
                        </w14:solidFill>
                      </w14:textFill>
                    </w:rPr>
                    <w:t>，主</w:t>
                  </w:r>
                </w:p>
                <w:p w14:paraId="40C09168">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成分为水凝胶，用于压裂作业，形成油气高渗透带，改善油气层导流能力。</w:t>
                  </w:r>
                </w:p>
              </w:tc>
            </w:tr>
            <w:tr w14:paraId="06A6C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215" w:hRule="atLeast"/>
                <w:jc w:val="center"/>
              </w:trPr>
              <w:tc>
                <w:tcPr>
                  <w:tcW w:w="382" w:type="pct"/>
                  <w:tcBorders>
                    <w:tl2br w:val="nil"/>
                    <w:tr2bl w:val="nil"/>
                  </w:tcBorders>
                  <w:noWrap w:val="0"/>
                  <w:vAlign w:val="center"/>
                </w:tcPr>
                <w:p w14:paraId="59B524F4">
                  <w:pPr>
                    <w:spacing w:line="36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713" w:type="pct"/>
                  <w:tcBorders>
                    <w:tl2br w:val="nil"/>
                    <w:tr2bl w:val="nil"/>
                  </w:tcBorders>
                  <w:noWrap w:val="0"/>
                  <w:vAlign w:val="center"/>
                </w:tcPr>
                <w:p w14:paraId="527A6B4B">
                  <w:pPr>
                    <w:spacing w:line="36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射孔液</w:t>
                  </w:r>
                </w:p>
              </w:tc>
              <w:tc>
                <w:tcPr>
                  <w:tcW w:w="674" w:type="pct"/>
                  <w:tcBorders>
                    <w:tl2br w:val="nil"/>
                    <w:tr2bl w:val="nil"/>
                  </w:tcBorders>
                  <w:noWrap w:val="0"/>
                  <w:vAlign w:val="center"/>
                </w:tcPr>
                <w:p w14:paraId="476F1A8B">
                  <w:pPr>
                    <w:adjustRightInd w:val="0"/>
                    <w:snapToGrid w:val="0"/>
                    <w:spacing w:line="36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144</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3229" w:type="pct"/>
                  <w:tcBorders>
                    <w:tl2br w:val="nil"/>
                    <w:tr2bl w:val="nil"/>
                  </w:tcBorders>
                  <w:noWrap w:val="0"/>
                  <w:vAlign w:val="center"/>
                </w:tcPr>
                <w:p w14:paraId="6F727F0F">
                  <w:pPr>
                    <w:jc w:val="center"/>
                    <w:rPr>
                      <w:rFonts w:hint="default" w:ascii="Times New Roman" w:hAnsi="Times New Roman" w:eastAsia="宋体" w:cs="Times New Roman"/>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外购成品，存放于原辅料存放区，液态物质采用</w:t>
                  </w:r>
                  <w:r>
                    <w:rPr>
                      <w:rFonts w:hint="eastAsia"/>
                      <w:color w:val="000000" w:themeColor="text1"/>
                      <w:sz w:val="21"/>
                      <w:szCs w:val="21"/>
                      <w14:textFill>
                        <w14:solidFill>
                          <w14:schemeClr w14:val="tx1"/>
                        </w14:solidFill>
                      </w14:textFill>
                    </w:rPr>
                    <w:t>桶装</w:t>
                  </w:r>
                  <w:r>
                    <w:rPr>
                      <w:color w:val="000000" w:themeColor="text1"/>
                      <w:sz w:val="21"/>
                      <w:szCs w:val="21"/>
                      <w14:textFill>
                        <w14:solidFill>
                          <w14:schemeClr w14:val="tx1"/>
                        </w14:solidFill>
                      </w14:textFill>
                    </w:rPr>
                    <w:t>，固态物质采用袋装，按其性质，分区堆放，原辅料存放区下面采用基础黏土防渗+双层防渗布，上面遮盖篷布。</w:t>
                  </w:r>
                </w:p>
              </w:tc>
            </w:tr>
            <w:tr w14:paraId="36B3A0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7" w:hRule="atLeast"/>
                <w:jc w:val="center"/>
              </w:trPr>
              <w:tc>
                <w:tcPr>
                  <w:tcW w:w="382" w:type="pct"/>
                  <w:tcBorders>
                    <w:tl2br w:val="nil"/>
                    <w:tr2bl w:val="nil"/>
                  </w:tcBorders>
                  <w:noWrap w:val="0"/>
                  <w:vAlign w:val="center"/>
                </w:tcPr>
                <w:p w14:paraId="2A5BC733">
                  <w:pPr>
                    <w:spacing w:line="36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713" w:type="pct"/>
                  <w:tcBorders>
                    <w:tl2br w:val="nil"/>
                    <w:tr2bl w:val="nil"/>
                  </w:tcBorders>
                  <w:noWrap w:val="0"/>
                  <w:vAlign w:val="center"/>
                </w:tcPr>
                <w:p w14:paraId="4AE7A325">
                  <w:pPr>
                    <w:spacing w:line="36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机油</w:t>
                  </w:r>
                </w:p>
              </w:tc>
              <w:tc>
                <w:tcPr>
                  <w:tcW w:w="674" w:type="pct"/>
                  <w:tcBorders>
                    <w:tl2br w:val="nil"/>
                    <w:tr2bl w:val="nil"/>
                  </w:tcBorders>
                  <w:noWrap w:val="0"/>
                  <w:vAlign w:val="center"/>
                </w:tcPr>
                <w:p w14:paraId="74FECBD5">
                  <w:pPr>
                    <w:adjustRightInd w:val="0"/>
                    <w:snapToGrid w:val="0"/>
                    <w:spacing w:line="36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L</w:t>
                  </w:r>
                </w:p>
              </w:tc>
              <w:tc>
                <w:tcPr>
                  <w:tcW w:w="3229" w:type="pct"/>
                  <w:tcBorders>
                    <w:tl2br w:val="nil"/>
                    <w:tr2bl w:val="nil"/>
                  </w:tcBorders>
                  <w:noWrap w:val="0"/>
                  <w:vAlign w:val="center"/>
                </w:tcPr>
                <w:p w14:paraId="10A7E97D">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对发动机起到润滑减磨、辅助冷却降温、密封防漏、防锈防蚀、减震缓冲等作用。密度：0.91×10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（kg/m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443A5A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7" w:hRule="atLeast"/>
                <w:jc w:val="center"/>
              </w:trPr>
              <w:tc>
                <w:tcPr>
                  <w:tcW w:w="382" w:type="pct"/>
                  <w:tcBorders>
                    <w:tl2br w:val="nil"/>
                    <w:tr2bl w:val="nil"/>
                  </w:tcBorders>
                  <w:noWrap w:val="0"/>
                  <w:vAlign w:val="center"/>
                </w:tcPr>
                <w:p w14:paraId="50E36EC7">
                  <w:pPr>
                    <w:spacing w:line="36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p>
              </w:tc>
              <w:tc>
                <w:tcPr>
                  <w:tcW w:w="713" w:type="pct"/>
                  <w:tcBorders>
                    <w:tl2br w:val="nil"/>
                    <w:tr2bl w:val="nil"/>
                  </w:tcBorders>
                  <w:noWrap w:val="0"/>
                  <w:vAlign w:val="center"/>
                </w:tcPr>
                <w:p w14:paraId="0DADE165">
                  <w:pPr>
                    <w:pStyle w:val="28"/>
                    <w:bidi w:val="0"/>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水泥浆</w:t>
                  </w:r>
                </w:p>
              </w:tc>
              <w:tc>
                <w:tcPr>
                  <w:tcW w:w="674" w:type="pct"/>
                  <w:tcBorders>
                    <w:tl2br w:val="nil"/>
                    <w:tr2bl w:val="nil"/>
                  </w:tcBorders>
                  <w:noWrap w:val="0"/>
                  <w:vAlign w:val="center"/>
                </w:tcPr>
                <w:p w14:paraId="7448D33B">
                  <w:pPr>
                    <w:pStyle w:val="28"/>
                    <w:bidi w:val="0"/>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960</w:t>
                  </w:r>
                  <w:r>
                    <w:rPr>
                      <w:rFonts w:hint="default" w:ascii="Times New Roman" w:hAnsi="Times New Roman" w:cs="Times New Roman"/>
                      <w:color w:val="000000" w:themeColor="text1"/>
                      <w:sz w:val="21"/>
                      <w:szCs w:val="21"/>
                      <w:lang w:val="en-US" w:eastAsia="zh-CN"/>
                      <w14:textFill>
                        <w14:solidFill>
                          <w14:schemeClr w14:val="tx1"/>
                        </w14:solidFill>
                      </w14:textFill>
                    </w:rPr>
                    <w:t>t</w:t>
                  </w:r>
                </w:p>
              </w:tc>
              <w:tc>
                <w:tcPr>
                  <w:tcW w:w="3229" w:type="pct"/>
                  <w:tcBorders>
                    <w:tl2br w:val="nil"/>
                    <w:tr2bl w:val="nil"/>
                  </w:tcBorders>
                  <w:noWrap w:val="0"/>
                  <w:vAlign w:val="center"/>
                </w:tcPr>
                <w:p w14:paraId="75C114F7">
                  <w:pPr>
                    <w:pStyle w:val="28"/>
                    <w:bidi w:val="0"/>
                    <w:ind w:firstLine="0" w:firstLineChars="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eastAsia="宋体"/>
                      <w:color w:val="000000" w:themeColor="text1"/>
                      <w:sz w:val="21"/>
                      <w:szCs w:val="21"/>
                      <w:lang w:val="en-US" w:eastAsia="zh-CN"/>
                      <w14:textFill>
                        <w14:solidFill>
                          <w14:schemeClr w14:val="tx1"/>
                        </w14:solidFill>
                      </w14:textFill>
                    </w:rPr>
                    <w:t>作为固井和封井材料，G级纯水泥，外购成品，罐车运输至井场使用，水泥中添加降失水剂（主要为水溶性聚合物及有机材料），以调节水泥性能。</w:t>
                  </w:r>
                </w:p>
              </w:tc>
            </w:tr>
          </w:tbl>
          <w:p w14:paraId="68061D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钻井中钻井液的循环程序包括：钻井、液罐、经泵→地面、管汇→立管→水龙带、水龙头→钻柱内→钻头→钻柱外环形空间→井口、泥浆（钻井液）槽→钻井液净化设备→钻井液罐。一开采用膨润土钻井液，二开采用聚合物钻井液。根据企业实际施工经验，单井钻井液组成及用量情况见表2-8。</w:t>
            </w:r>
          </w:p>
          <w:p w14:paraId="612EF96D">
            <w:pPr>
              <w:pStyle w:val="3"/>
              <w:keepNext/>
              <w:keepLines w:val="0"/>
              <w:pageBreakBefore w:val="0"/>
              <w:widowControl w:val="0"/>
              <w:kinsoku/>
              <w:wordWrap/>
              <w:overflowPunct w:val="0"/>
              <w:topLinePunct w:val="0"/>
              <w:autoSpaceDE/>
              <w:autoSpaceDN/>
              <w:bidi w:val="0"/>
              <w:adjustRightInd/>
              <w:snapToGrid w:val="0"/>
              <w:spacing w:before="0" w:after="0" w:line="240" w:lineRule="auto"/>
              <w:ind w:left="431" w:hanging="431"/>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表2-</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8   单井</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钻井液组成及用量表</w:t>
            </w:r>
          </w:p>
          <w:tbl>
            <w:tblPr>
              <w:tblStyle w:val="20"/>
              <w:tblW w:w="499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306"/>
              <w:gridCol w:w="2281"/>
              <w:gridCol w:w="849"/>
              <w:gridCol w:w="849"/>
              <w:gridCol w:w="849"/>
              <w:gridCol w:w="2256"/>
            </w:tblGrid>
            <w:tr w14:paraId="30BC1B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45" w:hRule="atLeast"/>
                <w:tblHeader/>
                <w:jc w:val="center"/>
              </w:trPr>
              <w:tc>
                <w:tcPr>
                  <w:tcW w:w="779" w:type="pct"/>
                  <w:tcBorders>
                    <w:tl2br w:val="nil"/>
                    <w:tr2bl w:val="nil"/>
                  </w:tcBorders>
                  <w:noWrap w:val="0"/>
                  <w:vAlign w:val="center"/>
                </w:tcPr>
                <w:p w14:paraId="6B3A2799">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材料名称</w:t>
                  </w:r>
                </w:p>
              </w:tc>
              <w:tc>
                <w:tcPr>
                  <w:tcW w:w="1359" w:type="pct"/>
                  <w:tcBorders>
                    <w:tl2br w:val="nil"/>
                    <w:tr2bl w:val="nil"/>
                  </w:tcBorders>
                  <w:noWrap w:val="0"/>
                  <w:vAlign w:val="center"/>
                </w:tcPr>
                <w:p w14:paraId="53A2AFFA">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主要成分</w:t>
                  </w:r>
                </w:p>
              </w:tc>
              <w:tc>
                <w:tcPr>
                  <w:tcW w:w="505" w:type="pct"/>
                  <w:tcBorders>
                    <w:tl2br w:val="nil"/>
                    <w:tr2bl w:val="nil"/>
                  </w:tcBorders>
                  <w:noWrap w:val="0"/>
                  <w:vAlign w:val="center"/>
                </w:tcPr>
                <w:p w14:paraId="365F7DC2">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一开用量（吨）</w:t>
                  </w:r>
                </w:p>
              </w:tc>
              <w:tc>
                <w:tcPr>
                  <w:tcW w:w="505" w:type="pct"/>
                  <w:tcBorders>
                    <w:tl2br w:val="nil"/>
                    <w:tr2bl w:val="nil"/>
                  </w:tcBorders>
                  <w:noWrap w:val="0"/>
                  <w:vAlign w:val="center"/>
                </w:tcPr>
                <w:p w14:paraId="5EFECE1F">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二开用量（吨）</w:t>
                  </w:r>
                </w:p>
              </w:tc>
              <w:tc>
                <w:tcPr>
                  <w:tcW w:w="505" w:type="pct"/>
                  <w:tcBorders>
                    <w:tl2br w:val="nil"/>
                    <w:tr2bl w:val="nil"/>
                  </w:tcBorders>
                  <w:noWrap w:val="0"/>
                  <w:vAlign w:val="center"/>
                </w:tcPr>
                <w:p w14:paraId="1901B7BF">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总用量（吨）</w:t>
                  </w:r>
                </w:p>
              </w:tc>
              <w:tc>
                <w:tcPr>
                  <w:tcW w:w="1344" w:type="pct"/>
                  <w:tcBorders>
                    <w:tl2br w:val="nil"/>
                    <w:tr2bl w:val="nil"/>
                  </w:tcBorders>
                  <w:noWrap w:val="0"/>
                  <w:vAlign w:val="center"/>
                </w:tcPr>
                <w:p w14:paraId="6982A449">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备注</w:t>
                  </w:r>
                </w:p>
              </w:tc>
            </w:tr>
            <w:tr w14:paraId="00DAEC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79" w:type="pct"/>
                  <w:tcBorders>
                    <w:tl2br w:val="nil"/>
                    <w:tr2bl w:val="nil"/>
                  </w:tcBorders>
                  <w:noWrap w:val="0"/>
                  <w:vAlign w:val="center"/>
                </w:tcPr>
                <w:p w14:paraId="17873D59">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膨润土</w:t>
                  </w:r>
                </w:p>
              </w:tc>
              <w:tc>
                <w:tcPr>
                  <w:tcW w:w="1359" w:type="pct"/>
                  <w:tcBorders>
                    <w:tl2br w:val="nil"/>
                    <w:tr2bl w:val="nil"/>
                  </w:tcBorders>
                  <w:noWrap w:val="0"/>
                  <w:vAlign w:val="center"/>
                </w:tcPr>
                <w:p w14:paraId="11EFA3B2">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亲水性矿物</w:t>
                  </w:r>
                </w:p>
              </w:tc>
              <w:tc>
                <w:tcPr>
                  <w:tcW w:w="505" w:type="pct"/>
                  <w:tcBorders>
                    <w:tl2br w:val="nil"/>
                    <w:tr2bl w:val="nil"/>
                  </w:tcBorders>
                  <w:noWrap w:val="0"/>
                  <w:vAlign w:val="center"/>
                </w:tcPr>
                <w:p w14:paraId="12DE128A">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505" w:type="pct"/>
                  <w:tcBorders>
                    <w:tl2br w:val="nil"/>
                    <w:tr2bl w:val="nil"/>
                  </w:tcBorders>
                  <w:noWrap w:val="0"/>
                  <w:vAlign w:val="center"/>
                </w:tcPr>
                <w:p w14:paraId="70023AC4">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505" w:type="pct"/>
                  <w:tcBorders>
                    <w:tl2br w:val="nil"/>
                    <w:tr2bl w:val="nil"/>
                  </w:tcBorders>
                  <w:noWrap w:val="0"/>
                  <w:vAlign w:val="center"/>
                </w:tcPr>
                <w:p w14:paraId="337E14BC">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27</w:t>
                  </w:r>
                </w:p>
              </w:tc>
              <w:tc>
                <w:tcPr>
                  <w:tcW w:w="1344" w:type="pct"/>
                  <w:tcBorders>
                    <w:tl2br w:val="nil"/>
                    <w:tr2bl w:val="nil"/>
                  </w:tcBorders>
                  <w:noWrap w:val="0"/>
                  <w:vAlign w:val="center"/>
                </w:tcPr>
                <w:p w14:paraId="30519B75">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基础配浆材料</w:t>
                  </w:r>
                </w:p>
              </w:tc>
            </w:tr>
            <w:tr w14:paraId="208372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79" w:type="pct"/>
                  <w:tcBorders>
                    <w:tl2br w:val="nil"/>
                    <w:tr2bl w:val="nil"/>
                  </w:tcBorders>
                  <w:noWrap w:val="0"/>
                  <w:vAlign w:val="center"/>
                </w:tcPr>
                <w:p w14:paraId="49F69CB5">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纯碱</w:t>
                  </w:r>
                </w:p>
              </w:tc>
              <w:tc>
                <w:tcPr>
                  <w:tcW w:w="1359" w:type="pct"/>
                  <w:tcBorders>
                    <w:tl2br w:val="nil"/>
                    <w:tr2bl w:val="nil"/>
                  </w:tcBorders>
                  <w:noWrap w:val="0"/>
                  <w:vAlign w:val="center"/>
                </w:tcPr>
                <w:p w14:paraId="38F2B4F4">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Na</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CO</w:t>
                  </w:r>
                  <w:r>
                    <w:rPr>
                      <w:rFonts w:hint="default" w:ascii="Times New Roman" w:hAnsi="Times New Roman" w:cs="Times New Roman"/>
                      <w:color w:val="000000" w:themeColor="text1"/>
                      <w:sz w:val="21"/>
                      <w:szCs w:val="21"/>
                      <w:vertAlign w:val="subscript"/>
                      <w14:textFill>
                        <w14:solidFill>
                          <w14:schemeClr w14:val="tx1"/>
                        </w14:solidFill>
                      </w14:textFill>
                    </w:rPr>
                    <w:t>3</w:t>
                  </w:r>
                </w:p>
              </w:tc>
              <w:tc>
                <w:tcPr>
                  <w:tcW w:w="505" w:type="pct"/>
                  <w:tcBorders>
                    <w:tl2br w:val="nil"/>
                    <w:tr2bl w:val="nil"/>
                  </w:tcBorders>
                  <w:noWrap w:val="0"/>
                  <w:vAlign w:val="center"/>
                </w:tcPr>
                <w:p w14:paraId="130A193D">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0.5</w:t>
                  </w:r>
                </w:p>
              </w:tc>
              <w:tc>
                <w:tcPr>
                  <w:tcW w:w="505" w:type="pct"/>
                  <w:tcBorders>
                    <w:tl2br w:val="nil"/>
                    <w:tr2bl w:val="nil"/>
                  </w:tcBorders>
                  <w:noWrap w:val="0"/>
                  <w:vAlign w:val="center"/>
                </w:tcPr>
                <w:p w14:paraId="173AF47B">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505" w:type="pct"/>
                  <w:tcBorders>
                    <w:tl2br w:val="nil"/>
                    <w:tr2bl w:val="nil"/>
                  </w:tcBorders>
                  <w:noWrap w:val="0"/>
                  <w:vAlign w:val="center"/>
                </w:tcPr>
                <w:p w14:paraId="7668D99B">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.5</w:t>
                  </w:r>
                </w:p>
              </w:tc>
              <w:tc>
                <w:tcPr>
                  <w:tcW w:w="1344" w:type="pct"/>
                  <w:tcBorders>
                    <w:tl2br w:val="nil"/>
                    <w:tr2bl w:val="nil"/>
                  </w:tcBorders>
                  <w:noWrap w:val="0"/>
                  <w:vAlign w:val="center"/>
                </w:tcPr>
                <w:p w14:paraId="020FC31C">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与膨润土发生水化作业，增加粘性，降滤失</w:t>
                  </w:r>
                </w:p>
              </w:tc>
            </w:tr>
            <w:tr w14:paraId="12741F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79" w:type="pct"/>
                  <w:tcBorders>
                    <w:tl2br w:val="nil"/>
                    <w:tr2bl w:val="nil"/>
                  </w:tcBorders>
                  <w:noWrap w:val="0"/>
                  <w:vAlign w:val="center"/>
                </w:tcPr>
                <w:p w14:paraId="7C1BDD51">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烧碱（固态）</w:t>
                  </w:r>
                </w:p>
              </w:tc>
              <w:tc>
                <w:tcPr>
                  <w:tcW w:w="1359" w:type="pct"/>
                  <w:tcBorders>
                    <w:tl2br w:val="nil"/>
                    <w:tr2bl w:val="nil"/>
                  </w:tcBorders>
                  <w:noWrap w:val="0"/>
                  <w:vAlign w:val="center"/>
                </w:tcPr>
                <w:p w14:paraId="334596AE">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NaOH</w:t>
                  </w:r>
                </w:p>
              </w:tc>
              <w:tc>
                <w:tcPr>
                  <w:tcW w:w="505" w:type="pct"/>
                  <w:tcBorders>
                    <w:tl2br w:val="nil"/>
                    <w:tr2bl w:val="nil"/>
                  </w:tcBorders>
                  <w:noWrap w:val="0"/>
                  <w:vAlign w:val="center"/>
                </w:tcPr>
                <w:p w14:paraId="1D189202">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05" w:type="pct"/>
                  <w:tcBorders>
                    <w:tl2br w:val="nil"/>
                    <w:tr2bl w:val="nil"/>
                  </w:tcBorders>
                  <w:noWrap w:val="0"/>
                  <w:vAlign w:val="center"/>
                </w:tcPr>
                <w:p w14:paraId="4E964401">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05" w:type="pct"/>
                  <w:tcBorders>
                    <w:tl2br w:val="nil"/>
                    <w:tr2bl w:val="nil"/>
                  </w:tcBorders>
                  <w:noWrap w:val="0"/>
                  <w:vAlign w:val="center"/>
                </w:tcPr>
                <w:p w14:paraId="6B5A977F">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344" w:type="pct"/>
                  <w:tcBorders>
                    <w:tl2br w:val="nil"/>
                    <w:tr2bl w:val="nil"/>
                  </w:tcBorders>
                  <w:noWrap w:val="0"/>
                  <w:vAlign w:val="center"/>
                </w:tcPr>
                <w:p w14:paraId="079277B2">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调节pH，与酸性处理剂配合使用</w:t>
                  </w:r>
                </w:p>
              </w:tc>
            </w:tr>
            <w:tr w14:paraId="12EC91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79" w:type="pct"/>
                  <w:tcBorders>
                    <w:tl2br w:val="nil"/>
                    <w:tr2bl w:val="nil"/>
                  </w:tcBorders>
                  <w:noWrap w:val="0"/>
                  <w:vAlign w:val="center"/>
                </w:tcPr>
                <w:p w14:paraId="6042ED98">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K-PAM</w:t>
                  </w:r>
                  <w:r>
                    <w:rPr>
                      <w:rFonts w:hint="default" w:ascii="Times New Roman" w:hAnsi="Times New Roman" w:eastAsia="宋体" w:cs="Times New Roman"/>
                      <w:color w:val="000000" w:themeColor="text1"/>
                      <w:sz w:val="21"/>
                      <w:szCs w:val="21"/>
                      <w14:textFill>
                        <w14:solidFill>
                          <w14:schemeClr w14:val="tx1"/>
                        </w14:solidFill>
                      </w14:textFill>
                    </w:rPr>
                    <w:t>（聚丙烯酸钾）</w:t>
                  </w:r>
                </w:p>
              </w:tc>
              <w:tc>
                <w:tcPr>
                  <w:tcW w:w="1359" w:type="pct"/>
                  <w:tcBorders>
                    <w:tl2br w:val="nil"/>
                    <w:tr2bl w:val="nil"/>
                  </w:tcBorders>
                  <w:noWrap w:val="0"/>
                  <w:vAlign w:val="center"/>
                </w:tcPr>
                <w:p w14:paraId="5952CBB8">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6</w:t>
                  </w:r>
                  <w:r>
                    <w:rPr>
                      <w:rFonts w:hint="default" w:ascii="Times New Roman" w:hAnsi="Times New Roman" w:cs="Times New Roman"/>
                      <w:color w:val="000000" w:themeColor="text1"/>
                      <w:sz w:val="21"/>
                      <w:szCs w:val="21"/>
                      <w14:textFill>
                        <w14:solidFill>
                          <w14:schemeClr w14:val="tx1"/>
                        </w14:solidFill>
                      </w14:textFill>
                    </w:rPr>
                    <w:t>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)N(C</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KO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)M</w:t>
                  </w:r>
                </w:p>
              </w:tc>
              <w:tc>
                <w:tcPr>
                  <w:tcW w:w="505" w:type="pct"/>
                  <w:tcBorders>
                    <w:tl2br w:val="nil"/>
                    <w:tr2bl w:val="nil"/>
                  </w:tcBorders>
                  <w:noWrap w:val="0"/>
                  <w:vAlign w:val="center"/>
                </w:tcPr>
                <w:p w14:paraId="0BFDDFDE">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505" w:type="pct"/>
                  <w:tcBorders>
                    <w:tl2br w:val="nil"/>
                    <w:tr2bl w:val="nil"/>
                  </w:tcBorders>
                  <w:noWrap w:val="0"/>
                  <w:vAlign w:val="center"/>
                </w:tcPr>
                <w:p w14:paraId="762A57B1">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3.5</w:t>
                  </w:r>
                </w:p>
              </w:tc>
              <w:tc>
                <w:tcPr>
                  <w:tcW w:w="505" w:type="pct"/>
                  <w:tcBorders>
                    <w:tl2br w:val="nil"/>
                    <w:tr2bl w:val="nil"/>
                  </w:tcBorders>
                  <w:noWrap w:val="0"/>
                  <w:vAlign w:val="center"/>
                </w:tcPr>
                <w:p w14:paraId="6FFBFAB9">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344" w:type="pct"/>
                  <w:tcBorders>
                    <w:tl2br w:val="nil"/>
                    <w:tr2bl w:val="nil"/>
                  </w:tcBorders>
                  <w:noWrap w:val="0"/>
                  <w:vAlign w:val="center"/>
                </w:tcPr>
                <w:p w14:paraId="2423A047">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能有效包被钻屑、抑制地层造浆，起稳定井壁、防塌、降滤失的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作用</w:t>
                  </w:r>
                </w:p>
              </w:tc>
            </w:tr>
            <w:tr w14:paraId="4DA5E0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79" w:type="pct"/>
                  <w:tcBorders>
                    <w:tl2br w:val="nil"/>
                    <w:tr2bl w:val="nil"/>
                  </w:tcBorders>
                  <w:noWrap w:val="0"/>
                  <w:vAlign w:val="center"/>
                </w:tcPr>
                <w:p w14:paraId="699DA10A">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K-HPAN</w:t>
                  </w:r>
                </w:p>
              </w:tc>
              <w:tc>
                <w:tcPr>
                  <w:tcW w:w="1359" w:type="pct"/>
                  <w:tcBorders>
                    <w:tl2br w:val="nil"/>
                    <w:tr2bl w:val="nil"/>
                  </w:tcBorders>
                  <w:noWrap w:val="0"/>
                  <w:vAlign w:val="center"/>
                </w:tcPr>
                <w:p w14:paraId="447394AF">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含有酰胺基、腈基和羧基钾离子含量高</w:t>
                  </w:r>
                </w:p>
              </w:tc>
              <w:tc>
                <w:tcPr>
                  <w:tcW w:w="505" w:type="pct"/>
                  <w:tcBorders>
                    <w:tl2br w:val="nil"/>
                    <w:tr2bl w:val="nil"/>
                  </w:tcBorders>
                  <w:noWrap w:val="0"/>
                  <w:vAlign w:val="center"/>
                </w:tcPr>
                <w:p w14:paraId="2FBD5054">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05" w:type="pct"/>
                  <w:tcBorders>
                    <w:tl2br w:val="nil"/>
                    <w:tr2bl w:val="nil"/>
                  </w:tcBorders>
                  <w:noWrap w:val="0"/>
                  <w:vAlign w:val="center"/>
                </w:tcPr>
                <w:p w14:paraId="009CEA1C">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505" w:type="pct"/>
                  <w:tcBorders>
                    <w:tl2br w:val="nil"/>
                    <w:tr2bl w:val="nil"/>
                  </w:tcBorders>
                  <w:noWrap w:val="0"/>
                  <w:vAlign w:val="center"/>
                </w:tcPr>
                <w:p w14:paraId="6EBD13CB">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1344" w:type="pct"/>
                  <w:tcBorders>
                    <w:tl2br w:val="nil"/>
                    <w:tr2bl w:val="nil"/>
                  </w:tcBorders>
                  <w:noWrap w:val="0"/>
                  <w:vAlign w:val="center"/>
                </w:tcPr>
                <w:p w14:paraId="1F8F35EE">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降滤失，调整泥浆流态</w:t>
                  </w:r>
                </w:p>
              </w:tc>
            </w:tr>
            <w:tr w14:paraId="3A5A57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79" w:type="pct"/>
                  <w:tcBorders>
                    <w:tl2br w:val="nil"/>
                    <w:tr2bl w:val="nil"/>
                  </w:tcBorders>
                  <w:noWrap w:val="0"/>
                  <w:vAlign w:val="center"/>
                </w:tcPr>
                <w:p w14:paraId="126AEB3F">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-HPAN</w:t>
                  </w:r>
                  <w:r>
                    <w:rPr>
                      <w:rFonts w:hint="default" w:ascii="Times New Roman" w:hAnsi="Times New Roman" w:eastAsia="宋体" w:cs="Times New Roman"/>
                      <w:color w:val="000000" w:themeColor="text1"/>
                      <w:kern w:val="0"/>
                      <w:sz w:val="21"/>
                      <w:szCs w:val="21"/>
                      <w:lang w:bidi="ar"/>
                      <w14:textFill>
                        <w14:solidFill>
                          <w14:schemeClr w14:val="tx1"/>
                        </w14:solidFill>
                      </w14:textFill>
                    </w:rPr>
                    <w:t>（水解聚丙烯腈铵盐）</w:t>
                  </w:r>
                </w:p>
              </w:tc>
              <w:tc>
                <w:tcPr>
                  <w:tcW w:w="1359" w:type="pct"/>
                  <w:tcBorders>
                    <w:tl2br w:val="nil"/>
                    <w:tr2bl w:val="nil"/>
                  </w:tcBorders>
                  <w:noWrap w:val="0"/>
                  <w:vAlign w:val="center"/>
                </w:tcPr>
                <w:p w14:paraId="52D246AB">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含有 COOH、COONH</w:t>
                  </w:r>
                  <w:r>
                    <w:rPr>
                      <w:rFonts w:hint="default" w:ascii="Times New Roman" w:hAnsi="Times New Roman" w:cs="Times New Roman"/>
                      <w:color w:val="000000" w:themeColor="text1"/>
                      <w:sz w:val="21"/>
                      <w:szCs w:val="21"/>
                      <w:vertAlign w:val="subscript"/>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、CONH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、CN等基团构成</w:t>
                  </w:r>
                </w:p>
              </w:tc>
              <w:tc>
                <w:tcPr>
                  <w:tcW w:w="505" w:type="pct"/>
                  <w:tcBorders>
                    <w:tl2br w:val="nil"/>
                    <w:tr2bl w:val="nil"/>
                  </w:tcBorders>
                  <w:noWrap w:val="0"/>
                  <w:vAlign w:val="center"/>
                </w:tcPr>
                <w:p w14:paraId="2764A4A4">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05" w:type="pct"/>
                  <w:tcBorders>
                    <w:tl2br w:val="nil"/>
                    <w:tr2bl w:val="nil"/>
                  </w:tcBorders>
                  <w:noWrap w:val="0"/>
                  <w:vAlign w:val="center"/>
                </w:tcPr>
                <w:p w14:paraId="0ABDDE83">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505" w:type="pct"/>
                  <w:tcBorders>
                    <w:tl2br w:val="nil"/>
                    <w:tr2bl w:val="nil"/>
                  </w:tcBorders>
                  <w:noWrap w:val="0"/>
                  <w:vAlign w:val="center"/>
                </w:tcPr>
                <w:p w14:paraId="04CD0D06">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1344" w:type="pct"/>
                  <w:tcBorders>
                    <w:tl2br w:val="nil"/>
                    <w:tr2bl w:val="nil"/>
                  </w:tcBorders>
                  <w:noWrap w:val="0"/>
                  <w:vAlign w:val="center"/>
                </w:tcPr>
                <w:p w14:paraId="2E61AF0B">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抑制粘土水化分散，是一种良好的页岩抑制，同时兼有降低钻井液</w:t>
                  </w:r>
                </w:p>
                <w:p w14:paraId="40E3C95B">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度和降滤失作用</w:t>
                  </w:r>
                </w:p>
              </w:tc>
            </w:tr>
            <w:tr w14:paraId="4031C5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79" w:type="pct"/>
                  <w:tcBorders>
                    <w:tl2br w:val="nil"/>
                    <w:tr2bl w:val="nil"/>
                  </w:tcBorders>
                  <w:noWrap w:val="0"/>
                  <w:vAlign w:val="center"/>
                </w:tcPr>
                <w:p w14:paraId="22000BD9">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LV-CMC</w:t>
                  </w:r>
                  <w:r>
                    <w:rPr>
                      <w:rFonts w:hint="default" w:ascii="Times New Roman" w:hAnsi="Times New Roman" w:eastAsia="宋体" w:cs="Times New Roman"/>
                      <w:color w:val="000000" w:themeColor="text1"/>
                      <w:sz w:val="21"/>
                      <w:szCs w:val="21"/>
                      <w14:textFill>
                        <w14:solidFill>
                          <w14:schemeClr w14:val="tx1"/>
                        </w14:solidFill>
                      </w14:textFill>
                    </w:rPr>
                    <w:t>（羧甲基纤维素钠）</w:t>
                  </w:r>
                </w:p>
              </w:tc>
              <w:tc>
                <w:tcPr>
                  <w:tcW w:w="1359" w:type="pct"/>
                  <w:tcBorders>
                    <w:tl2br w:val="nil"/>
                    <w:tr2bl w:val="nil"/>
                  </w:tcBorders>
                  <w:noWrap w:val="0"/>
                  <w:vAlign w:val="center"/>
                </w:tcPr>
                <w:p w14:paraId="3E4A8815">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C</w:t>
                  </w:r>
                  <w:r>
                    <w:rPr>
                      <w:rFonts w:hint="default" w:ascii="Times New Roman" w:hAnsi="Times New Roman" w:cs="Times New Roman"/>
                      <w:color w:val="000000" w:themeColor="text1"/>
                      <w:kern w:val="0"/>
                      <w:sz w:val="21"/>
                      <w:szCs w:val="21"/>
                      <w:vertAlign w:val="subscript"/>
                      <w:lang w:bidi="ar"/>
                      <w14:textFill>
                        <w14:solidFill>
                          <w14:schemeClr w14:val="tx1"/>
                        </w14:solidFill>
                      </w14:textFill>
                    </w:rPr>
                    <w:t>8</w:t>
                  </w:r>
                  <w:r>
                    <w:rPr>
                      <w:rFonts w:hint="default" w:ascii="Times New Roman" w:hAnsi="Times New Roman" w:cs="Times New Roman"/>
                      <w:color w:val="000000" w:themeColor="text1"/>
                      <w:kern w:val="0"/>
                      <w:sz w:val="21"/>
                      <w:szCs w:val="21"/>
                      <w:lang w:bidi="ar"/>
                      <w14:textFill>
                        <w14:solidFill>
                          <w14:schemeClr w14:val="tx1"/>
                        </w14:solidFill>
                      </w14:textFill>
                    </w:rPr>
                    <w:t>H</w:t>
                  </w:r>
                  <w:r>
                    <w:rPr>
                      <w:rFonts w:hint="default" w:ascii="Times New Roman" w:hAnsi="Times New Roman" w:cs="Times New Roman"/>
                      <w:color w:val="000000" w:themeColor="text1"/>
                      <w:kern w:val="0"/>
                      <w:sz w:val="21"/>
                      <w:szCs w:val="21"/>
                      <w:vertAlign w:val="subscript"/>
                      <w:lang w:bidi="ar"/>
                      <w14:textFill>
                        <w14:solidFill>
                          <w14:schemeClr w14:val="tx1"/>
                        </w14:solidFill>
                      </w14:textFill>
                    </w:rPr>
                    <w:t>16</w:t>
                  </w:r>
                  <w:r>
                    <w:rPr>
                      <w:rFonts w:hint="default" w:ascii="Times New Roman" w:hAnsi="Times New Roman" w:cs="Times New Roman"/>
                      <w:color w:val="000000" w:themeColor="text1"/>
                      <w:kern w:val="0"/>
                      <w:sz w:val="21"/>
                      <w:szCs w:val="21"/>
                      <w:lang w:bidi="ar"/>
                      <w14:textFill>
                        <w14:solidFill>
                          <w14:schemeClr w14:val="tx1"/>
                        </w14:solidFill>
                      </w14:textFill>
                    </w:rPr>
                    <w:t>NaO</w:t>
                  </w:r>
                  <w:r>
                    <w:rPr>
                      <w:rFonts w:hint="default" w:ascii="Times New Roman" w:hAnsi="Times New Roman" w:cs="Times New Roman"/>
                      <w:color w:val="000000" w:themeColor="text1"/>
                      <w:kern w:val="0"/>
                      <w:sz w:val="21"/>
                      <w:szCs w:val="21"/>
                      <w:vertAlign w:val="subscript"/>
                      <w:lang w:bidi="ar"/>
                      <w14:textFill>
                        <w14:solidFill>
                          <w14:schemeClr w14:val="tx1"/>
                        </w14:solidFill>
                      </w14:textFill>
                    </w:rPr>
                    <w:t>8</w:t>
                  </w:r>
                </w:p>
              </w:tc>
              <w:tc>
                <w:tcPr>
                  <w:tcW w:w="505" w:type="pct"/>
                  <w:tcBorders>
                    <w:tl2br w:val="nil"/>
                    <w:tr2bl w:val="nil"/>
                  </w:tcBorders>
                  <w:noWrap w:val="0"/>
                  <w:vAlign w:val="center"/>
                </w:tcPr>
                <w:p w14:paraId="38FE3BC9">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05" w:type="pct"/>
                  <w:tcBorders>
                    <w:tl2br w:val="nil"/>
                    <w:tr2bl w:val="nil"/>
                  </w:tcBorders>
                  <w:noWrap w:val="0"/>
                  <w:vAlign w:val="center"/>
                </w:tcPr>
                <w:p w14:paraId="7A52BA69">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505" w:type="pct"/>
                  <w:tcBorders>
                    <w:tl2br w:val="nil"/>
                    <w:tr2bl w:val="nil"/>
                  </w:tcBorders>
                  <w:noWrap w:val="0"/>
                  <w:vAlign w:val="center"/>
                </w:tcPr>
                <w:p w14:paraId="7F4FAE20">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1344" w:type="pct"/>
                  <w:tcBorders>
                    <w:tl2br w:val="nil"/>
                    <w:tr2bl w:val="nil"/>
                  </w:tcBorders>
                  <w:noWrap w:val="0"/>
                  <w:vAlign w:val="center"/>
                </w:tcPr>
                <w:p w14:paraId="35133E8E">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主要用作降滤失剂</w:t>
                  </w:r>
                </w:p>
              </w:tc>
            </w:tr>
            <w:tr w14:paraId="40712E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79" w:type="pct"/>
                  <w:tcBorders>
                    <w:tl2br w:val="nil"/>
                    <w:tr2bl w:val="nil"/>
                  </w:tcBorders>
                  <w:noWrap w:val="0"/>
                  <w:vAlign w:val="center"/>
                </w:tcPr>
                <w:p w14:paraId="604E8513">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沥青类防塌剂</w:t>
                  </w:r>
                </w:p>
              </w:tc>
              <w:tc>
                <w:tcPr>
                  <w:tcW w:w="1359" w:type="pct"/>
                  <w:tcBorders>
                    <w:tl2br w:val="nil"/>
                    <w:tr2bl w:val="nil"/>
                  </w:tcBorders>
                  <w:noWrap w:val="0"/>
                  <w:vAlign w:val="center"/>
                </w:tcPr>
                <w:p w14:paraId="4A9E4CD7">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高级脂肪醇树脂</w:t>
                  </w:r>
                </w:p>
              </w:tc>
              <w:tc>
                <w:tcPr>
                  <w:tcW w:w="505" w:type="pct"/>
                  <w:tcBorders>
                    <w:tl2br w:val="nil"/>
                    <w:tr2bl w:val="nil"/>
                  </w:tcBorders>
                  <w:noWrap w:val="0"/>
                  <w:vAlign w:val="center"/>
                </w:tcPr>
                <w:p w14:paraId="78E861E6">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05" w:type="pct"/>
                  <w:tcBorders>
                    <w:tl2br w:val="nil"/>
                    <w:tr2bl w:val="nil"/>
                  </w:tcBorders>
                  <w:noWrap w:val="0"/>
                  <w:vAlign w:val="center"/>
                </w:tcPr>
                <w:p w14:paraId="41888D15">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505" w:type="pct"/>
                  <w:tcBorders>
                    <w:tl2br w:val="nil"/>
                    <w:tr2bl w:val="nil"/>
                  </w:tcBorders>
                  <w:noWrap w:val="0"/>
                  <w:vAlign w:val="center"/>
                </w:tcPr>
                <w:p w14:paraId="402E3787">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1344" w:type="pct"/>
                  <w:tcBorders>
                    <w:tl2br w:val="nil"/>
                    <w:tr2bl w:val="nil"/>
                  </w:tcBorders>
                  <w:noWrap w:val="0"/>
                  <w:vAlign w:val="center"/>
                </w:tcPr>
                <w:p w14:paraId="2B7574AA">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稳定井壁，防止井壁垮塌</w:t>
                  </w:r>
                </w:p>
              </w:tc>
            </w:tr>
            <w:tr w14:paraId="655683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79" w:type="pct"/>
                  <w:tcBorders>
                    <w:tl2br w:val="nil"/>
                    <w:tr2bl w:val="nil"/>
                  </w:tcBorders>
                  <w:noWrap w:val="0"/>
                  <w:vAlign w:val="center"/>
                </w:tcPr>
                <w:p w14:paraId="5CED6164">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常规液体润滑剂</w:t>
                  </w:r>
                </w:p>
              </w:tc>
              <w:tc>
                <w:tcPr>
                  <w:tcW w:w="1359" w:type="pct"/>
                  <w:tcBorders>
                    <w:tl2br w:val="nil"/>
                    <w:tr2bl w:val="nil"/>
                  </w:tcBorders>
                  <w:noWrap w:val="0"/>
                  <w:vAlign w:val="center"/>
                </w:tcPr>
                <w:p w14:paraId="582C102B">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聚合醇</w:t>
                  </w:r>
                </w:p>
              </w:tc>
              <w:tc>
                <w:tcPr>
                  <w:tcW w:w="505" w:type="pct"/>
                  <w:tcBorders>
                    <w:tl2br w:val="nil"/>
                    <w:tr2bl w:val="nil"/>
                  </w:tcBorders>
                  <w:noWrap w:val="0"/>
                  <w:vAlign w:val="center"/>
                </w:tcPr>
                <w:p w14:paraId="2C1BACEB">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05" w:type="pct"/>
                  <w:tcBorders>
                    <w:tl2br w:val="nil"/>
                    <w:tr2bl w:val="nil"/>
                  </w:tcBorders>
                  <w:noWrap w:val="0"/>
                  <w:vAlign w:val="center"/>
                </w:tcPr>
                <w:p w14:paraId="1EFEAAA6">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505" w:type="pct"/>
                  <w:tcBorders>
                    <w:tl2br w:val="nil"/>
                    <w:tr2bl w:val="nil"/>
                  </w:tcBorders>
                  <w:noWrap w:val="0"/>
                  <w:vAlign w:val="center"/>
                </w:tcPr>
                <w:p w14:paraId="17F97DAC">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1344" w:type="pct"/>
                  <w:tcBorders>
                    <w:tl2br w:val="nil"/>
                    <w:tr2bl w:val="nil"/>
                  </w:tcBorders>
                  <w:noWrap w:val="0"/>
                  <w:vAlign w:val="center"/>
                </w:tcPr>
                <w:p w14:paraId="48760A8D">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减少钻具的扭矩、磨损和疲劳，延长钻具及钻头的使用寿命</w:t>
                  </w:r>
                </w:p>
              </w:tc>
            </w:tr>
            <w:tr w14:paraId="45072C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79" w:type="pct"/>
                  <w:tcBorders>
                    <w:tl2br w:val="nil"/>
                    <w:tr2bl w:val="nil"/>
                  </w:tcBorders>
                  <w:noWrap w:val="0"/>
                  <w:vAlign w:val="center"/>
                </w:tcPr>
                <w:p w14:paraId="3293C61E">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复合堵漏剂(备用)</w:t>
                  </w:r>
                </w:p>
              </w:tc>
              <w:tc>
                <w:tcPr>
                  <w:tcW w:w="1359" w:type="pct"/>
                  <w:tcBorders>
                    <w:tl2br w:val="nil"/>
                    <w:tr2bl w:val="nil"/>
                  </w:tcBorders>
                  <w:noWrap w:val="0"/>
                  <w:vAlign w:val="center"/>
                </w:tcPr>
                <w:p w14:paraId="517B5305">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锯末、云母、棉籽、核桃壳等</w:t>
                  </w:r>
                </w:p>
              </w:tc>
              <w:tc>
                <w:tcPr>
                  <w:tcW w:w="505" w:type="pct"/>
                  <w:tcBorders>
                    <w:tl2br w:val="nil"/>
                    <w:tr2bl w:val="nil"/>
                  </w:tcBorders>
                  <w:noWrap w:val="0"/>
                  <w:vAlign w:val="center"/>
                </w:tcPr>
                <w:p w14:paraId="5664B713">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05" w:type="pct"/>
                  <w:tcBorders>
                    <w:tl2br w:val="nil"/>
                    <w:tr2bl w:val="nil"/>
                  </w:tcBorders>
                  <w:noWrap w:val="0"/>
                  <w:vAlign w:val="center"/>
                </w:tcPr>
                <w:p w14:paraId="4522CB89">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05" w:type="pct"/>
                  <w:tcBorders>
                    <w:tl2br w:val="nil"/>
                    <w:tr2bl w:val="nil"/>
                  </w:tcBorders>
                  <w:noWrap w:val="0"/>
                  <w:vAlign w:val="center"/>
                </w:tcPr>
                <w:p w14:paraId="2D9A0B41">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1344" w:type="pct"/>
                  <w:tcBorders>
                    <w:tl2br w:val="nil"/>
                    <w:tr2bl w:val="nil"/>
                  </w:tcBorders>
                  <w:noWrap w:val="0"/>
                  <w:vAlign w:val="center"/>
                </w:tcPr>
                <w:p w14:paraId="526F73D1">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起堵漏作用</w:t>
                  </w:r>
                </w:p>
              </w:tc>
            </w:tr>
            <w:tr w14:paraId="4FC638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3" w:hRule="atLeast"/>
                <w:jc w:val="center"/>
              </w:trPr>
              <w:tc>
                <w:tcPr>
                  <w:tcW w:w="779" w:type="pct"/>
                  <w:tcBorders>
                    <w:tl2br w:val="nil"/>
                    <w:tr2bl w:val="nil"/>
                  </w:tcBorders>
                  <w:noWrap w:val="0"/>
                  <w:vAlign w:val="center"/>
                </w:tcPr>
                <w:p w14:paraId="5280E7B2">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加重材料</w:t>
                  </w:r>
                </w:p>
              </w:tc>
              <w:tc>
                <w:tcPr>
                  <w:tcW w:w="1359" w:type="pct"/>
                  <w:tcBorders>
                    <w:tl2br w:val="nil"/>
                    <w:tr2bl w:val="nil"/>
                  </w:tcBorders>
                  <w:noWrap w:val="0"/>
                  <w:vAlign w:val="center"/>
                </w:tcPr>
                <w:p w14:paraId="65F1ABD2">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CaCO</w:t>
                  </w:r>
                  <w:r>
                    <w:rPr>
                      <w:rFonts w:hint="default" w:ascii="Times New Roman" w:hAnsi="Times New Roman" w:cs="Times New Roman"/>
                      <w:color w:val="000000" w:themeColor="text1"/>
                      <w:sz w:val="21"/>
                      <w:szCs w:val="21"/>
                      <w:vertAlign w:val="subscript"/>
                      <w14:textFill>
                        <w14:solidFill>
                          <w14:schemeClr w14:val="tx1"/>
                        </w14:solidFill>
                      </w14:textFill>
                    </w:rPr>
                    <w:t>3</w:t>
                  </w:r>
                </w:p>
              </w:tc>
              <w:tc>
                <w:tcPr>
                  <w:tcW w:w="505" w:type="pct"/>
                  <w:tcBorders>
                    <w:tl2br w:val="nil"/>
                    <w:tr2bl w:val="nil"/>
                  </w:tcBorders>
                  <w:noWrap w:val="0"/>
                  <w:vAlign w:val="center"/>
                </w:tcPr>
                <w:p w14:paraId="5E732924">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05" w:type="pct"/>
                  <w:tcBorders>
                    <w:tl2br w:val="nil"/>
                    <w:tr2bl w:val="nil"/>
                  </w:tcBorders>
                  <w:noWrap w:val="0"/>
                  <w:vAlign w:val="center"/>
                </w:tcPr>
                <w:p w14:paraId="1CEA7E22">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w:t>
                  </w:r>
                </w:p>
              </w:tc>
              <w:tc>
                <w:tcPr>
                  <w:tcW w:w="505" w:type="pct"/>
                  <w:tcBorders>
                    <w:tl2br w:val="nil"/>
                    <w:tr2bl w:val="nil"/>
                  </w:tcBorders>
                  <w:noWrap w:val="0"/>
                  <w:vAlign w:val="center"/>
                </w:tcPr>
                <w:p w14:paraId="3C930D1B">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w:t>
                  </w:r>
                </w:p>
              </w:tc>
              <w:tc>
                <w:tcPr>
                  <w:tcW w:w="1344" w:type="pct"/>
                  <w:tcBorders>
                    <w:tl2br w:val="nil"/>
                    <w:tr2bl w:val="nil"/>
                  </w:tcBorders>
                  <w:noWrap w:val="0"/>
                  <w:vAlign w:val="center"/>
                </w:tcPr>
                <w:p w14:paraId="7488C681">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提高钻井液密度，稳定井壁</w:t>
                  </w:r>
                </w:p>
              </w:tc>
            </w:tr>
            <w:tr w14:paraId="7E780D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2" w:hRule="atLeast"/>
                <w:jc w:val="center"/>
              </w:trPr>
              <w:tc>
                <w:tcPr>
                  <w:tcW w:w="779" w:type="pct"/>
                  <w:tcBorders>
                    <w:tl2br w:val="nil"/>
                    <w:tr2bl w:val="nil"/>
                  </w:tcBorders>
                  <w:noWrap w:val="0"/>
                  <w:vAlign w:val="center"/>
                </w:tcPr>
                <w:p w14:paraId="5076BBF9">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合计</w:t>
                  </w:r>
                </w:p>
              </w:tc>
              <w:tc>
                <w:tcPr>
                  <w:tcW w:w="1359" w:type="pct"/>
                  <w:tcBorders>
                    <w:tl2br w:val="nil"/>
                    <w:tr2bl w:val="nil"/>
                  </w:tcBorders>
                  <w:noWrap w:val="0"/>
                  <w:vAlign w:val="center"/>
                </w:tcPr>
                <w:p w14:paraId="0D38E044">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505" w:type="pct"/>
                  <w:tcBorders>
                    <w:tl2br w:val="nil"/>
                    <w:tr2bl w:val="nil"/>
                  </w:tcBorders>
                  <w:noWrap w:val="0"/>
                  <w:vAlign w:val="center"/>
                </w:tcPr>
                <w:p w14:paraId="76C238F8">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cs="Times New Roman"/>
                      <w:color w:val="000000" w:themeColor="text1"/>
                      <w:sz w:val="21"/>
                      <w:szCs w:val="21"/>
                      <w:lang w:val="en-US" w:eastAsia="zh-CN"/>
                      <w14:textFill>
                        <w14:solidFill>
                          <w14:schemeClr w14:val="tx1"/>
                        </w14:solidFill>
                      </w14:textFill>
                    </w:rPr>
                    <w:instrText xml:space="preserve"> = sum(C2:C12) \* MERGEFORMAT </w:instrTex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cs="Times New Roman"/>
                      <w:color w:val="000000" w:themeColor="text1"/>
                      <w:sz w:val="21"/>
                      <w:szCs w:val="21"/>
                      <w:lang w:val="en-US" w:eastAsia="zh-CN"/>
                      <w14:textFill>
                        <w14:solidFill>
                          <w14:schemeClr w14:val="tx1"/>
                        </w14:solidFill>
                      </w14:textFill>
                    </w:rPr>
                    <w:t>8.5</w: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end"/>
                  </w:r>
                </w:p>
              </w:tc>
              <w:tc>
                <w:tcPr>
                  <w:tcW w:w="505" w:type="pct"/>
                  <w:tcBorders>
                    <w:tl2br w:val="nil"/>
                    <w:tr2bl w:val="nil"/>
                  </w:tcBorders>
                  <w:noWrap w:val="0"/>
                  <w:vAlign w:val="center"/>
                </w:tcPr>
                <w:p w14:paraId="40ABDEF3">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fldChar w:fldCharType="begin"/>
                  </w:r>
                  <w:r>
                    <w:rPr>
                      <w:rFonts w:hint="default" w:ascii="Times New Roman" w:hAnsi="Times New Roman" w:cs="Times New Roman"/>
                      <w:color w:val="000000" w:themeColor="text1"/>
                      <w:sz w:val="21"/>
                      <w:szCs w:val="21"/>
                      <w14:textFill>
                        <w14:solidFill>
                          <w14:schemeClr w14:val="tx1"/>
                        </w14:solidFill>
                      </w14:textFill>
                    </w:rPr>
                    <w:instrText xml:space="preserve"> = sum(D2:D12) \* MERGEFORMAT </w:instrText>
                  </w:r>
                  <w:r>
                    <w:rPr>
                      <w:rFonts w:hint="default" w:ascii="Times New Roman" w:hAnsi="Times New Roman" w:cs="Times New Roman"/>
                      <w:color w:val="000000" w:themeColor="text1"/>
                      <w:sz w:val="21"/>
                      <w:szCs w:val="21"/>
                      <w14:textFill>
                        <w14:solidFill>
                          <w14:schemeClr w14:val="tx1"/>
                        </w14:solidFill>
                      </w14:textFill>
                    </w:rPr>
                    <w:fldChar w:fldCharType="separate"/>
                  </w:r>
                  <w:r>
                    <w:rPr>
                      <w:rFonts w:hint="default" w:ascii="Times New Roman" w:hAnsi="Times New Roman" w:cs="Times New Roman"/>
                      <w:color w:val="000000" w:themeColor="text1"/>
                      <w:sz w:val="21"/>
                      <w:szCs w:val="21"/>
                      <w14:textFill>
                        <w14:solidFill>
                          <w14:schemeClr w14:val="tx1"/>
                        </w14:solidFill>
                      </w14:textFill>
                    </w:rPr>
                    <w:t>49.5</w:t>
                  </w:r>
                  <w:r>
                    <w:rPr>
                      <w:rFonts w:hint="default" w:ascii="Times New Roman" w:hAnsi="Times New Roman" w:cs="Times New Roman"/>
                      <w:color w:val="000000" w:themeColor="text1"/>
                      <w:sz w:val="21"/>
                      <w:szCs w:val="21"/>
                      <w14:textFill>
                        <w14:solidFill>
                          <w14:schemeClr w14:val="tx1"/>
                        </w14:solidFill>
                      </w14:textFill>
                    </w:rPr>
                    <w:fldChar w:fldCharType="end"/>
                  </w:r>
                </w:p>
              </w:tc>
              <w:tc>
                <w:tcPr>
                  <w:tcW w:w="505" w:type="pct"/>
                  <w:tcBorders>
                    <w:tl2br w:val="nil"/>
                    <w:tr2bl w:val="nil"/>
                  </w:tcBorders>
                  <w:noWrap w:val="0"/>
                  <w:vAlign w:val="center"/>
                </w:tcPr>
                <w:p w14:paraId="42D9CA16">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cs="Times New Roman"/>
                      <w:color w:val="000000" w:themeColor="text1"/>
                      <w:sz w:val="21"/>
                      <w:szCs w:val="21"/>
                      <w:lang w:val="en-US" w:eastAsia="zh-CN"/>
                      <w14:textFill>
                        <w14:solidFill>
                          <w14:schemeClr w14:val="tx1"/>
                        </w14:solidFill>
                      </w14:textFill>
                    </w:rPr>
                    <w:instrText xml:space="preserve"> = sum(E2:E12) \* MERGEFORMAT </w:instrTex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cs="Times New Roman"/>
                      <w:color w:val="000000" w:themeColor="text1"/>
                      <w:sz w:val="21"/>
                      <w:szCs w:val="21"/>
                      <w:lang w:val="en-US" w:eastAsia="zh-CN"/>
                      <w14:textFill>
                        <w14:solidFill>
                          <w14:schemeClr w14:val="tx1"/>
                        </w14:solidFill>
                      </w14:textFill>
                    </w:rPr>
                    <w:t>61</w: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end"/>
                  </w:r>
                </w:p>
              </w:tc>
              <w:tc>
                <w:tcPr>
                  <w:tcW w:w="1344" w:type="pct"/>
                  <w:tcBorders>
                    <w:tl2br w:val="nil"/>
                    <w:tr2bl w:val="nil"/>
                  </w:tcBorders>
                  <w:noWrap w:val="0"/>
                  <w:vAlign w:val="center"/>
                </w:tcPr>
                <w:p w14:paraId="7166058F">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bl>
          <w:p w14:paraId="009272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聚丙烯酸钾</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聚丙烯酸钾(K－PAM)，是一种含羧钾聚丙烯酰胺衍生物，具有高吸水性、生产成本低、加工工艺简单、产品质量稳定、长时间储存不变质，最终分解物对生态环境无害等特点，同时还是很强的抑制页岩分散剂，具有控制地层造浆的作用并兼有降失水、改善流型及增加润滑性等功能；因此可以用于井下不分散低固性泥浆、聚合物体系的剪切稀释、防塌絮凝。</w:t>
            </w:r>
          </w:p>
          <w:p w14:paraId="2BC1E4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K-HPAN</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水解聚丙烯睛铵盐</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以腈纶废丝为主要原料，分子中有腈基，酰胺基及羧基。为棕红色或淡黄色粉末，易溶于水，水溶液呈碱性。本品为一种聚丙烯酸类岩抑制剂，对粘土有抑制水化膨胀的作用，并可降低钻井液的滤失量。</w:t>
            </w:r>
          </w:p>
          <w:p w14:paraId="5E7420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LV-CMC</w:t>
            </w:r>
            <w:r>
              <w:rPr>
                <w:rFonts w:hint="default" w:ascii="Times New Roman" w:hAnsi="Times New Roman" w:eastAsia="宋体" w:cs="Times New Roman"/>
                <w:b/>
                <w:bCs/>
                <w:color w:val="000000" w:themeColor="text1"/>
                <w:sz w:val="24"/>
                <w:szCs w:val="24"/>
                <w14:textFill>
                  <w14:solidFill>
                    <w14:schemeClr w14:val="tx1"/>
                  </w14:solidFill>
                </w14:textFill>
              </w:rPr>
              <w:t>（羧甲基纤维素钠）</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是纤维素的羧甲基化衍生物，又名纤维素胶，属阴离子型纤维素醚，是最主要离子型纤维素胶。通常是由天然纤维素与苛性碱及一氯醋酸反应后制得的一种阴离子型高分子化合物，化合物分子量从几千到百万不等。CMC为白色或乳白色纤维状粉末或颗粒，密度0.5-0.7克/立方厘米，几乎无臭、无味，具吸湿性。易于分散在水中成透明胶状溶液，在乙醇等有机溶媒中不溶。1%水溶液pH为6.5～8.5，当pH&gt;10或&lt;5时，胶浆粘度显著降低，在pH=7时性能最佳。对热稳定，在20℃以下粘度迅速上升，45℃时变化较慢，80℃以上长时间加热可使其胶体变性而粘度和性能明显下降。易溶于水，溶液透明；在碱性溶液中很稳定，遇酸则易水解，pH值为2-3时会出现沉淀，遇多价金属盐也会反应出现沉淀。</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固体CMC对光及室温较稳定</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，在干燥的环境中，可以长期保存。羧甲基纤维素钠可用作增稠剂，稳定剂，乳化剂。</w:t>
            </w:r>
          </w:p>
          <w:p w14:paraId="023124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复合堵漏剂</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：堵漏剂是一种凝结硬化快，小时强度高，具有膨胀的水硬性材料，此原料无毒无味，经严格筛选，性能卓越，操作简便，用水调和即可使用，可在潮湿面上施工，亦可带水堵漏，效果奇特。</w:t>
            </w:r>
          </w:p>
          <w:p w14:paraId="0B58F9A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表2-</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 xml:space="preserve">9  </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 xml:space="preserve"> 压裂液各成分理化性质一览表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6"/>
              <w:gridCol w:w="6945"/>
            </w:tblGrid>
            <w:tr w14:paraId="31BA0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1EDB9BE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原料名称</w:t>
                  </w:r>
                </w:p>
              </w:tc>
              <w:tc>
                <w:tcPr>
                  <w:tcW w:w="6945" w:type="dxa"/>
                  <w:vAlign w:val="center"/>
                </w:tcPr>
                <w:p w14:paraId="7B76CCC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理化性质</w:t>
                  </w:r>
                </w:p>
              </w:tc>
            </w:tr>
            <w:tr w14:paraId="36BF1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6E42555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改性胍胶</w:t>
                  </w:r>
                </w:p>
              </w:tc>
              <w:tc>
                <w:tcPr>
                  <w:tcW w:w="6945" w:type="dxa"/>
                  <w:vAlign w:val="center"/>
                </w:tcPr>
                <w:p w14:paraId="49C39781">
                  <w:pPr>
                    <w:spacing w:beforeLines="0" w:afterLines="0"/>
                    <w:jc w:val="left"/>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采用昆山羟丙基胍胶，羟丙基胍胶具有增稠能力强，热稳定性好的特点，对水有很强的亲和力。当胍胶粉末加入水中，胍胶的微粒便</w:t>
                  </w:r>
                  <w:r>
                    <w:rPr>
                      <w:rFonts w:hint="default" w:ascii="Times New Roman" w:hAnsi="Times New Roman" w:eastAsia="TimesNewRomanPSMT" w:cs="Times New Roman"/>
                      <w:color w:val="000000" w:themeColor="text1"/>
                      <w:sz w:val="21"/>
                      <w:szCs w:val="24"/>
                      <w14:textFill>
                        <w14:solidFill>
                          <w14:schemeClr w14:val="tx1"/>
                        </w14:solidFill>
                      </w14:textFill>
                    </w:rPr>
                    <w:t>“</w:t>
                  </w:r>
                  <w:r>
                    <w:rPr>
                      <w:rFonts w:hint="default" w:ascii="Times New Roman" w:hAnsi="Times New Roman" w:eastAsia="宋体" w:cs="Times New Roman"/>
                      <w:color w:val="000000" w:themeColor="text1"/>
                      <w:sz w:val="21"/>
                      <w:szCs w:val="24"/>
                      <w14:textFill>
                        <w14:solidFill>
                          <w14:schemeClr w14:val="tx1"/>
                        </w14:solidFill>
                      </w14:textFill>
                    </w:rPr>
                    <w:t>溶胀、水合</w:t>
                  </w:r>
                  <w:r>
                    <w:rPr>
                      <w:rFonts w:hint="default" w:ascii="Times New Roman" w:hAnsi="Times New Roman" w:eastAsia="TimesNewRomanPSMT" w:cs="Times New Roman"/>
                      <w:color w:val="000000" w:themeColor="text1"/>
                      <w:sz w:val="21"/>
                      <w:szCs w:val="24"/>
                      <w14:textFill>
                        <w14:solidFill>
                          <w14:schemeClr w14:val="tx1"/>
                        </w14:solidFill>
                      </w14:textFill>
                    </w:rPr>
                    <w:t>”</w:t>
                  </w:r>
                  <w:r>
                    <w:rPr>
                      <w:rFonts w:hint="default" w:ascii="Times New Roman" w:hAnsi="Times New Roman" w:eastAsia="宋体" w:cs="Times New Roman"/>
                      <w:color w:val="000000" w:themeColor="text1"/>
                      <w:sz w:val="21"/>
                      <w:szCs w:val="24"/>
                      <w14:textFill>
                        <w14:solidFill>
                          <w14:schemeClr w14:val="tx1"/>
                        </w14:solidFill>
                      </w14:textFill>
                    </w:rPr>
                    <w:t>，也就是聚合物分子与许多水分子形成缔合体，然后在溶液中展开、伸长。在水基体系中，聚合物线团的相互作用，产生了粘稠溶液。适合储层温度</w:t>
                  </w:r>
                  <w:r>
                    <w:rPr>
                      <w:rFonts w:hint="default" w:ascii="Times New Roman" w:hAnsi="Times New Roman" w:eastAsia="TimesNewRomanPSMT" w:cs="Times New Roman"/>
                      <w:color w:val="000000" w:themeColor="text1"/>
                      <w:sz w:val="21"/>
                      <w:szCs w:val="24"/>
                      <w14:textFill>
                        <w14:solidFill>
                          <w14:schemeClr w14:val="tx1"/>
                        </w14:solidFill>
                      </w14:textFill>
                    </w:rPr>
                    <w:t>80℃-200℃</w:t>
                  </w:r>
                  <w:r>
                    <w:rPr>
                      <w:rFonts w:hint="default" w:ascii="Times New Roman" w:hAnsi="Times New Roman" w:eastAsia="宋体" w:cs="Times New Roman"/>
                      <w:color w:val="000000" w:themeColor="text1"/>
                      <w:sz w:val="21"/>
                      <w:szCs w:val="24"/>
                      <w14:textFill>
                        <w14:solidFill>
                          <w14:schemeClr w14:val="tx1"/>
                        </w14:solidFill>
                      </w14:textFill>
                    </w:rPr>
                    <w:t>，降低了压裂液的残渣与施工摩阻，能满足高温、低渗储层压裂改造的需要。</w:t>
                  </w:r>
                </w:p>
              </w:tc>
            </w:tr>
            <w:tr w14:paraId="58A27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0BA558D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润湿改进剂</w:t>
                  </w:r>
                </w:p>
              </w:tc>
              <w:tc>
                <w:tcPr>
                  <w:tcW w:w="6945" w:type="dxa"/>
                  <w:vAlign w:val="center"/>
                </w:tcPr>
                <w:p w14:paraId="0A9EBC0C">
                  <w:pPr>
                    <w:spacing w:beforeLines="0" w:afterLines="0"/>
                    <w:jc w:val="left"/>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常用的润湿剂主要是非离子型表面活性剂，如</w:t>
                  </w:r>
                  <w:r>
                    <w:rPr>
                      <w:rFonts w:hint="default" w:ascii="Times New Roman" w:hAnsi="Times New Roman" w:eastAsia="TimesNewRomanPSMT" w:cs="Times New Roman"/>
                      <w:color w:val="000000" w:themeColor="text1"/>
                      <w:sz w:val="21"/>
                      <w:szCs w:val="24"/>
                      <w14:textFill>
                        <w14:solidFill>
                          <w14:schemeClr w14:val="tx1"/>
                        </w14:solidFill>
                      </w14:textFill>
                    </w:rPr>
                    <w:t>AE1910</w:t>
                  </w:r>
                  <w:r>
                    <w:rPr>
                      <w:rFonts w:hint="default" w:ascii="Times New Roman" w:hAnsi="Times New Roman" w:eastAsia="宋体" w:cs="Times New Roman"/>
                      <w:color w:val="000000" w:themeColor="text1"/>
                      <w:sz w:val="21"/>
                      <w:szCs w:val="24"/>
                      <w14:textFill>
                        <w14:solidFill>
                          <w14:schemeClr w14:val="tx1"/>
                        </w14:solidFill>
                      </w14:textFill>
                    </w:rPr>
                    <w:t>、</w:t>
                  </w:r>
                  <w:r>
                    <w:rPr>
                      <w:rFonts w:hint="default" w:ascii="Times New Roman" w:hAnsi="Times New Roman" w:eastAsia="TimesNewRomanPSMT" w:cs="Times New Roman"/>
                      <w:color w:val="000000" w:themeColor="text1"/>
                      <w:sz w:val="21"/>
                      <w:szCs w:val="24"/>
                      <w14:textFill>
                        <w14:solidFill>
                          <w14:schemeClr w14:val="tx1"/>
                        </w14:solidFill>
                      </w14:textFill>
                    </w:rPr>
                    <w:t>OP-10</w:t>
                  </w:r>
                  <w:r>
                    <w:rPr>
                      <w:rFonts w:hint="default" w:ascii="Times New Roman" w:hAnsi="Times New Roman" w:eastAsia="宋体" w:cs="Times New Roman"/>
                      <w:color w:val="000000" w:themeColor="text1"/>
                      <w:sz w:val="21"/>
                      <w:szCs w:val="24"/>
                      <w14:textFill>
                        <w14:solidFill>
                          <w14:schemeClr w14:val="tx1"/>
                        </w14:solidFill>
                      </w14:textFill>
                    </w:rPr>
                    <w:t>、</w:t>
                  </w:r>
                  <w:r>
                    <w:rPr>
                      <w:rFonts w:hint="default" w:ascii="Times New Roman" w:hAnsi="Times New Roman" w:eastAsia="TimesNewRomanPSMT" w:cs="Times New Roman"/>
                      <w:color w:val="000000" w:themeColor="text1"/>
                      <w:sz w:val="21"/>
                      <w:szCs w:val="24"/>
                      <w14:textFill>
                        <w14:solidFill>
                          <w14:schemeClr w14:val="tx1"/>
                        </w14:solidFill>
                      </w14:textFill>
                    </w:rPr>
                    <w:t>SP169</w:t>
                  </w:r>
                  <w:r>
                    <w:rPr>
                      <w:rFonts w:hint="default" w:ascii="Times New Roman" w:hAnsi="Times New Roman" w:eastAsia="宋体" w:cs="Times New Roman"/>
                      <w:color w:val="000000" w:themeColor="text1"/>
                      <w:sz w:val="21"/>
                      <w:szCs w:val="24"/>
                      <w14:textFill>
                        <w14:solidFill>
                          <w14:schemeClr w14:val="tx1"/>
                        </w14:solidFill>
                      </w14:textFill>
                    </w:rPr>
                    <w:t>、</w:t>
                  </w:r>
                  <w:r>
                    <w:rPr>
                      <w:rFonts w:hint="default" w:ascii="Times New Roman" w:hAnsi="Times New Roman" w:eastAsia="TimesNewRomanPSMT" w:cs="Times New Roman"/>
                      <w:color w:val="000000" w:themeColor="text1"/>
                      <w:sz w:val="21"/>
                      <w:szCs w:val="24"/>
                      <w14:textFill>
                        <w14:solidFill>
                          <w14:schemeClr w14:val="tx1"/>
                        </w14:solidFill>
                      </w14:textFill>
                    </w:rPr>
                    <w:t>796A</w:t>
                  </w:r>
                  <w:r>
                    <w:rPr>
                      <w:rFonts w:hint="default" w:ascii="Times New Roman" w:hAnsi="Times New Roman" w:eastAsia="宋体" w:cs="Times New Roman"/>
                      <w:color w:val="000000" w:themeColor="text1"/>
                      <w:sz w:val="21"/>
                      <w:szCs w:val="24"/>
                      <w14:textFill>
                        <w14:solidFill>
                          <w14:schemeClr w14:val="tx1"/>
                        </w14:solidFill>
                      </w14:textFill>
                    </w:rPr>
                    <w:t>、</w:t>
                  </w:r>
                  <w:r>
                    <w:rPr>
                      <w:rFonts w:hint="default" w:ascii="Times New Roman" w:hAnsi="Times New Roman" w:eastAsia="TimesNewRomanPSMT" w:cs="Times New Roman"/>
                      <w:color w:val="000000" w:themeColor="text1"/>
                      <w:sz w:val="21"/>
                      <w:szCs w:val="24"/>
                      <w14:textFill>
                        <w14:solidFill>
                          <w14:schemeClr w14:val="tx1"/>
                        </w14:solidFill>
                      </w14:textFill>
                    </w:rPr>
                    <w:t>TA-1031</w:t>
                  </w:r>
                  <w:r>
                    <w:rPr>
                      <w:rFonts w:hint="default" w:ascii="Times New Roman" w:hAnsi="Times New Roman" w:eastAsia="宋体" w:cs="Times New Roman"/>
                      <w:color w:val="000000" w:themeColor="text1"/>
                      <w:sz w:val="21"/>
                      <w:szCs w:val="24"/>
                      <w14:textFill>
                        <w14:solidFill>
                          <w14:schemeClr w14:val="tx1"/>
                        </w14:solidFill>
                      </w14:textFill>
                    </w:rPr>
                    <w:t>等，能将亲油砂岩润湿为亲水砂岩，有利于提高相对渗透率。</w:t>
                  </w:r>
                </w:p>
              </w:tc>
            </w:tr>
            <w:tr w14:paraId="09B82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316E530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高温交联剂</w:t>
                  </w:r>
                </w:p>
              </w:tc>
              <w:tc>
                <w:tcPr>
                  <w:tcW w:w="6945" w:type="dxa"/>
                  <w:vAlign w:val="center"/>
                </w:tcPr>
                <w:p w14:paraId="1D1286D9">
                  <w:pPr>
                    <w:spacing w:beforeLines="0" w:afterLines="0"/>
                    <w:jc w:val="left"/>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通过化学键或配位键与稠化剂发生交联反应的试剂称为交联剂。交联剂将聚合物的各种分子联结成一种机构，使原来的聚合物分子量明显地增加，调整压裂液的粘度。</w:t>
                  </w:r>
                </w:p>
              </w:tc>
            </w:tr>
            <w:tr w14:paraId="48E5E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2833EFB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有机硼</w:t>
                  </w:r>
                </w:p>
              </w:tc>
              <w:tc>
                <w:tcPr>
                  <w:tcW w:w="6945" w:type="dxa"/>
                  <w:vAlign w:val="center"/>
                </w:tcPr>
                <w:p w14:paraId="131EEC6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含有硼原子的有机化合物，作为交联剂辅助用剂。</w:t>
                  </w:r>
                </w:p>
              </w:tc>
            </w:tr>
            <w:tr w14:paraId="5366A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1720706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高温破胶剂</w:t>
                  </w:r>
                </w:p>
              </w:tc>
              <w:tc>
                <w:tcPr>
                  <w:tcW w:w="6945" w:type="dxa"/>
                  <w:vAlign w:val="center"/>
                </w:tcPr>
                <w:p w14:paraId="395727A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目前适用于水基交联冻胶体系的破胶剂，或以硫酸钾作为主要助剂。</w:t>
                  </w:r>
                </w:p>
              </w:tc>
            </w:tr>
            <w:tr w14:paraId="022B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66B6D30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碳酸钠</w:t>
                  </w:r>
                </w:p>
              </w:tc>
              <w:tc>
                <w:tcPr>
                  <w:tcW w:w="6945" w:type="dxa"/>
                  <w:vAlign w:val="center"/>
                </w:tcPr>
                <w:p w14:paraId="1963A424">
                  <w:pPr>
                    <w:spacing w:beforeLines="0" w:afterLines="0"/>
                    <w:jc w:val="left"/>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无水碳酸钠为白色粉末，易溶于水，水溶液呈碱性，</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p</w:t>
                  </w:r>
                  <w:r>
                    <w:rPr>
                      <w:rFonts w:hint="default" w:ascii="Times New Roman" w:hAnsi="Times New Roman" w:eastAsia="TimesNewRomanPSMT" w:cs="Times New Roman"/>
                      <w:color w:val="000000" w:themeColor="text1"/>
                      <w:sz w:val="21"/>
                      <w:szCs w:val="24"/>
                      <w14:textFill>
                        <w14:solidFill>
                          <w14:schemeClr w14:val="tx1"/>
                        </w14:solidFill>
                      </w14:textFill>
                    </w:rPr>
                    <w:t>H</w:t>
                  </w:r>
                  <w:r>
                    <w:rPr>
                      <w:rFonts w:hint="default" w:ascii="Times New Roman" w:hAnsi="Times New Roman" w:eastAsia="宋体" w:cs="Times New Roman"/>
                      <w:color w:val="000000" w:themeColor="text1"/>
                      <w:sz w:val="21"/>
                      <w:szCs w:val="24"/>
                      <w14:textFill>
                        <w14:solidFill>
                          <w14:schemeClr w14:val="tx1"/>
                        </w14:solidFill>
                      </w14:textFill>
                    </w:rPr>
                    <w:t>值为</w:t>
                  </w:r>
                  <w:r>
                    <w:rPr>
                      <w:rFonts w:hint="default" w:ascii="Times New Roman" w:hAnsi="Times New Roman" w:eastAsia="TimesNewRomanPSMT" w:cs="Times New Roman"/>
                      <w:color w:val="000000" w:themeColor="text1"/>
                      <w:sz w:val="21"/>
                      <w:szCs w:val="24"/>
                      <w14:textFill>
                        <w14:solidFill>
                          <w14:schemeClr w14:val="tx1"/>
                        </w14:solidFill>
                      </w14:textFill>
                    </w:rPr>
                    <w:t>11.5</w:t>
                  </w:r>
                  <w:r>
                    <w:rPr>
                      <w:rFonts w:hint="default" w:ascii="Times New Roman" w:hAnsi="Times New Roman" w:eastAsia="宋体" w:cs="Times New Roman"/>
                      <w:color w:val="000000" w:themeColor="text1"/>
                      <w:sz w:val="21"/>
                      <w:szCs w:val="24"/>
                      <w14:textFill>
                        <w14:solidFill>
                          <w14:schemeClr w14:val="tx1"/>
                        </w14:solidFill>
                      </w14:textFill>
                    </w:rPr>
                    <w:t>。在泥浆中发生电离和水解，提供</w:t>
                  </w:r>
                  <w:r>
                    <w:rPr>
                      <w:rFonts w:hint="default" w:ascii="Times New Roman" w:hAnsi="Times New Roman" w:eastAsia="TimesNewRomanPSMT" w:cs="Times New Roman"/>
                      <w:color w:val="000000" w:themeColor="text1"/>
                      <w:sz w:val="21"/>
                      <w:szCs w:val="24"/>
                      <w14:textFill>
                        <w14:solidFill>
                          <w14:schemeClr w14:val="tx1"/>
                        </w14:solidFill>
                      </w14:textFill>
                    </w:rPr>
                    <w:t>Na</w:t>
                  </w:r>
                  <w:r>
                    <w:rPr>
                      <w:rFonts w:hint="default" w:ascii="Times New Roman" w:hAnsi="Times New Roman" w:eastAsia="宋体" w:cs="Times New Roman"/>
                      <w:color w:val="000000" w:themeColor="text1"/>
                      <w:sz w:val="21"/>
                      <w:szCs w:val="24"/>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4"/>
                      <w14:textFill>
                        <w14:solidFill>
                          <w14:schemeClr w14:val="tx1"/>
                        </w14:solidFill>
                      </w14:textFill>
                    </w:rPr>
                    <w:t>和</w:t>
                  </w:r>
                  <w:r>
                    <w:rPr>
                      <w:rFonts w:hint="default" w:ascii="Times New Roman" w:hAnsi="Times New Roman" w:eastAsia="TimesNewRomanPSMT" w:cs="Times New Roman"/>
                      <w:color w:val="000000" w:themeColor="text1"/>
                      <w:sz w:val="21"/>
                      <w:szCs w:val="24"/>
                      <w14:textFill>
                        <w14:solidFill>
                          <w14:schemeClr w14:val="tx1"/>
                        </w14:solidFill>
                      </w14:textFill>
                    </w:rPr>
                    <w:t>CO</w:t>
                  </w:r>
                  <w:r>
                    <w:rPr>
                      <w:rFonts w:hint="default" w:ascii="Times New Roman" w:hAnsi="Times New Roman" w:eastAsia="宋体" w:cs="Times New Roman"/>
                      <w:color w:val="000000" w:themeColor="text1"/>
                      <w:sz w:val="21"/>
                      <w:szCs w:val="24"/>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4"/>
                      <w14:textFill>
                        <w14:solidFill>
                          <w14:schemeClr w14:val="tx1"/>
                        </w14:solidFill>
                      </w14:textFill>
                    </w:rPr>
                    <w:t>在泥浆中通过离子交换和沉淀作业，使钙质粘土变为钠质粘土。另外可除掉石膏或水泥浸入泥浆中的</w:t>
                  </w:r>
                  <w:r>
                    <w:rPr>
                      <w:rFonts w:hint="default" w:ascii="Times New Roman" w:hAnsi="Times New Roman" w:eastAsia="TimesNewRomanPSMT" w:cs="Times New Roman"/>
                      <w:color w:val="000000" w:themeColor="text1"/>
                      <w:sz w:val="21"/>
                      <w:szCs w:val="24"/>
                      <w14:textFill>
                        <w14:solidFill>
                          <w14:schemeClr w14:val="tx1"/>
                        </w14:solidFill>
                      </w14:textFill>
                    </w:rPr>
                    <w:t>Ca</w:t>
                  </w:r>
                  <w:r>
                    <w:rPr>
                      <w:rFonts w:hint="default" w:ascii="Times New Roman" w:hAnsi="Times New Roman" w:eastAsia="宋体" w:cs="Times New Roman"/>
                      <w:color w:val="000000" w:themeColor="text1"/>
                      <w:sz w:val="21"/>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4"/>
                      <w14:textFill>
                        <w14:solidFill>
                          <w14:schemeClr w14:val="tx1"/>
                        </w14:solidFill>
                      </w14:textFill>
                    </w:rPr>
                    <w:t>离子，使泥浆性能变好。</w:t>
                  </w:r>
                </w:p>
              </w:tc>
            </w:tr>
            <w:tr w14:paraId="7E8F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0C014CF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碳酸氢钠</w:t>
                  </w:r>
                </w:p>
              </w:tc>
              <w:tc>
                <w:tcPr>
                  <w:tcW w:w="6945" w:type="dxa"/>
                  <w:vAlign w:val="center"/>
                </w:tcPr>
                <w:p w14:paraId="01CD65A0">
                  <w:pPr>
                    <w:spacing w:beforeLines="0" w:afterLines="0"/>
                    <w:jc w:val="left"/>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白色细小晶体，溶于水时呈现弱碱性，固体</w:t>
                  </w:r>
                  <w:r>
                    <w:rPr>
                      <w:rFonts w:hint="default" w:ascii="Times New Roman" w:hAnsi="Times New Roman" w:eastAsia="TimesNewRomanPSMT" w:cs="Times New Roman"/>
                      <w:color w:val="000000" w:themeColor="text1"/>
                      <w:sz w:val="21"/>
                      <w:szCs w:val="24"/>
                      <w14:textFill>
                        <w14:solidFill>
                          <w14:schemeClr w14:val="tx1"/>
                        </w14:solidFill>
                      </w14:textFill>
                    </w:rPr>
                    <w:t>50℃</w:t>
                  </w:r>
                  <w:r>
                    <w:rPr>
                      <w:rFonts w:hint="default" w:ascii="Times New Roman" w:hAnsi="Times New Roman" w:eastAsia="宋体" w:cs="Times New Roman"/>
                      <w:color w:val="000000" w:themeColor="text1"/>
                      <w:sz w:val="21"/>
                      <w:szCs w:val="24"/>
                      <w14:textFill>
                        <w14:solidFill>
                          <w14:schemeClr w14:val="tx1"/>
                        </w14:solidFill>
                      </w14:textFill>
                    </w:rPr>
                    <w:t>以上开始逐渐分解生成碳酸钠、二氧化碳和水，</w:t>
                  </w:r>
                  <w:r>
                    <w:rPr>
                      <w:rFonts w:hint="default" w:ascii="Times New Roman" w:hAnsi="Times New Roman" w:eastAsia="TimesNewRomanPSMT" w:cs="Times New Roman"/>
                      <w:color w:val="000000" w:themeColor="text1"/>
                      <w:sz w:val="21"/>
                      <w:szCs w:val="24"/>
                      <w14:textFill>
                        <w14:solidFill>
                          <w14:schemeClr w14:val="tx1"/>
                        </w14:solidFill>
                      </w14:textFill>
                    </w:rPr>
                    <w:t>270℃</w:t>
                  </w:r>
                  <w:r>
                    <w:rPr>
                      <w:rFonts w:hint="default" w:ascii="Times New Roman" w:hAnsi="Times New Roman" w:eastAsia="宋体" w:cs="Times New Roman"/>
                      <w:color w:val="000000" w:themeColor="text1"/>
                      <w:sz w:val="21"/>
                      <w:szCs w:val="24"/>
                      <w14:textFill>
                        <w14:solidFill>
                          <w14:schemeClr w14:val="tx1"/>
                        </w14:solidFill>
                      </w14:textFill>
                    </w:rPr>
                    <w:t>时完全分解。</w:t>
                  </w:r>
                </w:p>
              </w:tc>
            </w:tr>
          </w:tbl>
          <w:p w14:paraId="0E62008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表2-</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 xml:space="preserve">10  </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 xml:space="preserve"> 原辅材料成分、性质一览表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3877"/>
              <w:gridCol w:w="3322"/>
            </w:tblGrid>
            <w:tr w14:paraId="75D7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vAlign w:val="center"/>
                </w:tcPr>
                <w:p w14:paraId="60754BE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名称</w:t>
                  </w:r>
                </w:p>
              </w:tc>
              <w:tc>
                <w:tcPr>
                  <w:tcW w:w="2311" w:type="pct"/>
                  <w:vAlign w:val="center"/>
                </w:tcPr>
                <w:p w14:paraId="22A04E3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钻井液</w:t>
                  </w:r>
                </w:p>
              </w:tc>
              <w:tc>
                <w:tcPr>
                  <w:tcW w:w="1980" w:type="pct"/>
                  <w:vAlign w:val="center"/>
                </w:tcPr>
                <w:p w14:paraId="35FF015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压裂液</w:t>
                  </w:r>
                </w:p>
              </w:tc>
            </w:tr>
            <w:tr w14:paraId="23B88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vAlign w:val="center"/>
                </w:tcPr>
                <w:p w14:paraId="03D1911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成分配方比</w:t>
                  </w:r>
                </w:p>
              </w:tc>
              <w:tc>
                <w:tcPr>
                  <w:tcW w:w="2311" w:type="pct"/>
                  <w:vAlign w:val="center"/>
                </w:tcPr>
                <w:p w14:paraId="614C58F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膨润土：6~8%</w:t>
                  </w:r>
                </w:p>
                <w:p w14:paraId="19F0DEE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纯碱：0.3~0.5%</w:t>
                  </w:r>
                </w:p>
                <w:p w14:paraId="4C599AC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CMC：0.05~0.1%</w:t>
                  </w:r>
                </w:p>
                <w:p w14:paraId="48C32C7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聚丙烯酰胺：0~0.5%</w:t>
                  </w:r>
                </w:p>
                <w:p w14:paraId="2BE9052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水：90.9~93.65%</w:t>
                  </w:r>
                </w:p>
              </w:tc>
              <w:tc>
                <w:tcPr>
                  <w:tcW w:w="1980" w:type="pct"/>
                  <w:vAlign w:val="center"/>
                </w:tcPr>
                <w:p w14:paraId="7375A256">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主要由稠化剂、交联剂、高温稳定剂、破胶剂等一些助剂组成。稠化剂是压裂液主要成分，约占总体系的0.1～1％</w:t>
                  </w:r>
                </w:p>
              </w:tc>
            </w:tr>
            <w:tr w14:paraId="50E4D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vAlign w:val="center"/>
                </w:tcPr>
                <w:p w14:paraId="660F71C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性质作用</w:t>
                  </w:r>
                </w:p>
              </w:tc>
              <w:tc>
                <w:tcPr>
                  <w:tcW w:w="2311" w:type="pct"/>
                  <w:vAlign w:val="center"/>
                </w:tcPr>
                <w:p w14:paraId="6B022A95">
                  <w:pPr>
                    <w:keepNext w:val="0"/>
                    <w:keepLines w:val="0"/>
                    <w:pageBreakBefore w:val="0"/>
                    <w:kinsoku/>
                    <w:wordWrap/>
                    <w:overflowPunct/>
                    <w:topLinePunct w:val="0"/>
                    <w:autoSpaceDE/>
                    <w:autoSpaceDN/>
                    <w:bidi w:val="0"/>
                    <w:adjustRightInd w:val="0"/>
                    <w:snapToGrid w:val="0"/>
                    <w:spacing w:beforeLines="0" w:afterLines="0"/>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膨润土是一种以蒙脱石矿物为主要成分的粘性土，水化能力强，膨胀性大，分散性高。泥浆中注入4-8％的膨润土钻井液，具有良好的流变性能固定颗粒含量少，称为低固相优质固壁泥浆，其特点有：1、泥浆比重小，可泵及净化性能好，适用于反循环钻进工艺。2、失水量小，形成的泥皮薄而有韧，固壁效果好。3、具有良好的流变性能，悬浮携带钻碴能力强，利于提高钻进效率。4、省电、省工和省时，机械磨损小，可降低工程成本。</w:t>
                  </w:r>
                </w:p>
              </w:tc>
              <w:tc>
                <w:tcPr>
                  <w:tcW w:w="1980" w:type="pct"/>
                  <w:vAlign w:val="center"/>
                </w:tcPr>
                <w:p w14:paraId="7A99EA5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压裂液是在钻井中将地面所形成的高压传递到下层中去，使得地层造成新的裂缝，撑开或扩大地层原有裂缝，同时把支撑剂带到裂缝中去。压裂液选用的性能要求：黏度高，润滑性好，滤失量小，低摩阻，对被压裂的流体层无堵塞及损害，对流体矿无污染，热稳定性及剪切稳定性能好、低残渣、配伍性好、破胶迅速、货源广，便于配置，经济合理</w:t>
                  </w:r>
                </w:p>
              </w:tc>
            </w:tr>
            <w:tr w14:paraId="7B29D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vAlign w:val="center"/>
                </w:tcPr>
                <w:p w14:paraId="77BDEC6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临时储存环保要求</w:t>
                  </w:r>
                </w:p>
              </w:tc>
              <w:tc>
                <w:tcPr>
                  <w:tcW w:w="2311" w:type="pct"/>
                  <w:vAlign w:val="center"/>
                </w:tcPr>
                <w:p w14:paraId="324F188D">
                  <w:pPr>
                    <w:keepNext w:val="0"/>
                    <w:keepLines w:val="0"/>
                    <w:pageBreakBefore w:val="0"/>
                    <w:kinsoku/>
                    <w:wordWrap/>
                    <w:overflowPunct/>
                    <w:topLinePunct w:val="0"/>
                    <w:autoSpaceDE/>
                    <w:autoSpaceDN/>
                    <w:bidi w:val="0"/>
                    <w:adjustRightInd w:val="0"/>
                    <w:snapToGrid w:val="0"/>
                    <w:spacing w:beforeLines="0" w:afterLines="0"/>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钻井液原料和处理剂的存放，应采取“防雨、防潮、防晒、防冻”等措施；钻井液材料应有详细记录，存放位置有明显标志。钻井液材料堆放台或架应高于地面100mm以上，并加设顶篷，防治雨水淋沥、浸泡造成污染。</w:t>
                  </w:r>
                </w:p>
              </w:tc>
              <w:tc>
                <w:tcPr>
                  <w:tcW w:w="1980" w:type="pct"/>
                  <w:vAlign w:val="center"/>
                </w:tcPr>
                <w:p w14:paraId="32FCA6F4">
                  <w:pPr>
                    <w:keepNext w:val="0"/>
                    <w:keepLines w:val="0"/>
                    <w:pageBreakBefore w:val="0"/>
                    <w:kinsoku/>
                    <w:wordWrap/>
                    <w:overflowPunct/>
                    <w:topLinePunct w:val="0"/>
                    <w:autoSpaceDE/>
                    <w:autoSpaceDN/>
                    <w:bidi w:val="0"/>
                    <w:adjustRightInd w:val="0"/>
                    <w:snapToGrid w:val="0"/>
                    <w:spacing w:beforeLines="0" w:afterLines="0"/>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储存于压裂液储罐内，储区应做好防渗措施，四周设置围堰。</w:t>
                  </w:r>
                </w:p>
              </w:tc>
            </w:tr>
          </w:tbl>
          <w:p w14:paraId="5EB72B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在钻井一开、二开过程中需要注入钻井液（俗称泥浆），钻井液是钻探过程中，孔内使用的循环冲洗介质，主要功用是：①冷却钻头、清净孔底、带出岩屑；②润滑钻具；③停钻时悬浮岩屑，保护孔壁防止坍塌，平衡地层压力、压住高压油气水层；④输送岩心，为孔底动力机传递破碎孔底岩石需要的动力等。</w:t>
            </w:r>
          </w:p>
          <w:p w14:paraId="210647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钻井液配置过程为：确定钻井液配比→加入按比例称取的水和膨润土→加入其他成分→利用烧碱调pH→倒入高速搅拌机搅拌→钻井液陈化→使用。钻井液配置过程中，为防止泄露对地下水及土壤影响，采取相应的环保措施，药品储存于撬装式设备中，输送过程采用管道密闭。</w:t>
            </w:r>
          </w:p>
          <w:p w14:paraId="7EE6AA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七</w:t>
            </w: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、公用工程</w:t>
            </w:r>
          </w:p>
          <w:p w14:paraId="67937C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1、给水</w:t>
            </w:r>
          </w:p>
          <w:p w14:paraId="0DAF0C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项目用水包括生活用水和生产用水两部分，由罐车拉运至井场。</w:t>
            </w:r>
          </w:p>
          <w:p w14:paraId="2DAC43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（1）生活用水</w:t>
            </w:r>
          </w:p>
          <w:p w14:paraId="1233B0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项目施工期</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劳动定员35人，根据《陕西省行业用水定额》（DB61/T943-2020）中相关要求，生活用水量按65L/人·天考虑，</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单井施工期</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预计</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50</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天，则项目施工期</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单井</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用水量为</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113.75</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/井，总用水量为455</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p>
          <w:p w14:paraId="702EF5F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（2）钻井用水</w:t>
            </w:r>
          </w:p>
          <w:p w14:paraId="363814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根据《陕西省行业用水定额》（DB61/T943-2020），常规钻井阶段平均每米进尺用水量约0.25m</w:t>
            </w:r>
            <w:r>
              <w:rPr>
                <w:rFonts w:hint="default"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本项目各井钻井用水量见下表：</w:t>
            </w:r>
          </w:p>
          <w:p w14:paraId="66CC160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p w14:paraId="753AE92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p w14:paraId="08F63F0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表2-11   钻井用水量</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7"/>
              <w:gridCol w:w="2377"/>
              <w:gridCol w:w="2918"/>
              <w:gridCol w:w="2098"/>
            </w:tblGrid>
            <w:tr w14:paraId="22041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Align w:val="center"/>
                </w:tcPr>
                <w:p w14:paraId="3EED8CE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序号</w:t>
                  </w:r>
                </w:p>
              </w:tc>
              <w:tc>
                <w:tcPr>
                  <w:tcW w:w="2377" w:type="dxa"/>
                  <w:vAlign w:val="center"/>
                </w:tcPr>
                <w:p w14:paraId="331452D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井号</w:t>
                  </w:r>
                </w:p>
              </w:tc>
              <w:tc>
                <w:tcPr>
                  <w:tcW w:w="2918" w:type="dxa"/>
                  <w:vAlign w:val="center"/>
                </w:tcPr>
                <w:p w14:paraId="5587AF4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钻井深度</w:t>
                  </w:r>
                </w:p>
              </w:tc>
              <w:tc>
                <w:tcPr>
                  <w:tcW w:w="2098" w:type="dxa"/>
                  <w:vAlign w:val="center"/>
                </w:tcPr>
                <w:p w14:paraId="6EC8D3D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钻井用水量（m</w:t>
                  </w:r>
                  <w:r>
                    <w:rPr>
                      <w:rFonts w:hint="eastAsia"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w:t>
                  </w:r>
                </w:p>
              </w:tc>
            </w:tr>
            <w:tr w14:paraId="546E5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Align w:val="center"/>
                </w:tcPr>
                <w:p w14:paraId="75F24E7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c>
                <w:tcPr>
                  <w:tcW w:w="2377" w:type="dxa"/>
                  <w:shd w:val="clear" w:color="auto" w:fill="auto"/>
                  <w:vAlign w:val="center"/>
                </w:tcPr>
                <w:p w14:paraId="2665CE5A">
                  <w:pPr>
                    <w:spacing w:line="240" w:lineRule="auto"/>
                    <w:ind w:firstLine="0" w:firstLineChars="0"/>
                    <w:jc w:val="center"/>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米172-08</w:t>
                  </w:r>
                </w:p>
              </w:tc>
              <w:tc>
                <w:tcPr>
                  <w:tcW w:w="2918" w:type="dxa"/>
                  <w:shd w:val="clear" w:color="auto" w:fill="auto"/>
                  <w:vAlign w:val="center"/>
                </w:tcPr>
                <w:p w14:paraId="32BBAD67">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2765</w:t>
                  </w:r>
                </w:p>
              </w:tc>
              <w:tc>
                <w:tcPr>
                  <w:tcW w:w="2098" w:type="dxa"/>
                  <w:vAlign w:val="center"/>
                </w:tcPr>
                <w:p w14:paraId="2AA50A98">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691.25</w:t>
                  </w:r>
                </w:p>
              </w:tc>
            </w:tr>
            <w:tr w14:paraId="5695A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Align w:val="center"/>
                </w:tcPr>
                <w:p w14:paraId="3A8126E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c>
                <w:tcPr>
                  <w:tcW w:w="2377" w:type="dxa"/>
                  <w:shd w:val="clear" w:color="auto" w:fill="auto"/>
                  <w:vAlign w:val="center"/>
                </w:tcPr>
                <w:p w14:paraId="051CC3C2">
                  <w:pPr>
                    <w:spacing w:line="240" w:lineRule="auto"/>
                    <w:ind w:firstLine="0" w:firstLineChars="0"/>
                    <w:jc w:val="center"/>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米37-14M</w:t>
                  </w:r>
                </w:p>
              </w:tc>
              <w:tc>
                <w:tcPr>
                  <w:tcW w:w="2918" w:type="dxa"/>
                  <w:shd w:val="clear" w:color="auto" w:fill="auto"/>
                  <w:vAlign w:val="center"/>
                </w:tcPr>
                <w:p w14:paraId="094F1435">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2850</w:t>
                  </w:r>
                </w:p>
              </w:tc>
              <w:tc>
                <w:tcPr>
                  <w:tcW w:w="2098" w:type="dxa"/>
                  <w:vAlign w:val="center"/>
                </w:tcPr>
                <w:p w14:paraId="11B60A4E">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712.5</w:t>
                  </w:r>
                </w:p>
              </w:tc>
            </w:tr>
            <w:tr w14:paraId="220EA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Align w:val="center"/>
                </w:tcPr>
                <w:p w14:paraId="13E7770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p>
              </w:tc>
              <w:tc>
                <w:tcPr>
                  <w:tcW w:w="2377" w:type="dxa"/>
                  <w:shd w:val="clear" w:color="auto" w:fill="auto"/>
                  <w:vAlign w:val="center"/>
                </w:tcPr>
                <w:p w14:paraId="0060DCD7">
                  <w:pPr>
                    <w:spacing w:line="240" w:lineRule="auto"/>
                    <w:ind w:firstLine="0" w:firstLineChars="0"/>
                    <w:jc w:val="center"/>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米172-06</w:t>
                  </w:r>
                </w:p>
              </w:tc>
              <w:tc>
                <w:tcPr>
                  <w:tcW w:w="2918" w:type="dxa"/>
                  <w:shd w:val="clear" w:color="auto" w:fill="auto"/>
                  <w:vAlign w:val="center"/>
                </w:tcPr>
                <w:p w14:paraId="0EEAF7B3">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2880</w:t>
                  </w:r>
                </w:p>
              </w:tc>
              <w:tc>
                <w:tcPr>
                  <w:tcW w:w="2098" w:type="dxa"/>
                  <w:vAlign w:val="center"/>
                </w:tcPr>
                <w:p w14:paraId="635AE866">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720</w:t>
                  </w:r>
                </w:p>
              </w:tc>
            </w:tr>
            <w:tr w14:paraId="43B78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Align w:val="center"/>
                </w:tcPr>
                <w:p w14:paraId="0692DCD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w:t>
                  </w:r>
                </w:p>
              </w:tc>
              <w:tc>
                <w:tcPr>
                  <w:tcW w:w="2377" w:type="dxa"/>
                  <w:shd w:val="clear" w:color="auto" w:fill="auto"/>
                  <w:vAlign w:val="center"/>
                </w:tcPr>
                <w:p w14:paraId="1FBA4252">
                  <w:pPr>
                    <w:spacing w:line="240" w:lineRule="auto"/>
                    <w:ind w:firstLine="0" w:firstLineChars="0"/>
                    <w:jc w:val="center"/>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米172-07</w:t>
                  </w:r>
                </w:p>
              </w:tc>
              <w:tc>
                <w:tcPr>
                  <w:tcW w:w="2918" w:type="dxa"/>
                  <w:shd w:val="clear" w:color="auto" w:fill="auto"/>
                  <w:vAlign w:val="center"/>
                </w:tcPr>
                <w:p w14:paraId="66A7DBDC">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2930</w:t>
                  </w:r>
                </w:p>
              </w:tc>
              <w:tc>
                <w:tcPr>
                  <w:tcW w:w="2098" w:type="dxa"/>
                  <w:vAlign w:val="center"/>
                </w:tcPr>
                <w:p w14:paraId="17DA8965">
                  <w:pPr>
                    <w:widowControl/>
                    <w:spacing w:line="240" w:lineRule="auto"/>
                    <w:ind w:firstLine="0" w:firstLineChars="0"/>
                    <w:jc w:val="center"/>
                    <w:textAlignment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732.5</w:t>
                  </w:r>
                </w:p>
              </w:tc>
            </w:tr>
            <w:tr w14:paraId="0AB11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2" w:type="dxa"/>
                  <w:gridSpan w:val="3"/>
                  <w:vAlign w:val="center"/>
                </w:tcPr>
                <w:p w14:paraId="0EF2D9A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合计</w:t>
                  </w:r>
                </w:p>
              </w:tc>
              <w:tc>
                <w:tcPr>
                  <w:tcW w:w="2098" w:type="dxa"/>
                  <w:vAlign w:val="center"/>
                </w:tcPr>
                <w:p w14:paraId="75B2690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2856.25</w:t>
                  </w:r>
                </w:p>
              </w:tc>
            </w:tr>
          </w:tbl>
          <w:p w14:paraId="1ADAEE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（3）洗井用水</w:t>
            </w:r>
          </w:p>
          <w:p w14:paraId="440750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根据本地区同类气井施工经验，</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单井</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洗井用水量为</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50</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项目洗井</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总</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用水量为</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200</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p>
          <w:p w14:paraId="558D8E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（4）压裂用水</w:t>
            </w:r>
          </w:p>
          <w:p w14:paraId="0ED6FA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单井</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压裂用水量为</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300</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（压裂液为现场自行配置）</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项目压裂</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总</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用水量为</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1200</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p>
          <w:p w14:paraId="6250BC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2、排水</w:t>
            </w:r>
          </w:p>
          <w:p w14:paraId="2DEC9E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（1）生活污水</w:t>
            </w:r>
          </w:p>
          <w:p w14:paraId="32B714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生活污水产生量按照用量的80%计，项目生活污水产生量为</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91</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/井（总产生量为364</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，项目井场内设置</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卫生</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旱厕，</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定期清掏用作农肥，</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生活污水排至</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沉淀罐</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沉淀后用于洒水降尘</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p>
          <w:p w14:paraId="17E6FF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（2）生产废水</w:t>
            </w:r>
          </w:p>
          <w:p w14:paraId="36119B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①</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钻井废水</w:t>
            </w:r>
          </w:p>
          <w:p w14:paraId="347252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钻井作业的泥浆配浆过程中会根据泥浆的不同要求加入不等量的水，这些水随钻井泥浆进入井底协助钻井作业。在钻井泥浆返回地面后，进入地面的泥浆不落地系统，经系统内的振动筛筛分后，岩屑收集于岩屑收集罐内；钻井泥浆暂存于泥浆罐，经静置沉淀后，析出的上清液作为钻井泥浆配液回用，泥浆</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经压滤后交陕西德禾鑫盛环保科技有限公司</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集中</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填埋</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处置。</w:t>
            </w:r>
          </w:p>
          <w:p w14:paraId="6B11D1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根据最新钻井工艺要求，泥浆返排率约100%（若返排泥浆量小于钻入泥浆量，可能发生井漏事故），项目泥浆上清液排入井场设置的泥浆罐内，用于配制泥浆，循环使用，最终不能再利用的泥浆</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压滤后交陕西德禾鑫盛环保科技有限公司</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集中</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填埋</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处置。</w:t>
            </w:r>
          </w:p>
          <w:p w14:paraId="44B526FA">
            <w:pPr>
              <w:pStyle w:val="27"/>
              <w:bidi w:val="0"/>
              <w:rPr>
                <w:rFonts w:hint="default"/>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②</w:t>
            </w:r>
            <w:r>
              <w:rPr>
                <w:rFonts w:hint="eastAsia"/>
                <w:color w:val="000000" w:themeColor="text1"/>
                <w:lang w:val="en-US" w:eastAsia="zh-CN"/>
                <w14:textFill>
                  <w14:solidFill>
                    <w14:schemeClr w14:val="tx1"/>
                  </w14:solidFill>
                </w14:textFill>
              </w:rPr>
              <w:t>洗井废水</w:t>
            </w:r>
          </w:p>
          <w:p w14:paraId="16EEDD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根据建设单位建设经验和统计数据，项目洗井废水约为用水量的90%，则</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单井</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洗井废水产生量为45m</w:t>
            </w:r>
            <w:r>
              <w:rPr>
                <w:rFonts w:hint="eastAsia"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p>
          <w:p w14:paraId="504687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③</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压裂返排液</w:t>
            </w:r>
          </w:p>
          <w:p w14:paraId="08384AE7">
            <w:pPr>
              <w:pStyle w:val="2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根据最新钻井工艺要求，压裂液返排率约80%，故正常情况下单井压裂返排液量约</w:t>
            </w:r>
            <w:r>
              <w:rPr>
                <w:rFonts w:hint="default" w:ascii="Times New Roman" w:hAnsi="Times New Roman" w:eastAsia="宋体" w:cs="Times New Roman"/>
                <w:color w:val="000000" w:themeColor="text1"/>
                <w:lang w:val="en-US" w:eastAsia="zh-CN"/>
                <w14:textFill>
                  <w14:solidFill>
                    <w14:schemeClr w14:val="tx1"/>
                  </w14:solidFill>
                </w14:textFill>
              </w:rPr>
              <w:t>240</w:t>
            </w:r>
            <w:r>
              <w:rPr>
                <w:rFonts w:hint="default" w:ascii="Times New Roman" w:hAnsi="Times New Roman" w:cs="Times New Roman"/>
                <w:color w:val="000000" w:themeColor="text1"/>
                <w14:textFill>
                  <w14:solidFill>
                    <w14:schemeClr w14:val="tx1"/>
                  </w14:solidFill>
                </w14:textFill>
              </w:rPr>
              <w:t>m³</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压裂返排液临时收集贮存于压裂返排液储罐，委托陕西榆佳环保科技有限公司外运处理。</w:t>
            </w:r>
          </w:p>
          <w:p w14:paraId="57BB44C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object>
                <v:shape id="_x0000_i1025" o:spt="75" type="#_x0000_t75" style="height:123.15pt;width:419.4pt;" o:ole="t" filled="f" o:preferrelative="t" stroked="f" coordsize="21600,21600">
                  <v:path/>
                  <v:fill on="f" focussize="0,0"/>
                  <v:stroke on="f"/>
                  <v:imagedata r:id="rId9" cropbottom="16128f" o:title=""/>
                  <o:lock v:ext="edit" aspectratio="f"/>
                  <w10:wrap type="none"/>
                  <w10:anchorlock/>
                </v:shape>
                <o:OLEObject Type="Embed" ProgID="Visio.Drawing.11" ShapeID="_x0000_i1025" DrawAspect="Content" ObjectID="_1468075725" r:id="rId8">
                  <o:LockedField>false</o:LockedField>
                </o:OLEObject>
              </w:object>
            </w:r>
          </w:p>
          <w:p w14:paraId="505E7A3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图2-</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 xml:space="preserve"> 项目水平衡图（单位：m</w:t>
            </w:r>
            <w:r>
              <w:rPr>
                <w:rFonts w:hint="default"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w:t>
            </w:r>
          </w:p>
          <w:p w14:paraId="0416E02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color w:val="000000" w:themeColor="text1"/>
                <w14:textFill>
                  <w14:solidFill>
                    <w14:schemeClr w14:val="tx1"/>
                  </w14:solidFill>
                </w14:textFill>
              </w:rPr>
              <w:object>
                <v:shape id="_x0000_i1026" o:spt="75" type="#_x0000_t75" style="height:150.45pt;width:230.8pt;" o:ole="t" filled="f" o:preferrelative="t" stroked="f" coordsize="21600,21600">
                  <v:path/>
                  <v:fill on="f" focussize="0,0"/>
                  <v:stroke on="f"/>
                  <v:imagedata r:id="rId11" croptop="5401f" o:title=""/>
                  <o:lock v:ext="edit" aspectratio="f"/>
                  <w10:wrap type="none"/>
                  <w10:anchorlock/>
                </v:shape>
                <o:OLEObject Type="Embed" ProgID="Visio.Drawing.11" ShapeID="_x0000_i1026" DrawAspect="Content" ObjectID="_1468075726" r:id="rId10">
                  <o:LockedField>false</o:LockedField>
                </o:OLEObject>
              </w:object>
            </w:r>
          </w:p>
          <w:p w14:paraId="474D368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图2-</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 xml:space="preserve"> 项目水平衡图（单位：m</w:t>
            </w:r>
            <w:r>
              <w:rPr>
                <w:rFonts w:hint="default"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w:t>
            </w:r>
          </w:p>
          <w:p w14:paraId="40D0D6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3、供电</w:t>
            </w:r>
          </w:p>
          <w:p w14:paraId="2ADD60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项目施工期由市政电网供电。</w:t>
            </w:r>
          </w:p>
          <w:p w14:paraId="7E6988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4、供暖</w:t>
            </w:r>
          </w:p>
          <w:p w14:paraId="7138AB69">
            <w:pPr>
              <w:pStyle w:val="27"/>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项目冬季不施工，不涉及供暖。</w:t>
            </w:r>
          </w:p>
          <w:p w14:paraId="781300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八</w:t>
            </w: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、劳动定员及工作制度</w:t>
            </w:r>
          </w:p>
          <w:p w14:paraId="0596E59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钻井期间</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单井</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施工人数35人，每天连续工作24小时，三班两倒</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，单井工期为50天</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p>
        </w:tc>
      </w:tr>
      <w:tr w14:paraId="57D01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2" w:type="dxa"/>
            <w:vAlign w:val="center"/>
          </w:tcPr>
          <w:p w14:paraId="45734ACF">
            <w:pPr>
              <w:numPr>
                <w:ilvl w:val="0"/>
                <w:numId w:val="0"/>
              </w:numPr>
              <w:jc w:val="both"/>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总平面及现场布置</w:t>
            </w:r>
          </w:p>
        </w:tc>
        <w:tc>
          <w:tcPr>
            <w:tcW w:w="8616" w:type="dxa"/>
            <w:vAlign w:val="center"/>
          </w:tcPr>
          <w:p w14:paraId="7B8D90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1、工程布局</w:t>
            </w:r>
          </w:p>
          <w:p w14:paraId="339F7FA1">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工程主要由钻前工程和钻井工程两大部分组成。井场主要设备设施包括井口、钻井工作区、储罐区、材料区等。整个厂区以钻井工作区和井口为中心，</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钻井工作区的北侧为临时停车场和临时</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卫生</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旱厕，东侧为钻井液值班房和钻井液材料房，南侧为储罐区，主要为泥饼和岩屑储罐、洗井废水储罐和压裂返排液储罐；西侧为修理房、材料房、综合房、发电机房和井控房。</w:t>
            </w:r>
            <w:r>
              <w:rPr>
                <w:rFonts w:hint="default" w:ascii="Times New Roman" w:hAnsi="Times New Roman" w:cs="Times New Roman"/>
                <w:color w:val="000000" w:themeColor="text1"/>
                <w:sz w:val="24"/>
                <w:szCs w:val="24"/>
                <w:lang w:val="en-US" w:eastAsia="zh-CN"/>
                <w14:textFill>
                  <w14:solidFill>
                    <w14:schemeClr w14:val="tx1"/>
                  </w14:solidFill>
                </w14:textFill>
              </w:rPr>
              <w:t>整体布置符合《钻前工程及井场布置技术要求》（SY/T5466-2013）。井场平面布置见附图。</w:t>
            </w:r>
          </w:p>
          <w:p w14:paraId="40DC54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2、施工布置</w:t>
            </w:r>
          </w:p>
          <w:p w14:paraId="73BB088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（1）项目占地</w:t>
            </w:r>
          </w:p>
          <w:p w14:paraId="34DC8C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本</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项目现阶段为临时占地。若探井有开采价值应办理临时借地转征手续；若无开采价值，应及时办理土地复垦手续。项目占地类型主要为园地</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、林地及交通运输用地</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w:t>
            </w:r>
          </w:p>
          <w:p w14:paraId="7F58E6C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（2）项目土石方平衡</w:t>
            </w:r>
          </w:p>
          <w:p w14:paraId="294C78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本项目涉及的土方项目主要为井场施工</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、井场平整、施工生活区及进场道路</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项目土石方量见下表：</w:t>
            </w:r>
          </w:p>
          <w:p w14:paraId="7BA5794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表2-1</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 xml:space="preserve">2  </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 xml:space="preserve"> 项目土石方平衡</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 xml:space="preserve"> 单位：m</w:t>
            </w:r>
            <w:r>
              <w:rPr>
                <w:rFonts w:hint="eastAsia"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3</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200"/>
              <w:gridCol w:w="1073"/>
              <w:gridCol w:w="1073"/>
              <w:gridCol w:w="1338"/>
              <w:gridCol w:w="1177"/>
              <w:gridCol w:w="981"/>
              <w:gridCol w:w="825"/>
            </w:tblGrid>
            <w:tr w14:paraId="44F80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Merge w:val="restart"/>
                  <w:vAlign w:val="center"/>
                </w:tcPr>
                <w:p w14:paraId="1D7D0C66">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序号</w:t>
                  </w:r>
                </w:p>
              </w:tc>
              <w:tc>
                <w:tcPr>
                  <w:tcW w:w="1200" w:type="dxa"/>
                  <w:vMerge w:val="restart"/>
                  <w:vAlign w:val="center"/>
                </w:tcPr>
                <w:p w14:paraId="76B5A774">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井场名称</w:t>
                  </w:r>
                </w:p>
              </w:tc>
              <w:tc>
                <w:tcPr>
                  <w:tcW w:w="1073" w:type="dxa"/>
                  <w:vMerge w:val="restart"/>
                  <w:vAlign w:val="center"/>
                </w:tcPr>
                <w:p w14:paraId="292F8D2E">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类别</w:t>
                  </w:r>
                </w:p>
              </w:tc>
              <w:tc>
                <w:tcPr>
                  <w:tcW w:w="1073" w:type="dxa"/>
                  <w:vMerge w:val="restart"/>
                  <w:vAlign w:val="center"/>
                </w:tcPr>
                <w:p w14:paraId="63DD6CE6">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表土</w:t>
                  </w:r>
                </w:p>
              </w:tc>
              <w:tc>
                <w:tcPr>
                  <w:tcW w:w="4321" w:type="dxa"/>
                  <w:gridSpan w:val="4"/>
                  <w:shd w:val="clear" w:color="auto" w:fill="auto"/>
                  <w:vAlign w:val="center"/>
                </w:tcPr>
                <w:p w14:paraId="7DFD8C84">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2"/>
                      <w:szCs w:val="22"/>
                      <w:u w:val="none"/>
                      <w:lang w:val="en-US" w:eastAsia="zh-CN" w:bidi="ar-SA"/>
                      <w14:textFill>
                        <w14:solidFill>
                          <w14:schemeClr w14:val="tx1"/>
                        </w14:solidFill>
                      </w14:textFill>
                    </w:rPr>
                  </w:pPr>
                  <w:r>
                    <w:rPr>
                      <w:rFonts w:hint="eastAsia" w:ascii="Times New Roman" w:hAnsi="Times New Roman" w:eastAsia="宋体" w:cs="Times New Roman"/>
                      <w:b/>
                      <w:bCs/>
                      <w:i w:val="0"/>
                      <w:iCs w:val="0"/>
                      <w:color w:val="000000" w:themeColor="text1"/>
                      <w:sz w:val="22"/>
                      <w:szCs w:val="22"/>
                      <w:u w:val="none"/>
                      <w:lang w:val="en-US" w:eastAsia="zh-CN" w:bidi="ar-SA"/>
                      <w14:textFill>
                        <w14:solidFill>
                          <w14:schemeClr w14:val="tx1"/>
                        </w14:solidFill>
                      </w14:textFill>
                    </w:rPr>
                    <w:t>一般土石方</w:t>
                  </w:r>
                </w:p>
              </w:tc>
            </w:tr>
            <w:tr w14:paraId="4FE74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Merge w:val="continue"/>
                  <w:vAlign w:val="center"/>
                </w:tcPr>
                <w:p w14:paraId="5D97F7B6">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1200" w:type="dxa"/>
                  <w:vMerge w:val="continue"/>
                  <w:vAlign w:val="center"/>
                </w:tcPr>
                <w:p w14:paraId="5287BCA9">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1073" w:type="dxa"/>
                  <w:vMerge w:val="continue"/>
                  <w:vAlign w:val="center"/>
                </w:tcPr>
                <w:p w14:paraId="25B75B52">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1073" w:type="dxa"/>
                  <w:vMerge w:val="continue"/>
                  <w:vAlign w:val="center"/>
                </w:tcPr>
                <w:p w14:paraId="4C2D0ABB">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1338" w:type="dxa"/>
                  <w:shd w:val="clear" w:color="auto" w:fill="auto"/>
                  <w:vAlign w:val="center"/>
                </w:tcPr>
                <w:p w14:paraId="636BB7EF">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2"/>
                      <w:szCs w:val="22"/>
                      <w:u w:val="none"/>
                      <w:lang w:val="en-US" w:eastAsia="zh-CN" w:bidi="ar-SA"/>
                      <w14:textFill>
                        <w14:solidFill>
                          <w14:schemeClr w14:val="tx1"/>
                        </w14:solidFill>
                      </w14:textFill>
                    </w:rPr>
                  </w:pPr>
                  <w:r>
                    <w:rPr>
                      <w:rFonts w:hint="default" w:ascii="Times New Roman" w:hAnsi="Times New Roman" w:eastAsia="宋体" w:cs="Times New Roman"/>
                      <w:b/>
                      <w:bCs/>
                      <w:i w:val="0"/>
                      <w:iCs w:val="0"/>
                      <w:color w:val="000000" w:themeColor="text1"/>
                      <w:kern w:val="0"/>
                      <w:sz w:val="22"/>
                      <w:szCs w:val="22"/>
                      <w:u w:val="none"/>
                      <w:lang w:val="en-US" w:eastAsia="zh-CN" w:bidi="ar"/>
                      <w14:textFill>
                        <w14:solidFill>
                          <w14:schemeClr w14:val="tx1"/>
                        </w14:solidFill>
                      </w14:textFill>
                    </w:rPr>
                    <w:t>挖方</w:t>
                  </w:r>
                </w:p>
              </w:tc>
              <w:tc>
                <w:tcPr>
                  <w:tcW w:w="1177" w:type="dxa"/>
                  <w:shd w:val="clear" w:color="auto" w:fill="auto"/>
                  <w:vAlign w:val="center"/>
                </w:tcPr>
                <w:p w14:paraId="2B7E21C4">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2"/>
                      <w:szCs w:val="22"/>
                      <w:u w:val="none"/>
                      <w:lang w:val="en-US" w:eastAsia="zh-CN" w:bidi="ar-SA"/>
                      <w14:textFill>
                        <w14:solidFill>
                          <w14:schemeClr w14:val="tx1"/>
                        </w14:solidFill>
                      </w14:textFill>
                    </w:rPr>
                  </w:pPr>
                  <w:r>
                    <w:rPr>
                      <w:rFonts w:hint="default" w:ascii="Times New Roman" w:hAnsi="Times New Roman" w:eastAsia="宋体" w:cs="Times New Roman"/>
                      <w:b/>
                      <w:bCs/>
                      <w:i w:val="0"/>
                      <w:iCs w:val="0"/>
                      <w:color w:val="000000" w:themeColor="text1"/>
                      <w:kern w:val="0"/>
                      <w:sz w:val="22"/>
                      <w:szCs w:val="22"/>
                      <w:u w:val="none"/>
                      <w:lang w:val="en-US" w:eastAsia="zh-CN" w:bidi="ar"/>
                      <w14:textFill>
                        <w14:solidFill>
                          <w14:schemeClr w14:val="tx1"/>
                        </w14:solidFill>
                      </w14:textFill>
                    </w:rPr>
                    <w:t>填方</w:t>
                  </w:r>
                </w:p>
              </w:tc>
              <w:tc>
                <w:tcPr>
                  <w:tcW w:w="981" w:type="dxa"/>
                  <w:shd w:val="clear" w:color="auto" w:fill="auto"/>
                  <w:vAlign w:val="center"/>
                </w:tcPr>
                <w:p w14:paraId="30FB0943">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2"/>
                      <w:szCs w:val="22"/>
                      <w:u w:val="none"/>
                      <w:lang w:val="en-US" w:eastAsia="zh-CN" w:bidi="ar-SA"/>
                      <w14:textFill>
                        <w14:solidFill>
                          <w14:schemeClr w14:val="tx1"/>
                        </w14:solidFill>
                      </w14:textFill>
                    </w:rPr>
                  </w:pPr>
                  <w:r>
                    <w:rPr>
                      <w:rFonts w:hint="default" w:ascii="Times New Roman" w:hAnsi="Times New Roman" w:eastAsia="宋体" w:cs="Times New Roman"/>
                      <w:b/>
                      <w:bCs/>
                      <w:i w:val="0"/>
                      <w:iCs w:val="0"/>
                      <w:color w:val="000000" w:themeColor="text1"/>
                      <w:kern w:val="0"/>
                      <w:sz w:val="22"/>
                      <w:szCs w:val="22"/>
                      <w:u w:val="none"/>
                      <w:lang w:val="en-US" w:eastAsia="zh-CN" w:bidi="ar"/>
                      <w14:textFill>
                        <w14:solidFill>
                          <w14:schemeClr w14:val="tx1"/>
                        </w14:solidFill>
                      </w14:textFill>
                    </w:rPr>
                    <w:t>借方</w:t>
                  </w:r>
                </w:p>
              </w:tc>
              <w:tc>
                <w:tcPr>
                  <w:tcW w:w="825" w:type="dxa"/>
                  <w:shd w:val="clear" w:color="auto" w:fill="auto"/>
                  <w:vAlign w:val="center"/>
                </w:tcPr>
                <w:p w14:paraId="428DAAE9">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sz w:val="22"/>
                      <w:szCs w:val="22"/>
                      <w:u w:val="none"/>
                      <w:lang w:val="en-US" w:eastAsia="zh-CN" w:bidi="ar-SA"/>
                      <w14:textFill>
                        <w14:solidFill>
                          <w14:schemeClr w14:val="tx1"/>
                        </w14:solidFill>
                      </w14:textFill>
                    </w:rPr>
                  </w:pPr>
                  <w:r>
                    <w:rPr>
                      <w:rFonts w:hint="default" w:ascii="Times New Roman" w:hAnsi="Times New Roman" w:eastAsia="宋体" w:cs="Times New Roman"/>
                      <w:b/>
                      <w:bCs/>
                      <w:i w:val="0"/>
                      <w:iCs w:val="0"/>
                      <w:color w:val="000000" w:themeColor="text1"/>
                      <w:kern w:val="0"/>
                      <w:sz w:val="22"/>
                      <w:szCs w:val="22"/>
                      <w:u w:val="none"/>
                      <w:lang w:val="en-US" w:eastAsia="zh-CN" w:bidi="ar"/>
                      <w14:textFill>
                        <w14:solidFill>
                          <w14:schemeClr w14:val="tx1"/>
                        </w14:solidFill>
                      </w14:textFill>
                    </w:rPr>
                    <w:t>弃方</w:t>
                  </w:r>
                </w:p>
              </w:tc>
            </w:tr>
            <w:tr w14:paraId="30F7F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Merge w:val="restart"/>
                  <w:vAlign w:val="center"/>
                </w:tcPr>
                <w:p w14:paraId="51DD94A1">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c>
                <w:tcPr>
                  <w:tcW w:w="1200" w:type="dxa"/>
                  <w:vMerge w:val="restart"/>
                  <w:shd w:val="clear" w:color="auto" w:fill="auto"/>
                  <w:vAlign w:val="center"/>
                </w:tcPr>
                <w:p w14:paraId="6B465EC1">
                  <w:pPr>
                    <w:spacing w:line="240" w:lineRule="auto"/>
                    <w:ind w:firstLine="0" w:firstLineChars="0"/>
                    <w:jc w:val="center"/>
                    <w:rPr>
                      <w:rFonts w:hint="eastAsia"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米172-08</w:t>
                  </w:r>
                </w:p>
              </w:tc>
              <w:tc>
                <w:tcPr>
                  <w:tcW w:w="1073" w:type="dxa"/>
                  <w:shd w:val="clear" w:color="auto" w:fill="auto"/>
                  <w:vAlign w:val="center"/>
                </w:tcPr>
                <w:p w14:paraId="466558D9">
                  <w:pPr>
                    <w:spacing w:line="240" w:lineRule="auto"/>
                    <w:ind w:firstLine="0" w:firstLineChars="0"/>
                    <w:jc w:val="cente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井场</w:t>
                  </w:r>
                </w:p>
              </w:tc>
              <w:tc>
                <w:tcPr>
                  <w:tcW w:w="1073" w:type="dxa"/>
                  <w:shd w:val="clear" w:color="auto" w:fill="auto"/>
                  <w:vAlign w:val="center"/>
                </w:tcPr>
                <w:p w14:paraId="0B95052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5040</w:t>
                  </w:r>
                </w:p>
              </w:tc>
              <w:tc>
                <w:tcPr>
                  <w:tcW w:w="1338" w:type="dxa"/>
                  <w:shd w:val="clear" w:color="auto" w:fill="auto"/>
                  <w:vAlign w:val="center"/>
                </w:tcPr>
                <w:p w14:paraId="10F50C7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38213.6</w:t>
                  </w:r>
                </w:p>
              </w:tc>
              <w:tc>
                <w:tcPr>
                  <w:tcW w:w="1177" w:type="dxa"/>
                  <w:shd w:val="clear" w:color="auto" w:fill="auto"/>
                  <w:vAlign w:val="center"/>
                </w:tcPr>
                <w:p w14:paraId="2E38D92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38213.6</w:t>
                  </w:r>
                </w:p>
              </w:tc>
              <w:tc>
                <w:tcPr>
                  <w:tcW w:w="981" w:type="dxa"/>
                  <w:shd w:val="clear" w:color="auto" w:fill="auto"/>
                  <w:vAlign w:val="center"/>
                </w:tcPr>
                <w:p w14:paraId="51786F0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w:t>
                  </w:r>
                </w:p>
              </w:tc>
              <w:tc>
                <w:tcPr>
                  <w:tcW w:w="825" w:type="dxa"/>
                  <w:shd w:val="clear" w:color="auto" w:fill="auto"/>
                  <w:vAlign w:val="center"/>
                </w:tcPr>
                <w:p w14:paraId="0146944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w:t>
                  </w:r>
                </w:p>
              </w:tc>
            </w:tr>
            <w:tr w14:paraId="7954D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Merge w:val="continue"/>
                  <w:vAlign w:val="center"/>
                </w:tcPr>
                <w:p w14:paraId="57B6BC73">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200" w:type="dxa"/>
                  <w:vMerge w:val="continue"/>
                  <w:shd w:val="clear" w:color="auto" w:fill="auto"/>
                  <w:vAlign w:val="center"/>
                </w:tcPr>
                <w:p w14:paraId="7F5F23C6">
                  <w:pPr>
                    <w:spacing w:line="240" w:lineRule="auto"/>
                    <w:ind w:firstLine="0" w:firstLineChars="0"/>
                    <w:jc w:val="cente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p>
              </w:tc>
              <w:tc>
                <w:tcPr>
                  <w:tcW w:w="1073" w:type="dxa"/>
                  <w:shd w:val="clear" w:color="auto" w:fill="auto"/>
                  <w:vAlign w:val="center"/>
                </w:tcPr>
                <w:p w14:paraId="36C7CC4B">
                  <w:pPr>
                    <w:spacing w:line="240" w:lineRule="auto"/>
                    <w:ind w:firstLine="0" w:firstLineChars="0"/>
                    <w:jc w:val="cente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生活区</w:t>
                  </w:r>
                </w:p>
              </w:tc>
              <w:tc>
                <w:tcPr>
                  <w:tcW w:w="1073" w:type="dxa"/>
                  <w:shd w:val="clear" w:color="auto" w:fill="auto"/>
                  <w:vAlign w:val="center"/>
                </w:tcPr>
                <w:p w14:paraId="4CDEC4B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335.4</w:t>
                  </w:r>
                </w:p>
              </w:tc>
              <w:tc>
                <w:tcPr>
                  <w:tcW w:w="1338" w:type="dxa"/>
                  <w:shd w:val="clear" w:color="auto" w:fill="auto"/>
                  <w:vAlign w:val="center"/>
                </w:tcPr>
                <w:p w14:paraId="20F6E8C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549</w:t>
                  </w:r>
                </w:p>
              </w:tc>
              <w:tc>
                <w:tcPr>
                  <w:tcW w:w="1177" w:type="dxa"/>
                  <w:shd w:val="clear" w:color="auto" w:fill="auto"/>
                  <w:vAlign w:val="center"/>
                </w:tcPr>
                <w:p w14:paraId="217F522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549</w:t>
                  </w:r>
                </w:p>
              </w:tc>
              <w:tc>
                <w:tcPr>
                  <w:tcW w:w="981" w:type="dxa"/>
                  <w:shd w:val="clear" w:color="auto" w:fill="auto"/>
                  <w:vAlign w:val="center"/>
                </w:tcPr>
                <w:p w14:paraId="7EDBADA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w:t>
                  </w:r>
                </w:p>
              </w:tc>
              <w:tc>
                <w:tcPr>
                  <w:tcW w:w="825" w:type="dxa"/>
                  <w:shd w:val="clear" w:color="auto" w:fill="auto"/>
                  <w:vAlign w:val="center"/>
                </w:tcPr>
                <w:p w14:paraId="7DDCA67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w:t>
                  </w:r>
                </w:p>
              </w:tc>
            </w:tr>
            <w:tr w14:paraId="37618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Merge w:val="continue"/>
                  <w:vAlign w:val="center"/>
                </w:tcPr>
                <w:p w14:paraId="6699530B">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2273" w:type="dxa"/>
                  <w:gridSpan w:val="2"/>
                  <w:shd w:val="clear" w:color="auto" w:fill="auto"/>
                  <w:vAlign w:val="center"/>
                </w:tcPr>
                <w:p w14:paraId="46AD2D10">
                  <w:pPr>
                    <w:spacing w:line="240" w:lineRule="auto"/>
                    <w:ind w:firstLine="0" w:firstLineChars="0"/>
                    <w:jc w:val="cente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合计</w:t>
                  </w:r>
                </w:p>
              </w:tc>
              <w:tc>
                <w:tcPr>
                  <w:tcW w:w="1073" w:type="dxa"/>
                  <w:shd w:val="clear" w:color="auto" w:fill="auto"/>
                  <w:vAlign w:val="center"/>
                </w:tcPr>
                <w:p w14:paraId="5769F45F">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5375.4</w:t>
                  </w:r>
                </w:p>
              </w:tc>
              <w:tc>
                <w:tcPr>
                  <w:tcW w:w="1338" w:type="dxa"/>
                  <w:shd w:val="clear" w:color="auto" w:fill="auto"/>
                  <w:vAlign w:val="center"/>
                </w:tcPr>
                <w:p w14:paraId="4839FE6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38762.6</w:t>
                  </w:r>
                </w:p>
              </w:tc>
              <w:tc>
                <w:tcPr>
                  <w:tcW w:w="1177" w:type="dxa"/>
                  <w:shd w:val="clear" w:color="auto" w:fill="auto"/>
                  <w:vAlign w:val="center"/>
                </w:tcPr>
                <w:p w14:paraId="2C0D5B9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38762.6</w:t>
                  </w:r>
                </w:p>
              </w:tc>
              <w:tc>
                <w:tcPr>
                  <w:tcW w:w="981" w:type="dxa"/>
                  <w:shd w:val="clear" w:color="auto" w:fill="auto"/>
                  <w:vAlign w:val="center"/>
                </w:tcPr>
                <w:p w14:paraId="07B19C3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w:t>
                  </w:r>
                </w:p>
              </w:tc>
              <w:tc>
                <w:tcPr>
                  <w:tcW w:w="825" w:type="dxa"/>
                  <w:shd w:val="clear" w:color="auto" w:fill="auto"/>
                  <w:vAlign w:val="center"/>
                </w:tcPr>
                <w:p w14:paraId="4A8EB51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w:t>
                  </w:r>
                </w:p>
              </w:tc>
            </w:tr>
            <w:tr w14:paraId="5F8D1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Merge w:val="restart"/>
                  <w:vAlign w:val="center"/>
                </w:tcPr>
                <w:p w14:paraId="0E8EFD12">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c>
                <w:tcPr>
                  <w:tcW w:w="1200" w:type="dxa"/>
                  <w:vMerge w:val="restart"/>
                  <w:shd w:val="clear" w:color="auto" w:fill="auto"/>
                  <w:vAlign w:val="center"/>
                </w:tcPr>
                <w:p w14:paraId="6D182431">
                  <w:pPr>
                    <w:spacing w:line="240" w:lineRule="auto"/>
                    <w:ind w:firstLine="0" w:firstLineChars="0"/>
                    <w:jc w:val="center"/>
                    <w:rPr>
                      <w:rFonts w:hint="eastAsia"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米37-14M</w:t>
                  </w:r>
                </w:p>
              </w:tc>
              <w:tc>
                <w:tcPr>
                  <w:tcW w:w="1073" w:type="dxa"/>
                  <w:shd w:val="clear" w:color="auto" w:fill="auto"/>
                  <w:vAlign w:val="center"/>
                </w:tcPr>
                <w:p w14:paraId="014C9A02">
                  <w:pPr>
                    <w:spacing w:line="240" w:lineRule="auto"/>
                    <w:ind w:firstLine="0" w:firstLineChars="0"/>
                    <w:jc w:val="cente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井场</w:t>
                  </w:r>
                </w:p>
              </w:tc>
              <w:tc>
                <w:tcPr>
                  <w:tcW w:w="1073" w:type="dxa"/>
                  <w:shd w:val="clear" w:color="auto" w:fill="auto"/>
                  <w:vAlign w:val="center"/>
                </w:tcPr>
                <w:p w14:paraId="58413E8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2789.4</w:t>
                  </w:r>
                </w:p>
              </w:tc>
              <w:tc>
                <w:tcPr>
                  <w:tcW w:w="1338" w:type="dxa"/>
                  <w:shd w:val="clear" w:color="auto" w:fill="auto"/>
                  <w:vAlign w:val="center"/>
                </w:tcPr>
                <w:p w14:paraId="05662F4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20726.6</w:t>
                  </w:r>
                </w:p>
              </w:tc>
              <w:tc>
                <w:tcPr>
                  <w:tcW w:w="1177" w:type="dxa"/>
                  <w:shd w:val="clear" w:color="auto" w:fill="auto"/>
                  <w:vAlign w:val="center"/>
                </w:tcPr>
                <w:p w14:paraId="1E02B43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20726.6</w:t>
                  </w:r>
                </w:p>
              </w:tc>
              <w:tc>
                <w:tcPr>
                  <w:tcW w:w="981" w:type="dxa"/>
                  <w:shd w:val="clear" w:color="auto" w:fill="auto"/>
                  <w:vAlign w:val="center"/>
                </w:tcPr>
                <w:p w14:paraId="7A5AD82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w:t>
                  </w:r>
                </w:p>
              </w:tc>
              <w:tc>
                <w:tcPr>
                  <w:tcW w:w="825" w:type="dxa"/>
                  <w:shd w:val="clear" w:color="auto" w:fill="auto"/>
                  <w:vAlign w:val="center"/>
                </w:tcPr>
                <w:p w14:paraId="0AC8110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w:t>
                  </w:r>
                </w:p>
              </w:tc>
            </w:tr>
            <w:tr w14:paraId="1171D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Merge w:val="continue"/>
                  <w:vAlign w:val="center"/>
                </w:tcPr>
                <w:p w14:paraId="3FD54FC2">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200" w:type="dxa"/>
                  <w:vMerge w:val="continue"/>
                  <w:shd w:val="clear" w:color="auto" w:fill="auto"/>
                  <w:vAlign w:val="center"/>
                </w:tcPr>
                <w:p w14:paraId="3E8E6CBA">
                  <w:pPr>
                    <w:spacing w:line="240" w:lineRule="auto"/>
                    <w:ind w:firstLine="0" w:firstLineChars="0"/>
                    <w:jc w:val="cente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p>
              </w:tc>
              <w:tc>
                <w:tcPr>
                  <w:tcW w:w="1073" w:type="dxa"/>
                  <w:shd w:val="clear" w:color="auto" w:fill="auto"/>
                  <w:vAlign w:val="center"/>
                </w:tcPr>
                <w:p w14:paraId="3EF89516">
                  <w:pPr>
                    <w:spacing w:line="240" w:lineRule="auto"/>
                    <w:ind w:firstLine="0" w:firstLineChars="0"/>
                    <w:jc w:val="cente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生活区</w:t>
                  </w:r>
                </w:p>
              </w:tc>
              <w:tc>
                <w:tcPr>
                  <w:tcW w:w="1073" w:type="dxa"/>
                  <w:shd w:val="clear" w:color="auto" w:fill="auto"/>
                  <w:vAlign w:val="center"/>
                </w:tcPr>
                <w:p w14:paraId="69D3632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360</w:t>
                  </w:r>
                </w:p>
              </w:tc>
              <w:tc>
                <w:tcPr>
                  <w:tcW w:w="1338" w:type="dxa"/>
                  <w:shd w:val="clear" w:color="auto" w:fill="auto"/>
                  <w:vAlign w:val="center"/>
                </w:tcPr>
                <w:p w14:paraId="7032E0F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624</w:t>
                  </w:r>
                </w:p>
              </w:tc>
              <w:tc>
                <w:tcPr>
                  <w:tcW w:w="1177" w:type="dxa"/>
                  <w:shd w:val="clear" w:color="auto" w:fill="auto"/>
                  <w:vAlign w:val="center"/>
                </w:tcPr>
                <w:p w14:paraId="4D720CC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624</w:t>
                  </w:r>
                </w:p>
              </w:tc>
              <w:tc>
                <w:tcPr>
                  <w:tcW w:w="981" w:type="dxa"/>
                  <w:shd w:val="clear" w:color="auto" w:fill="auto"/>
                  <w:vAlign w:val="center"/>
                </w:tcPr>
                <w:p w14:paraId="2EF6952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w:t>
                  </w:r>
                </w:p>
              </w:tc>
              <w:tc>
                <w:tcPr>
                  <w:tcW w:w="825" w:type="dxa"/>
                  <w:shd w:val="clear" w:color="auto" w:fill="auto"/>
                  <w:vAlign w:val="center"/>
                </w:tcPr>
                <w:p w14:paraId="109B8FE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w:t>
                  </w:r>
                </w:p>
              </w:tc>
            </w:tr>
            <w:tr w14:paraId="7DC79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Merge w:val="continue"/>
                  <w:vAlign w:val="center"/>
                </w:tcPr>
                <w:p w14:paraId="6B5A3D96">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200" w:type="dxa"/>
                  <w:vMerge w:val="continue"/>
                  <w:shd w:val="clear" w:color="auto" w:fill="auto"/>
                  <w:vAlign w:val="center"/>
                </w:tcPr>
                <w:p w14:paraId="4420D672">
                  <w:pPr>
                    <w:spacing w:line="240" w:lineRule="auto"/>
                    <w:ind w:firstLine="0" w:firstLineChars="0"/>
                    <w:jc w:val="cente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p>
              </w:tc>
              <w:tc>
                <w:tcPr>
                  <w:tcW w:w="1073" w:type="dxa"/>
                  <w:shd w:val="clear" w:color="auto" w:fill="auto"/>
                  <w:vAlign w:val="center"/>
                </w:tcPr>
                <w:p w14:paraId="0A4FF963">
                  <w:pPr>
                    <w:spacing w:line="240" w:lineRule="auto"/>
                    <w:ind w:firstLine="0" w:firstLineChars="0"/>
                    <w:jc w:val="cente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进场道路</w:t>
                  </w:r>
                </w:p>
              </w:tc>
              <w:tc>
                <w:tcPr>
                  <w:tcW w:w="1073" w:type="dxa"/>
                  <w:shd w:val="clear" w:color="auto" w:fill="auto"/>
                  <w:vAlign w:val="center"/>
                </w:tcPr>
                <w:p w14:paraId="6A5C921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51.6</w:t>
                  </w:r>
                </w:p>
              </w:tc>
              <w:tc>
                <w:tcPr>
                  <w:tcW w:w="1338" w:type="dxa"/>
                  <w:shd w:val="clear" w:color="auto" w:fill="auto"/>
                  <w:vAlign w:val="center"/>
                </w:tcPr>
                <w:p w14:paraId="34A53B7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218</w:t>
                  </w:r>
                </w:p>
              </w:tc>
              <w:tc>
                <w:tcPr>
                  <w:tcW w:w="1177" w:type="dxa"/>
                  <w:shd w:val="clear" w:color="auto" w:fill="auto"/>
                  <w:vAlign w:val="center"/>
                </w:tcPr>
                <w:p w14:paraId="6C8046E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218</w:t>
                  </w:r>
                </w:p>
              </w:tc>
              <w:tc>
                <w:tcPr>
                  <w:tcW w:w="981" w:type="dxa"/>
                  <w:shd w:val="clear" w:color="auto" w:fill="auto"/>
                  <w:vAlign w:val="center"/>
                </w:tcPr>
                <w:p w14:paraId="4DF0276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w:t>
                  </w:r>
                </w:p>
              </w:tc>
              <w:tc>
                <w:tcPr>
                  <w:tcW w:w="825" w:type="dxa"/>
                  <w:shd w:val="clear" w:color="auto" w:fill="auto"/>
                  <w:vAlign w:val="center"/>
                </w:tcPr>
                <w:p w14:paraId="25BF82D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w:t>
                  </w:r>
                </w:p>
              </w:tc>
            </w:tr>
            <w:tr w14:paraId="060AA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Merge w:val="continue"/>
                  <w:vAlign w:val="center"/>
                </w:tcPr>
                <w:p w14:paraId="4FA56B64">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2273" w:type="dxa"/>
                  <w:gridSpan w:val="2"/>
                  <w:shd w:val="clear" w:color="auto" w:fill="auto"/>
                  <w:vAlign w:val="center"/>
                </w:tcPr>
                <w:p w14:paraId="4B13094C">
                  <w:pPr>
                    <w:spacing w:line="240" w:lineRule="auto"/>
                    <w:ind w:firstLine="0" w:firstLineChars="0"/>
                    <w:jc w:val="cente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合计</w:t>
                  </w:r>
                </w:p>
              </w:tc>
              <w:tc>
                <w:tcPr>
                  <w:tcW w:w="1073" w:type="dxa"/>
                  <w:shd w:val="clear" w:color="auto" w:fill="auto"/>
                  <w:vAlign w:val="center"/>
                </w:tcPr>
                <w:p w14:paraId="7DA19114">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3201</w:t>
                  </w:r>
                </w:p>
              </w:tc>
              <w:tc>
                <w:tcPr>
                  <w:tcW w:w="1338" w:type="dxa"/>
                  <w:shd w:val="clear" w:color="auto" w:fill="auto"/>
                  <w:vAlign w:val="center"/>
                </w:tcPr>
                <w:p w14:paraId="26F322B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21568.6</w:t>
                  </w:r>
                </w:p>
              </w:tc>
              <w:tc>
                <w:tcPr>
                  <w:tcW w:w="1177" w:type="dxa"/>
                  <w:shd w:val="clear" w:color="auto" w:fill="auto"/>
                  <w:vAlign w:val="center"/>
                </w:tcPr>
                <w:p w14:paraId="2C4AF73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21568.6</w:t>
                  </w:r>
                </w:p>
              </w:tc>
              <w:tc>
                <w:tcPr>
                  <w:tcW w:w="981" w:type="dxa"/>
                  <w:shd w:val="clear" w:color="auto" w:fill="auto"/>
                  <w:vAlign w:val="center"/>
                </w:tcPr>
                <w:p w14:paraId="3B00652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w:t>
                  </w:r>
                </w:p>
              </w:tc>
              <w:tc>
                <w:tcPr>
                  <w:tcW w:w="825" w:type="dxa"/>
                  <w:shd w:val="clear" w:color="auto" w:fill="auto"/>
                  <w:vAlign w:val="center"/>
                </w:tcPr>
                <w:p w14:paraId="454992A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w:t>
                  </w:r>
                </w:p>
              </w:tc>
            </w:tr>
            <w:tr w14:paraId="0131D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Merge w:val="restart"/>
                  <w:vAlign w:val="center"/>
                </w:tcPr>
                <w:p w14:paraId="3BDF71C4">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p>
              </w:tc>
              <w:tc>
                <w:tcPr>
                  <w:tcW w:w="1200" w:type="dxa"/>
                  <w:vMerge w:val="restart"/>
                  <w:shd w:val="clear" w:color="auto" w:fill="auto"/>
                  <w:vAlign w:val="center"/>
                </w:tcPr>
                <w:p w14:paraId="01F24A19">
                  <w:pPr>
                    <w:spacing w:line="240" w:lineRule="auto"/>
                    <w:ind w:firstLine="0" w:firstLineChars="0"/>
                    <w:jc w:val="center"/>
                    <w:rPr>
                      <w:rFonts w:hint="eastAsia"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米172-06</w:t>
                  </w:r>
                </w:p>
              </w:tc>
              <w:tc>
                <w:tcPr>
                  <w:tcW w:w="1073" w:type="dxa"/>
                  <w:shd w:val="clear" w:color="auto" w:fill="auto"/>
                  <w:vAlign w:val="center"/>
                </w:tcPr>
                <w:p w14:paraId="79593E0B">
                  <w:pPr>
                    <w:spacing w:line="240" w:lineRule="auto"/>
                    <w:ind w:firstLine="0" w:firstLineChars="0"/>
                    <w:jc w:val="center"/>
                    <w:rPr>
                      <w:rFonts w:hint="eastAsia" w:ascii="Times New Roman" w:hAnsi="Times New Roman" w:eastAsia="宋体" w:cs="Times New Roman"/>
                      <w:color w:val="000000" w:themeColor="text1"/>
                      <w:sz w:val="21"/>
                      <w:szCs w:val="21"/>
                      <w:u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井场</w:t>
                  </w:r>
                </w:p>
              </w:tc>
              <w:tc>
                <w:tcPr>
                  <w:tcW w:w="1073" w:type="dxa"/>
                  <w:shd w:val="clear" w:color="auto" w:fill="auto"/>
                  <w:vAlign w:val="center"/>
                </w:tcPr>
                <w:p w14:paraId="4F0F348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2781.3</w:t>
                  </w:r>
                </w:p>
              </w:tc>
              <w:tc>
                <w:tcPr>
                  <w:tcW w:w="1338" w:type="dxa"/>
                  <w:shd w:val="clear" w:color="auto" w:fill="auto"/>
                  <w:vAlign w:val="center"/>
                </w:tcPr>
                <w:p w14:paraId="3B02BE8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33772.7</w:t>
                  </w:r>
                </w:p>
              </w:tc>
              <w:tc>
                <w:tcPr>
                  <w:tcW w:w="1177" w:type="dxa"/>
                  <w:shd w:val="clear" w:color="auto" w:fill="auto"/>
                  <w:vAlign w:val="center"/>
                </w:tcPr>
                <w:p w14:paraId="2B959C7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33772.7</w:t>
                  </w:r>
                </w:p>
              </w:tc>
              <w:tc>
                <w:tcPr>
                  <w:tcW w:w="981" w:type="dxa"/>
                  <w:shd w:val="clear" w:color="auto" w:fill="auto"/>
                  <w:vAlign w:val="center"/>
                </w:tcPr>
                <w:p w14:paraId="7804B85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w:t>
                  </w:r>
                </w:p>
              </w:tc>
              <w:tc>
                <w:tcPr>
                  <w:tcW w:w="825" w:type="dxa"/>
                  <w:shd w:val="clear" w:color="auto" w:fill="auto"/>
                  <w:vAlign w:val="center"/>
                </w:tcPr>
                <w:p w14:paraId="6837C18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w:t>
                  </w:r>
                </w:p>
              </w:tc>
            </w:tr>
            <w:tr w14:paraId="5B6D4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Merge w:val="continue"/>
                  <w:vAlign w:val="center"/>
                </w:tcPr>
                <w:p w14:paraId="27A01558">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200" w:type="dxa"/>
                  <w:vMerge w:val="continue"/>
                  <w:shd w:val="clear" w:color="auto" w:fill="auto"/>
                  <w:vAlign w:val="center"/>
                </w:tcPr>
                <w:p w14:paraId="62BFFB54">
                  <w:pPr>
                    <w:spacing w:line="240" w:lineRule="auto"/>
                    <w:ind w:firstLine="0" w:firstLineChars="0"/>
                    <w:jc w:val="cente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p>
              </w:tc>
              <w:tc>
                <w:tcPr>
                  <w:tcW w:w="1073" w:type="dxa"/>
                  <w:shd w:val="clear" w:color="auto" w:fill="auto"/>
                  <w:vAlign w:val="center"/>
                </w:tcPr>
                <w:p w14:paraId="759EBC7C">
                  <w:pPr>
                    <w:spacing w:line="240" w:lineRule="auto"/>
                    <w:ind w:firstLine="0" w:firstLineChars="0"/>
                    <w:jc w:val="center"/>
                    <w:rPr>
                      <w:rFonts w:hint="eastAsia" w:ascii="Times New Roman" w:hAnsi="Times New Roman" w:eastAsia="宋体" w:cs="Times New Roman"/>
                      <w:color w:val="000000" w:themeColor="text1"/>
                      <w:sz w:val="21"/>
                      <w:szCs w:val="21"/>
                      <w:u w:val="none"/>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生活区</w:t>
                  </w:r>
                </w:p>
              </w:tc>
              <w:tc>
                <w:tcPr>
                  <w:tcW w:w="1073" w:type="dxa"/>
                  <w:shd w:val="clear" w:color="auto" w:fill="auto"/>
                  <w:vAlign w:val="center"/>
                </w:tcPr>
                <w:p w14:paraId="0218121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360</w:t>
                  </w:r>
                </w:p>
              </w:tc>
              <w:tc>
                <w:tcPr>
                  <w:tcW w:w="1338" w:type="dxa"/>
                  <w:shd w:val="clear" w:color="auto" w:fill="auto"/>
                  <w:vAlign w:val="center"/>
                </w:tcPr>
                <w:p w14:paraId="46F761B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467</w:t>
                  </w:r>
                </w:p>
              </w:tc>
              <w:tc>
                <w:tcPr>
                  <w:tcW w:w="1177" w:type="dxa"/>
                  <w:shd w:val="clear" w:color="auto" w:fill="auto"/>
                  <w:vAlign w:val="center"/>
                </w:tcPr>
                <w:p w14:paraId="377B457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467</w:t>
                  </w:r>
                </w:p>
              </w:tc>
              <w:tc>
                <w:tcPr>
                  <w:tcW w:w="981" w:type="dxa"/>
                  <w:shd w:val="clear" w:color="auto" w:fill="auto"/>
                  <w:vAlign w:val="center"/>
                </w:tcPr>
                <w:p w14:paraId="5F3A942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w:t>
                  </w:r>
                </w:p>
              </w:tc>
              <w:tc>
                <w:tcPr>
                  <w:tcW w:w="825" w:type="dxa"/>
                  <w:shd w:val="clear" w:color="auto" w:fill="auto"/>
                  <w:vAlign w:val="center"/>
                </w:tcPr>
                <w:p w14:paraId="1416BBC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w:t>
                  </w:r>
                </w:p>
              </w:tc>
            </w:tr>
            <w:tr w14:paraId="12B91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Merge w:val="continue"/>
                  <w:vAlign w:val="center"/>
                </w:tcPr>
                <w:p w14:paraId="5E387741">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2273" w:type="dxa"/>
                  <w:gridSpan w:val="2"/>
                  <w:shd w:val="clear" w:color="auto" w:fill="auto"/>
                  <w:vAlign w:val="center"/>
                </w:tcPr>
                <w:p w14:paraId="287D0D57">
                  <w:pPr>
                    <w:spacing w:line="240" w:lineRule="auto"/>
                    <w:ind w:firstLine="0" w:firstLineChars="0"/>
                    <w:jc w:val="cente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合计</w:t>
                  </w:r>
                </w:p>
              </w:tc>
              <w:tc>
                <w:tcPr>
                  <w:tcW w:w="1073" w:type="dxa"/>
                  <w:shd w:val="clear" w:color="auto" w:fill="auto"/>
                  <w:vAlign w:val="center"/>
                </w:tcPr>
                <w:p w14:paraId="65A9C031">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3141.3</w:t>
                  </w:r>
                </w:p>
              </w:tc>
              <w:tc>
                <w:tcPr>
                  <w:tcW w:w="1338" w:type="dxa"/>
                  <w:shd w:val="clear" w:color="auto" w:fill="auto"/>
                  <w:vAlign w:val="center"/>
                </w:tcPr>
                <w:p w14:paraId="48A22ED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34239.7</w:t>
                  </w:r>
                </w:p>
              </w:tc>
              <w:tc>
                <w:tcPr>
                  <w:tcW w:w="1177" w:type="dxa"/>
                  <w:shd w:val="clear" w:color="auto" w:fill="auto"/>
                  <w:vAlign w:val="center"/>
                </w:tcPr>
                <w:p w14:paraId="02472FC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34239.7</w:t>
                  </w:r>
                </w:p>
              </w:tc>
              <w:tc>
                <w:tcPr>
                  <w:tcW w:w="981" w:type="dxa"/>
                  <w:shd w:val="clear" w:color="auto" w:fill="auto"/>
                  <w:vAlign w:val="center"/>
                </w:tcPr>
                <w:p w14:paraId="0126AD8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w:t>
                  </w:r>
                </w:p>
              </w:tc>
              <w:tc>
                <w:tcPr>
                  <w:tcW w:w="825" w:type="dxa"/>
                  <w:shd w:val="clear" w:color="auto" w:fill="auto"/>
                  <w:vAlign w:val="center"/>
                </w:tcPr>
                <w:p w14:paraId="79E6838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w:t>
                  </w:r>
                </w:p>
              </w:tc>
            </w:tr>
            <w:tr w14:paraId="57B82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Merge w:val="restart"/>
                </w:tcPr>
                <w:p w14:paraId="7099EE65">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w:t>
                  </w:r>
                </w:p>
              </w:tc>
              <w:tc>
                <w:tcPr>
                  <w:tcW w:w="1200" w:type="dxa"/>
                  <w:shd w:val="clear" w:color="auto" w:fill="auto"/>
                  <w:vAlign w:val="center"/>
                </w:tcPr>
                <w:p w14:paraId="2334BFF2">
                  <w:pPr>
                    <w:spacing w:line="240" w:lineRule="auto"/>
                    <w:ind w:firstLine="0" w:firstLineChars="0"/>
                    <w:jc w:val="center"/>
                    <w:rPr>
                      <w:rFonts w:hint="eastAsia"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米172-07</w:t>
                  </w:r>
                </w:p>
              </w:tc>
              <w:tc>
                <w:tcPr>
                  <w:tcW w:w="1073" w:type="dxa"/>
                  <w:shd w:val="clear" w:color="auto" w:fill="auto"/>
                  <w:vAlign w:val="center"/>
                </w:tcPr>
                <w:p w14:paraId="6D74E481">
                  <w:pPr>
                    <w:spacing w:line="240" w:lineRule="auto"/>
                    <w:ind w:firstLine="0" w:firstLineChars="0"/>
                    <w:jc w:val="center"/>
                    <w:rPr>
                      <w:rFonts w:hint="default"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井场</w:t>
                  </w:r>
                </w:p>
              </w:tc>
              <w:tc>
                <w:tcPr>
                  <w:tcW w:w="1073" w:type="dxa"/>
                  <w:shd w:val="clear" w:color="auto" w:fill="auto"/>
                  <w:vAlign w:val="center"/>
                </w:tcPr>
                <w:p w14:paraId="5E4B967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2179.5</w:t>
                  </w:r>
                </w:p>
              </w:tc>
              <w:tc>
                <w:tcPr>
                  <w:tcW w:w="1338" w:type="dxa"/>
                  <w:vAlign w:val="center"/>
                </w:tcPr>
                <w:p w14:paraId="032CD13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18569</w:t>
                  </w:r>
                </w:p>
              </w:tc>
              <w:tc>
                <w:tcPr>
                  <w:tcW w:w="1177" w:type="dxa"/>
                  <w:vAlign w:val="center"/>
                </w:tcPr>
                <w:p w14:paraId="154D1A0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18569</w:t>
                  </w:r>
                </w:p>
              </w:tc>
              <w:tc>
                <w:tcPr>
                  <w:tcW w:w="981" w:type="dxa"/>
                  <w:vAlign w:val="center"/>
                </w:tcPr>
                <w:p w14:paraId="5ADA338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w:t>
                  </w:r>
                </w:p>
              </w:tc>
              <w:tc>
                <w:tcPr>
                  <w:tcW w:w="825" w:type="dxa"/>
                  <w:vAlign w:val="center"/>
                </w:tcPr>
                <w:p w14:paraId="1745FDC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w:t>
                  </w:r>
                </w:p>
              </w:tc>
            </w:tr>
            <w:tr w14:paraId="223A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Merge w:val="continue"/>
                </w:tcPr>
                <w:p w14:paraId="754C93C9">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2273" w:type="dxa"/>
                  <w:gridSpan w:val="2"/>
                  <w:shd w:val="clear" w:color="auto" w:fill="auto"/>
                  <w:vAlign w:val="center"/>
                </w:tcPr>
                <w:p w14:paraId="585780E6">
                  <w:pPr>
                    <w:spacing w:line="240" w:lineRule="auto"/>
                    <w:ind w:firstLine="0" w:firstLineChars="0"/>
                    <w:jc w:val="cente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合计</w:t>
                  </w:r>
                </w:p>
              </w:tc>
              <w:tc>
                <w:tcPr>
                  <w:tcW w:w="1073" w:type="dxa"/>
                  <w:shd w:val="clear" w:color="auto" w:fill="auto"/>
                  <w:vAlign w:val="center"/>
                </w:tcPr>
                <w:p w14:paraId="3ED678FC">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2179.5</w:t>
                  </w:r>
                </w:p>
              </w:tc>
              <w:tc>
                <w:tcPr>
                  <w:tcW w:w="1338" w:type="dxa"/>
                  <w:vAlign w:val="center"/>
                </w:tcPr>
                <w:p w14:paraId="084451B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18569</w:t>
                  </w:r>
                </w:p>
              </w:tc>
              <w:tc>
                <w:tcPr>
                  <w:tcW w:w="1177" w:type="dxa"/>
                  <w:vAlign w:val="center"/>
                </w:tcPr>
                <w:p w14:paraId="4257F6E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18569</w:t>
                  </w:r>
                </w:p>
              </w:tc>
              <w:tc>
                <w:tcPr>
                  <w:tcW w:w="981" w:type="dxa"/>
                  <w:shd w:val="clear" w:color="auto" w:fill="auto"/>
                  <w:vAlign w:val="center"/>
                </w:tcPr>
                <w:p w14:paraId="7AEFC38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w:t>
                  </w:r>
                </w:p>
              </w:tc>
              <w:tc>
                <w:tcPr>
                  <w:tcW w:w="825" w:type="dxa"/>
                  <w:shd w:val="clear" w:color="auto" w:fill="auto"/>
                  <w:vAlign w:val="center"/>
                </w:tcPr>
                <w:p w14:paraId="26CCBBC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w:t>
                  </w:r>
                </w:p>
              </w:tc>
            </w:tr>
          </w:tbl>
          <w:p w14:paraId="0D76C3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项目井场在开挖地表、平整土地时，</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在</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施工场地的征地范围内设置表土堆场，表土厚度为0.</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m，对表土进行单独堆放并</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采用密目网</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苫盖，</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一般土石方随挖随填，不在井场内长期堆放</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；施工完毕，应尽快整理施工现场，将表土覆盖在原地表，对临时占地进行植被恢复，恢复原有用地性质。</w:t>
            </w:r>
          </w:p>
          <w:p w14:paraId="7226DE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本项目各井场表土堆场及一般土石方堆场设置情况见下表：</w:t>
            </w:r>
          </w:p>
          <w:p w14:paraId="131207E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p w14:paraId="4485C14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p w14:paraId="449F46D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p w14:paraId="57B2FDB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表2-13   各井场表土及一般土石方堆场设置情况一览表</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9"/>
              <w:gridCol w:w="1975"/>
              <w:gridCol w:w="1961"/>
              <w:gridCol w:w="1720"/>
              <w:gridCol w:w="1350"/>
            </w:tblGrid>
            <w:tr w14:paraId="6F0BC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22" w:type="pct"/>
                  <w:vAlign w:val="center"/>
                </w:tcPr>
                <w:p w14:paraId="2D63594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井场名称</w:t>
                  </w:r>
                </w:p>
              </w:tc>
              <w:tc>
                <w:tcPr>
                  <w:tcW w:w="1177" w:type="pct"/>
                  <w:vAlign w:val="center"/>
                </w:tcPr>
                <w:p w14:paraId="2BF2826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土石方量（m</w:t>
                  </w:r>
                  <w:r>
                    <w:rPr>
                      <w:rFonts w:hint="eastAsia"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w:t>
                  </w:r>
                </w:p>
              </w:tc>
              <w:tc>
                <w:tcPr>
                  <w:tcW w:w="1169" w:type="pct"/>
                  <w:vAlign w:val="center"/>
                </w:tcPr>
                <w:p w14:paraId="2F7D40F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堆场类型</w:t>
                  </w:r>
                </w:p>
              </w:tc>
              <w:tc>
                <w:tcPr>
                  <w:tcW w:w="1025" w:type="pct"/>
                  <w:vAlign w:val="center"/>
                </w:tcPr>
                <w:p w14:paraId="5A8C785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堆场面积（m</w:t>
                  </w:r>
                  <w:r>
                    <w:rPr>
                      <w:rFonts w:hint="eastAsia"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w:t>
                  </w:r>
                </w:p>
              </w:tc>
              <w:tc>
                <w:tcPr>
                  <w:tcW w:w="805" w:type="pct"/>
                  <w:vAlign w:val="center"/>
                </w:tcPr>
                <w:p w14:paraId="6D60049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堆高（m）</w:t>
                  </w:r>
                </w:p>
              </w:tc>
            </w:tr>
            <w:tr w14:paraId="5D835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22" w:type="pct"/>
                  <w:vMerge w:val="restart"/>
                  <w:vAlign w:val="center"/>
                </w:tcPr>
                <w:p w14:paraId="0E53F77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米172-08</w:t>
                  </w:r>
                </w:p>
              </w:tc>
              <w:tc>
                <w:tcPr>
                  <w:tcW w:w="1177" w:type="pct"/>
                  <w:vAlign w:val="center"/>
                </w:tcPr>
                <w:p w14:paraId="3AF989B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表土：</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5375.4</w:t>
                  </w:r>
                </w:p>
              </w:tc>
              <w:tc>
                <w:tcPr>
                  <w:tcW w:w="1169" w:type="pct"/>
                  <w:vAlign w:val="center"/>
                </w:tcPr>
                <w:p w14:paraId="5F79695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表土堆场</w:t>
                  </w:r>
                </w:p>
              </w:tc>
              <w:tc>
                <w:tcPr>
                  <w:tcW w:w="1025" w:type="pct"/>
                  <w:vAlign w:val="center"/>
                </w:tcPr>
                <w:p w14:paraId="1CAEE9C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2000</w:t>
                  </w:r>
                </w:p>
              </w:tc>
              <w:tc>
                <w:tcPr>
                  <w:tcW w:w="805" w:type="pct"/>
                  <w:vAlign w:val="center"/>
                </w:tcPr>
                <w:p w14:paraId="16A220C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p>
              </w:tc>
            </w:tr>
            <w:tr w14:paraId="64286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22" w:type="pct"/>
                  <w:vMerge w:val="continue"/>
                  <w:vAlign w:val="center"/>
                </w:tcPr>
                <w:p w14:paraId="6A203A6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177" w:type="pct"/>
                  <w:vAlign w:val="center"/>
                </w:tcPr>
                <w:p w14:paraId="0FDF46E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一般：</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38762.6</w:t>
                  </w:r>
                </w:p>
              </w:tc>
              <w:tc>
                <w:tcPr>
                  <w:tcW w:w="1169" w:type="pct"/>
                  <w:vAlign w:val="center"/>
                </w:tcPr>
                <w:p w14:paraId="799A1FF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一般土石方堆场</w:t>
                  </w:r>
                </w:p>
              </w:tc>
              <w:tc>
                <w:tcPr>
                  <w:tcW w:w="1025" w:type="pct"/>
                  <w:vAlign w:val="center"/>
                </w:tcPr>
                <w:p w14:paraId="75ED1B1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3000</w:t>
                  </w:r>
                </w:p>
              </w:tc>
              <w:tc>
                <w:tcPr>
                  <w:tcW w:w="805" w:type="pct"/>
                  <w:vAlign w:val="center"/>
                </w:tcPr>
                <w:p w14:paraId="254B32C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p>
              </w:tc>
            </w:tr>
            <w:tr w14:paraId="1DBA4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22" w:type="pct"/>
                  <w:vMerge w:val="restart"/>
                  <w:vAlign w:val="center"/>
                </w:tcPr>
                <w:p w14:paraId="4613E30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米37-14M</w:t>
                  </w:r>
                </w:p>
              </w:tc>
              <w:tc>
                <w:tcPr>
                  <w:tcW w:w="1177" w:type="pct"/>
                  <w:shd w:val="clear" w:color="auto" w:fill="auto"/>
                  <w:vAlign w:val="center"/>
                </w:tcPr>
                <w:p w14:paraId="0D68B37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表土：</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3201</w:t>
                  </w:r>
                </w:p>
              </w:tc>
              <w:tc>
                <w:tcPr>
                  <w:tcW w:w="1169" w:type="pct"/>
                  <w:shd w:val="clear" w:color="auto" w:fill="auto"/>
                  <w:vAlign w:val="center"/>
                </w:tcPr>
                <w:p w14:paraId="3809C05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表土堆场</w:t>
                  </w:r>
                </w:p>
              </w:tc>
              <w:tc>
                <w:tcPr>
                  <w:tcW w:w="1025" w:type="pct"/>
                  <w:vAlign w:val="center"/>
                </w:tcPr>
                <w:p w14:paraId="380F68E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1200</w:t>
                  </w:r>
                </w:p>
              </w:tc>
              <w:tc>
                <w:tcPr>
                  <w:tcW w:w="805" w:type="pct"/>
                  <w:vAlign w:val="center"/>
                </w:tcPr>
                <w:p w14:paraId="597E09B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p>
              </w:tc>
            </w:tr>
            <w:tr w14:paraId="430B1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22" w:type="pct"/>
                  <w:vMerge w:val="continue"/>
                  <w:vAlign w:val="center"/>
                </w:tcPr>
                <w:p w14:paraId="68780EC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177" w:type="pct"/>
                  <w:shd w:val="clear" w:color="auto" w:fill="auto"/>
                  <w:vAlign w:val="center"/>
                </w:tcPr>
                <w:p w14:paraId="68B5B91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一般：</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21568.6</w:t>
                  </w:r>
                </w:p>
              </w:tc>
              <w:tc>
                <w:tcPr>
                  <w:tcW w:w="1169" w:type="pct"/>
                  <w:shd w:val="clear" w:color="auto" w:fill="auto"/>
                  <w:vAlign w:val="center"/>
                </w:tcPr>
                <w:p w14:paraId="571FDB2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一般土石方堆场</w:t>
                  </w:r>
                </w:p>
              </w:tc>
              <w:tc>
                <w:tcPr>
                  <w:tcW w:w="1025" w:type="pct"/>
                  <w:vAlign w:val="center"/>
                </w:tcPr>
                <w:p w14:paraId="36179C4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2000</w:t>
                  </w:r>
                </w:p>
              </w:tc>
              <w:tc>
                <w:tcPr>
                  <w:tcW w:w="805" w:type="pct"/>
                  <w:vAlign w:val="center"/>
                </w:tcPr>
                <w:p w14:paraId="04D6E82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p>
              </w:tc>
            </w:tr>
            <w:tr w14:paraId="1F9F2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22" w:type="pct"/>
                  <w:vMerge w:val="restart"/>
                  <w:vAlign w:val="center"/>
                </w:tcPr>
                <w:p w14:paraId="2BE6984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米172-06</w:t>
                  </w:r>
                </w:p>
              </w:tc>
              <w:tc>
                <w:tcPr>
                  <w:tcW w:w="1177" w:type="pct"/>
                  <w:shd w:val="clear" w:color="auto" w:fill="auto"/>
                  <w:vAlign w:val="center"/>
                </w:tcPr>
                <w:p w14:paraId="20DB213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表土：</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3141.3</w:t>
                  </w:r>
                </w:p>
              </w:tc>
              <w:tc>
                <w:tcPr>
                  <w:tcW w:w="1169" w:type="pct"/>
                  <w:shd w:val="clear" w:color="auto" w:fill="auto"/>
                  <w:vAlign w:val="center"/>
                </w:tcPr>
                <w:p w14:paraId="24AA92A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表土堆场</w:t>
                  </w:r>
                </w:p>
              </w:tc>
              <w:tc>
                <w:tcPr>
                  <w:tcW w:w="1025" w:type="pct"/>
                  <w:vAlign w:val="center"/>
                </w:tcPr>
                <w:p w14:paraId="013BC88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1200</w:t>
                  </w:r>
                </w:p>
              </w:tc>
              <w:tc>
                <w:tcPr>
                  <w:tcW w:w="805" w:type="pct"/>
                  <w:vAlign w:val="center"/>
                </w:tcPr>
                <w:p w14:paraId="453FD6D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p>
              </w:tc>
            </w:tr>
            <w:tr w14:paraId="1571B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22" w:type="pct"/>
                  <w:vMerge w:val="continue"/>
                  <w:vAlign w:val="center"/>
                </w:tcPr>
                <w:p w14:paraId="26A7428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177" w:type="pct"/>
                  <w:shd w:val="clear" w:color="auto" w:fill="auto"/>
                  <w:vAlign w:val="center"/>
                </w:tcPr>
                <w:p w14:paraId="14ABC65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一般：</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34239.7</w:t>
                  </w:r>
                </w:p>
              </w:tc>
              <w:tc>
                <w:tcPr>
                  <w:tcW w:w="1169" w:type="pct"/>
                  <w:shd w:val="clear" w:color="auto" w:fill="auto"/>
                  <w:vAlign w:val="center"/>
                </w:tcPr>
                <w:p w14:paraId="2EC93B1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一般土石方堆场</w:t>
                  </w:r>
                </w:p>
              </w:tc>
              <w:tc>
                <w:tcPr>
                  <w:tcW w:w="1025" w:type="pct"/>
                  <w:vAlign w:val="center"/>
                </w:tcPr>
                <w:p w14:paraId="1DA1D99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3500</w:t>
                  </w:r>
                </w:p>
              </w:tc>
              <w:tc>
                <w:tcPr>
                  <w:tcW w:w="805" w:type="pct"/>
                  <w:vAlign w:val="center"/>
                </w:tcPr>
                <w:p w14:paraId="6017687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p>
              </w:tc>
            </w:tr>
            <w:tr w14:paraId="5754E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22" w:type="pct"/>
                  <w:vMerge w:val="restart"/>
                  <w:vAlign w:val="center"/>
                </w:tcPr>
                <w:p w14:paraId="2A6B0AA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米172-07</w:t>
                  </w:r>
                </w:p>
              </w:tc>
              <w:tc>
                <w:tcPr>
                  <w:tcW w:w="1177" w:type="pct"/>
                  <w:shd w:val="clear" w:color="auto" w:fill="auto"/>
                  <w:vAlign w:val="center"/>
                </w:tcPr>
                <w:p w14:paraId="023E31C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表土：</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2179.5</w:t>
                  </w:r>
                </w:p>
              </w:tc>
              <w:tc>
                <w:tcPr>
                  <w:tcW w:w="1169" w:type="pct"/>
                  <w:shd w:val="clear" w:color="auto" w:fill="auto"/>
                  <w:vAlign w:val="center"/>
                </w:tcPr>
                <w:p w14:paraId="6F3EFAB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表土堆场</w:t>
                  </w:r>
                </w:p>
              </w:tc>
              <w:tc>
                <w:tcPr>
                  <w:tcW w:w="1025" w:type="pct"/>
                  <w:vAlign w:val="center"/>
                </w:tcPr>
                <w:p w14:paraId="79468CB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800</w:t>
                  </w:r>
                </w:p>
              </w:tc>
              <w:tc>
                <w:tcPr>
                  <w:tcW w:w="805" w:type="pct"/>
                  <w:vAlign w:val="center"/>
                </w:tcPr>
                <w:p w14:paraId="155457B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p>
              </w:tc>
            </w:tr>
            <w:tr w14:paraId="299B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22" w:type="pct"/>
                  <w:vMerge w:val="continue"/>
                  <w:vAlign w:val="center"/>
                </w:tcPr>
                <w:p w14:paraId="5D672E0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177" w:type="pct"/>
                  <w:shd w:val="clear" w:color="auto" w:fill="auto"/>
                  <w:vAlign w:val="center"/>
                </w:tcPr>
                <w:p w14:paraId="29CB826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一般：</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18569</w:t>
                  </w:r>
                </w:p>
              </w:tc>
              <w:tc>
                <w:tcPr>
                  <w:tcW w:w="1169" w:type="pct"/>
                  <w:shd w:val="clear" w:color="auto" w:fill="auto"/>
                  <w:vAlign w:val="center"/>
                </w:tcPr>
                <w:p w14:paraId="2907D12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一般土石方堆场</w:t>
                  </w:r>
                </w:p>
              </w:tc>
              <w:tc>
                <w:tcPr>
                  <w:tcW w:w="1025" w:type="pct"/>
                  <w:vAlign w:val="center"/>
                </w:tcPr>
                <w:p w14:paraId="48632ED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2000</w:t>
                  </w:r>
                </w:p>
              </w:tc>
              <w:tc>
                <w:tcPr>
                  <w:tcW w:w="805" w:type="pct"/>
                  <w:vAlign w:val="center"/>
                </w:tcPr>
                <w:p w14:paraId="3E64CF4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p>
              </w:tc>
            </w:tr>
          </w:tbl>
          <w:p w14:paraId="16CDF2A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备注：本项目一般土石方随挖随填，一般土石方堆场能够满足开挖土石方堆存要求。</w:t>
            </w:r>
          </w:p>
          <w:p w14:paraId="0F428C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井场内按照</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《钻前工程及井场布置技术要求》（SY/T5466-20</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13</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布置设备，</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钻井平台、泥浆不落地系统区、泥浆储罐区、污水罐区、储液罐等</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均为地面设施或设备</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。井场内其他构筑物采用活动板房结构，设置均为撬装，生活区设置移动式环保厕所和垃圾收集</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桶</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p>
        </w:tc>
      </w:tr>
      <w:tr w14:paraId="255A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2" w:type="dxa"/>
            <w:vAlign w:val="center"/>
          </w:tcPr>
          <w:p w14:paraId="337D9C3F">
            <w:pPr>
              <w:numPr>
                <w:ilvl w:val="0"/>
                <w:numId w:val="0"/>
              </w:numPr>
              <w:jc w:val="both"/>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施工方案</w:t>
            </w:r>
          </w:p>
        </w:tc>
        <w:tc>
          <w:tcPr>
            <w:tcW w:w="8616" w:type="dxa"/>
            <w:vAlign w:val="center"/>
          </w:tcPr>
          <w:p w14:paraId="668E19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本次评价仅涉及天然气井的勘探过程，不涉及天然气的开采和集输。</w:t>
            </w:r>
          </w:p>
          <w:p w14:paraId="50D1B1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1、钻井工程及产污特点</w:t>
            </w:r>
          </w:p>
          <w:p w14:paraId="04CDE777">
            <w:pPr>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项目建设内容包括钻前工程、钻井、试井、完井封井。</w:t>
            </w:r>
          </w:p>
          <w:p w14:paraId="3E91A922">
            <w:pPr>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钻前工程包括井场平整、设备基础、活动房搭建等；钻井工程包括设备安装、钻井、完井三部分；试井包括试井设备安装及试井两部分；完井测试结果若表明勘探井有工业开采的价值，拆除与采气无关的设备，剩余临时占地恢复为原有地貌、进行完井搬迁。若完井测试后勘探井不产天然气或所产天然气不具有工业开采价值，则用水泥封井后搬迁，将放弃的井场临时占地恢复为原有地貌。</w:t>
            </w:r>
          </w:p>
          <w:p w14:paraId="522AE648">
            <w:pPr>
              <w:spacing w:line="360" w:lineRule="auto"/>
              <w:ind w:firstLine="480" w:firstLineChars="200"/>
              <w:jc w:val="both"/>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项目主要流程及产污环节见图2-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352E801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4506595" cy="5082540"/>
                  <wp:effectExtent l="0" t="0" r="8255" b="3810"/>
                  <wp:docPr id="6" name="图片 6" descr="174703331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7033310194"/>
                          <pic:cNvPicPr>
                            <a:picLocks noChangeAspect="1"/>
                          </pic:cNvPicPr>
                        </pic:nvPicPr>
                        <pic:blipFill>
                          <a:blip r:embed="rId12"/>
                          <a:stretch>
                            <a:fillRect/>
                          </a:stretch>
                        </pic:blipFill>
                        <pic:spPr>
                          <a:xfrm>
                            <a:off x="0" y="0"/>
                            <a:ext cx="4506595" cy="5082540"/>
                          </a:xfrm>
                          <a:prstGeom prst="rect">
                            <a:avLst/>
                          </a:prstGeom>
                        </pic:spPr>
                      </pic:pic>
                    </a:graphicData>
                  </a:graphic>
                </wp:inline>
              </w:drawing>
            </w:r>
          </w:p>
          <w:p w14:paraId="7386334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图2-</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 xml:space="preserve"> 项目主要工艺流程及产污环节图</w:t>
            </w:r>
          </w:p>
          <w:p w14:paraId="0AE904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2、施工工艺过程</w:t>
            </w:r>
          </w:p>
          <w:p w14:paraId="7D1DCFED">
            <w:pPr>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钻前工程满足钻井作业要求时，各类作业车辆将各类设备逐步运至井场进行安装，通过检查满足钻井要求时开始进行钻井作业。</w:t>
            </w:r>
          </w:p>
          <w:p w14:paraId="6AE03302">
            <w:pPr>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钻井作业均包括钻进、钻进辅助作业、固井、完井测试等过程。钻井过程中均使用水基泥浆体系。钻进由起下钻、接单根、钻进等作业组成；钻进辅助作业由电测井、取心钻进、综合录井、中途测试等作业组成；固井由下套管和水泥固井两个过程组成。</w:t>
            </w:r>
          </w:p>
          <w:p w14:paraId="15EB77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①钻井</w:t>
            </w:r>
          </w:p>
          <w:p w14:paraId="45070A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钻前工程完成后，进入钻井工程。项目钻井采用直井钻探，预计勘探</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深度在2700~3000m之间</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。钻井工程分为一开和二开钻井工程。一开包括下标称套管6</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0m，固表层套管，套管口径273.1mm，此阶段采用清水泥浆（泥浆配方：清水+0.2-0.3%Na</w:t>
            </w:r>
            <w:r>
              <w:rPr>
                <w:rFonts w:hint="default" w:ascii="Times New Roman" w:hAnsi="Times New Roman" w:eastAsia="宋体" w:cs="Times New Roman"/>
                <w:b w:val="0"/>
                <w:bCs w:val="0"/>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CO</w:t>
            </w:r>
            <w:r>
              <w:rPr>
                <w:rFonts w:hint="default" w:ascii="Times New Roman" w:hAnsi="Times New Roman" w:eastAsia="宋体" w:cs="Times New Roman"/>
                <w:b w:val="0"/>
                <w:bCs w:val="0"/>
                <w:color w:val="000000" w:themeColor="text1"/>
                <w:sz w:val="24"/>
                <w:szCs w:val="24"/>
                <w:highlight w:val="none"/>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+6-7%）迅速钻井，在套管的保护下能有效的保护浅层地下水；二开包括下气层套管、固气层套管，为生产、后期改造做好准备。二开</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口径</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219.1</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mm。主要的工序简述如下：</w:t>
            </w:r>
          </w:p>
          <w:p w14:paraId="48483D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钻井过程即钻头破碎岩石并通过钻井液带出岩屑并形成井筒的过程。钻井作业时，依靠钻机动力带动钻杆和钻头旋转，钻头逐次向下破碎岩层，同时通过空心钻杆向地下注入钻井液，将破碎岩屑通过循环钻井液带到地面形成返排液。地面设置泥浆循环系统将返排液中的岩屑清除后，将钻井液再次打入井内循环使用。</w:t>
            </w:r>
          </w:p>
          <w:p w14:paraId="511814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钻井泥浆循环系统是钻井工程的核心部分，主要包括钻井液振动筛、真空除气器、除砂器、除泥器、搅拌器、泵及泥浆罐等设备。将返排液通过泥浆管输入振动筛进行固液分离，将泥浆中粒径大于0.1mm的固相物质留于筛上，振动筛筛下的液相进入循环罐暂存，再依次通过除砂器、除泥器分离出粒径大于0.01mm的固相物质后，用于钻井作业和后续的配浆作业。</w:t>
            </w:r>
          </w:p>
          <w:p w14:paraId="62C76D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施工结束后无法回用的废弃泥浆通过压滤机处理后，上清液暂存于钻井废水储存罐，完井后由罐车</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送有</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能力</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单位处置</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；压滤后的泥饼暂存于固渣储存罐中；振动筛、除砂器、除泥器、离心机分离出的固相物质即岩屑，暂存于固渣储存罐中，施工结束后委托</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送有</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能力</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单位处置。</w:t>
            </w:r>
          </w:p>
          <w:p w14:paraId="7E2FD6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②录井、测井</w:t>
            </w:r>
          </w:p>
          <w:p w14:paraId="535467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录井：按设计要求进行地质录井、钻时录井、岩屑录井、岩心录井、钻井液录井等。</w:t>
            </w:r>
          </w:p>
          <w:p w14:paraId="599F2A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测井：本项目测井方式为电测，不使用放射性测井设备，测井是利用专用仪器设备测量岩层的电化学特性、导电特性、声学特性等地球物理特性，以获取岩层的孔隙度、渗透率以及含油气情况等地层信息。根据地质需要，选用适合的测井项目对钻开地层进行电测，最终根据电测曲线了解地层的特征及地层含气情况。</w:t>
            </w:r>
          </w:p>
          <w:p w14:paraId="23AFB8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③固井</w:t>
            </w:r>
          </w:p>
          <w:p w14:paraId="791236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固井是钻井达到预定深度后，下入套管并注入水泥浆，封固套管和井壁之间环形空间的作业。固井的主要目的是封隔疏松的易塌易漏地层，封隔油、气、水层，防止互相串漏，以保证安全继续钻进下一段井眼的工艺过程。固井水泥的返高也是封隔井筒与地下水的主要措施，本项目导管和一开固井水泥均返高至地面，可以多层防护与隔绝井内流体与含水层之间的联系。</w:t>
            </w:r>
          </w:p>
          <w:p w14:paraId="1C4AA0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④取芯工艺</w:t>
            </w:r>
          </w:p>
          <w:p w14:paraId="04B5C3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天然气埋藏在地下有孔隙裂缝的岩石中。为</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了</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了解地层中油气的真实面貌本项目采取常规钻并进行钻井取芯。</w:t>
            </w:r>
          </w:p>
          <w:p w14:paraId="7DF32F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钻井取芯时，要在下入井内钻柱的最下端，接上一套特制的取工具，取态钻头在垂直载荷和扭矩的联合作用下，对并底的岩石进行环形破碎，中间保留圆柱状岩芯进入岩芯筒。当钻进取芯到一定长度后，采用与工具相匹配的方法和措施，将钻头端部的岩芯割断后起钻，取工具与钻具一起提出地面，即可取出岩芯筒内的岩芯。钻并取芯可以充分满足地质家对岩芯进行多种项目的化验和测试，是对获取地下储层岩性、物性和储层评价有重要意义的手段。</w:t>
            </w:r>
          </w:p>
          <w:p w14:paraId="0ED79E7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drawing>
                <wp:inline distT="0" distB="0" distL="114300" distR="114300">
                  <wp:extent cx="5321300" cy="2965450"/>
                  <wp:effectExtent l="0" t="0" r="12700" b="6350"/>
                  <wp:docPr id="3" name="图片 3" descr="171939110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19391105229"/>
                          <pic:cNvPicPr>
                            <a:picLocks noChangeAspect="1"/>
                          </pic:cNvPicPr>
                        </pic:nvPicPr>
                        <pic:blipFill>
                          <a:blip r:embed="rId13"/>
                          <a:stretch>
                            <a:fillRect/>
                          </a:stretch>
                        </pic:blipFill>
                        <pic:spPr>
                          <a:xfrm>
                            <a:off x="0" y="0"/>
                            <a:ext cx="5321300" cy="2965450"/>
                          </a:xfrm>
                          <a:prstGeom prst="rect">
                            <a:avLst/>
                          </a:prstGeom>
                        </pic:spPr>
                      </pic:pic>
                    </a:graphicData>
                  </a:graphic>
                </wp:inline>
              </w:drawing>
            </w:r>
          </w:p>
          <w:p w14:paraId="57E6382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图2-5 一开、二开井口示意图</w:t>
            </w:r>
          </w:p>
          <w:p w14:paraId="7907C3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）完井测试</w:t>
            </w:r>
          </w:p>
          <w:p w14:paraId="125F81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测井方式为电测，不使用放射性测井设备，测井是利用专用仪器设备测量岩层的电化学特性、导电特性、声学特性等地球物理特性，以获取岩层的孔隙度、渗透率以及含油气情况等地层信息。根据地质需要，选用适合的测井项目对钻开地层进行电测，最终根据电测曲线了解地层的特征及地层含气情况。</w:t>
            </w:r>
          </w:p>
          <w:p w14:paraId="0B38FF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①</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洗井</w:t>
            </w:r>
          </w:p>
          <w:p w14:paraId="7680CD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项目完钻后开展洗井作业，采用清水清洗套管。洗井废水从井口返排进入专用收集罐中，</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洗井废水循环使用，剩余未利用部分委托</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陕西</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榆佳环保科技有限公司外运处理。</w:t>
            </w:r>
          </w:p>
          <w:p w14:paraId="1DB359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②</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射孔</w:t>
            </w:r>
          </w:p>
          <w:p w14:paraId="720C2D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本项目采用射孔完井方式。射孔完井是指下入</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气</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层套管封固产层后再用电缆射孔将套管、水泥环、部分产层射穿，形成气流通道。射穿产层后</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气</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井的生产能力受产层压力、产层性质、射孔参数及质量影响。根据建设单位以往经验，项目单井射孔一般需要射孔液36m³。射孔液主要成分为无机盐类（KCl、NaCl）水溶液加适量粘土稳定剂。</w:t>
            </w:r>
          </w:p>
          <w:p w14:paraId="77F853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③</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压裂</w:t>
            </w:r>
          </w:p>
          <w:p w14:paraId="441C7B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射孔后，为提高产层的渗透能力将实施压裂作业。利用地面高压泵，将高黏液体以大大超过地层吸收能力的排量注入井中，随即在井底附近产生高压，当压力超过井壁附近地应力和岩石抗张强度后，在地层中形成裂缝，继续将带有支撑剂（石英砂或陶粒）的压裂液注入裂缝中。停泵后，压裂液返排至地面，支撑剂则留在地层中，形成填砂（或陶粒）裂缝带以提高</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气层</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渗透性，从而达到增产的目的。</w:t>
            </w:r>
          </w:p>
          <w:p w14:paraId="0FCC11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压裂后需要关井一段时间，使缝闭合施工造成的力波在地层中有逐步扩散，液体逐渐水化。压裂放喷一般分为两个阶段。第一阶段：压裂后，由于地层弹性能量较足，使用</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气嘴</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控制排量。总体要求尽可能多的排除压裂液，同时准确计量出液量。第二阶段：压裂后第一次放喷连续2~3小时不出液后，即可以关井，等压力恢复后再放喷。</w:t>
            </w:r>
          </w:p>
          <w:p w14:paraId="1EA29D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）试气</w:t>
            </w:r>
          </w:p>
          <w:p w14:paraId="5A5A06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为了解气井的产气量，在完井及压裂后，需进行测试放喷。测试放喷是在固井、压裂作业后，利用测试放喷专用管线将井内天然气引至</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放喷池</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点火燃烧对天然气产量进行测试的过程，放喷前需接一条可测试流量的专用管线。依据测试气量，采用间歇性放喷，每次放喷时间约4～6h，废气排放属不连续排放。</w:t>
            </w:r>
          </w:p>
          <w:p w14:paraId="04B92D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）完井搬迁</w:t>
            </w:r>
          </w:p>
          <w:p w14:paraId="03BAC5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本项目主要进行预探井的勘探开发，通过完井后</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试气</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测试评价情况，若完井或良好产量则临时封井后完善永久征地手续</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并转为生产井（需另行办理相应的环评手续）</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，若未获得可利用的资源则永久封井处理（无永久占地，临时占地恢复原貌）。</w:t>
            </w:r>
          </w:p>
          <w:p w14:paraId="296FCDE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①临时封井：</w:t>
            </w:r>
            <w:r>
              <w:rPr>
                <w:rFonts w:hint="default" w:ascii="Times New Roman" w:hAnsi="Times New Roman" w:eastAsia="宋体" w:cs="Times New Roman"/>
                <w:color w:val="000000" w:themeColor="text1"/>
                <w:sz w:val="24"/>
                <w:szCs w:val="24"/>
                <w14:textFill>
                  <w14:solidFill>
                    <w14:schemeClr w14:val="tx1"/>
                  </w14:solidFill>
                </w14:textFill>
              </w:rPr>
              <w:t>在试气获得相关参数后，临时封井时按行业规范进行封井作业，对钻井设备、基础进行拆除、搬迁，在井下50-100m注入水泥形成水泥塞，水泥塞试压合格后完成临时封井。在井口位置设标记，注明该井的启用与封闭时间及使用 单位等，在封井结束后清理探井场地，然后对场地的植被予以恢复。</w:t>
            </w:r>
          </w:p>
          <w:p w14:paraId="764B73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②永久封井：</w:t>
            </w:r>
            <w:r>
              <w:rPr>
                <w:rFonts w:hint="default" w:ascii="Times New Roman" w:hAnsi="Times New Roman" w:eastAsia="宋体" w:cs="Times New Roman"/>
                <w:color w:val="000000" w:themeColor="text1"/>
                <w:sz w:val="24"/>
                <w:szCs w:val="24"/>
                <w14:textFill>
                  <w14:solidFill>
                    <w14:schemeClr w14:val="tx1"/>
                  </w14:solidFill>
                </w14:textFill>
              </w:rPr>
              <w:t>首先，利用钻井过程中套管及套管壁用水泥固封防止天然气窜入地层，同时在射孔段的上部注水泥形成水泥塞面封隔气层；其次，回填并做碉堡（边2m、高2.2m的三角形）和标识，设置醒目的警示标志。永久封井后应保证该井眼无遗留风险。</w:t>
            </w:r>
          </w:p>
          <w:p w14:paraId="557B36C5">
            <w:pPr>
              <w:spacing w:line="360" w:lineRule="auto"/>
              <w:ind w:firstLine="480" w:firstLineChars="200"/>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drawing>
                <wp:inline distT="0" distB="0" distL="114300" distR="114300">
                  <wp:extent cx="4505325" cy="3524250"/>
                  <wp:effectExtent l="0" t="0" r="9525" b="0"/>
                  <wp:docPr id="14" name="图片 14" descr="174761899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47618992194"/>
                          <pic:cNvPicPr>
                            <a:picLocks noChangeAspect="1"/>
                          </pic:cNvPicPr>
                        </pic:nvPicPr>
                        <pic:blipFill>
                          <a:blip r:embed="rId14"/>
                          <a:stretch>
                            <a:fillRect/>
                          </a:stretch>
                        </pic:blipFill>
                        <pic:spPr>
                          <a:xfrm>
                            <a:off x="0" y="0"/>
                            <a:ext cx="4505325" cy="3524250"/>
                          </a:xfrm>
                          <a:prstGeom prst="rect">
                            <a:avLst/>
                          </a:prstGeom>
                        </pic:spPr>
                      </pic:pic>
                    </a:graphicData>
                  </a:graphic>
                </wp:inline>
              </w:drawing>
            </w:r>
          </w:p>
          <w:p w14:paraId="2FFEB258">
            <w:pPr>
              <w:spacing w:line="360" w:lineRule="auto"/>
              <w:ind w:firstLine="442" w:firstLineChars="20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图2-</w:t>
            </w:r>
            <w:r>
              <w:rPr>
                <w:rFonts w:hint="eastAsia" w:ascii="Times New Roman" w:hAnsi="Times New Roman" w:eastAsia="宋体" w:cs="Times New Roman"/>
                <w:b/>
                <w:bCs/>
                <w:color w:val="000000" w:themeColor="text1"/>
                <w:lang w:val="en-US" w:eastAsia="zh-CN"/>
                <w14:textFill>
                  <w14:solidFill>
                    <w14:schemeClr w14:val="tx1"/>
                  </w14:solidFill>
                </w14:textFill>
              </w:rPr>
              <w:t>6</w:t>
            </w:r>
            <w:r>
              <w:rPr>
                <w:rFonts w:hint="default" w:ascii="Times New Roman" w:hAnsi="Times New Roman" w:eastAsia="宋体" w:cs="Times New Roman"/>
                <w:b/>
                <w:bCs/>
                <w:color w:val="000000" w:themeColor="text1"/>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lang w:val="en-US" w:eastAsia="zh-CN"/>
                <w14:textFill>
                  <w14:solidFill>
                    <w14:schemeClr w14:val="tx1"/>
                  </w14:solidFill>
                </w14:textFill>
              </w:rPr>
              <w:t xml:space="preserve"> 井口及射孔封堵示意图</w:t>
            </w:r>
          </w:p>
          <w:p w14:paraId="7E5BFCC6">
            <w:pPr>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完井搬迁主要包括设备和设施的拆除和搬迁，钻井机、泥浆循环系统等设备和生活设施拆除后搬迁至周边其他井场继续使用。搬迁完成后即对场内基础设施进行拆除，如清除场地碎石、拆除硬化地面等。根据钻井作业规范和钻井环保管理规定，钻井液全部回收，不得遗弃在井场，废水和固体废物须交有</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能力</w:t>
            </w:r>
            <w:r>
              <w:rPr>
                <w:rFonts w:hint="default" w:ascii="Times New Roman" w:hAnsi="Times New Roman" w:eastAsia="宋体" w:cs="Times New Roman"/>
                <w:color w:val="000000" w:themeColor="text1"/>
                <w:sz w:val="24"/>
                <w:szCs w:val="24"/>
                <w:lang w:eastAsia="zh-CN"/>
                <w14:textFill>
                  <w14:solidFill>
                    <w14:schemeClr w14:val="tx1"/>
                  </w14:solidFill>
                </w14:textFill>
              </w:rPr>
              <w:t>单位处置，做到“工完、料尽、场地清”，并办理竣工环保验收合格后方可交井。</w:t>
            </w:r>
          </w:p>
          <w:p w14:paraId="3A4719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3、泥浆不落地措施</w:t>
            </w:r>
          </w:p>
          <w:p w14:paraId="3499B7DB">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泥浆处理过程中严格执行“泥浆不落地”措施，采用振动筛、除泥除沙器离心机、螺旋输送机、缓冲罐、泥浆</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循环</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罐等设备。钻井泥浆</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经</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岩屑</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收集罐</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装置，固液混合收集入罐，在罐内进行破胶脱稳后实现固液分类，分离后的固相经板框压滤机进一步脱水，上清液同洗井废水、</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反排液委托有组织单位处置。</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处理后的固相在施工结束后交有</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能力</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单位处置</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对于临时存放的固相，暂存时间不得超过1个月，应在施工结束后及时拉运；堆放点要采取“</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四</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防”措施，采用四周围堰和“</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下铺上盖</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”的防渗防尘技术要求。防渗满足一般防渗区要求，铺设HDPE土工膜进行防渗处理。</w:t>
            </w:r>
          </w:p>
          <w:p w14:paraId="1B6427FA">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2、施工时序</w:t>
            </w:r>
          </w:p>
          <w:p w14:paraId="799B3B31">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施工时尽可能保证施工连续、均衡和经济，对工程具有控制作用的项目节点作为重点，予以优先安排。施工时首先进行地面平整、井场设施安装，接着完成钻井和固井，钻井分为一开、二开，在每个工段先钻井再下管套然后固井，最后洗井，再根据勘探情况考虑封井或者弃井。本项目单个井场施工时间为50d，具体施工方式由建设单位统筹安排。</w:t>
            </w:r>
          </w:p>
          <w:p w14:paraId="7D92193F">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3、建设周期</w:t>
            </w:r>
          </w:p>
          <w:p w14:paraId="4428DB4A">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本项目37-14M、米172-06预计2025年7开工，单口井钻探时间约为50天，2025年8月底完工，完工之后设备分别搬至米172-07、米172-08进行钻探，总工期约为100天，预计完工时间为2025年10月</w:t>
            </w:r>
            <w:r>
              <w:rPr>
                <w:rFonts w:hint="default" w:ascii="Times New Roman" w:hAnsi="Times New Roman" w:cs="Times New Roman"/>
                <w:color w:val="000000" w:themeColor="text1"/>
                <w:lang w:val="en-US" w:eastAsia="en-US"/>
                <w14:textFill>
                  <w14:solidFill>
                    <w14:schemeClr w14:val="tx1"/>
                  </w14:solidFill>
                </w14:textFill>
              </w:rPr>
              <w:t>。</w:t>
            </w:r>
          </w:p>
          <w:p w14:paraId="7E098685">
            <w:pPr>
              <w:numPr>
                <w:ilvl w:val="0"/>
                <w:numId w:val="0"/>
              </w:numPr>
              <w:jc w:val="both"/>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r>
      <w:tr w14:paraId="322AF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2" w:type="dxa"/>
            <w:vAlign w:val="center"/>
          </w:tcPr>
          <w:p w14:paraId="46E0180B">
            <w:pPr>
              <w:numPr>
                <w:ilvl w:val="0"/>
                <w:numId w:val="0"/>
              </w:numPr>
              <w:jc w:val="center"/>
              <w:rPr>
                <w:rFonts w:hint="default" w:ascii="Times New Roman" w:hAnsi="Times New Roman" w:cs="Times New Roman" w:eastAsiaTheme="minorHAnsi"/>
                <w:color w:val="000000" w:themeColor="text1"/>
                <w:kern w:val="0"/>
                <w:sz w:val="24"/>
                <w:szCs w:val="21"/>
                <w:lang w:val="en-US" w:eastAsia="zh-CN" w:bidi="ar-SA"/>
                <w14:textFill>
                  <w14:solidFill>
                    <w14:schemeClr w14:val="tx1"/>
                  </w14:solidFill>
                </w14:textFill>
              </w:rPr>
            </w:pPr>
            <w:r>
              <w:rPr>
                <w:rFonts w:hint="default" w:ascii="Times New Roman" w:hAnsi="Times New Roman" w:cs="Times New Roman" w:eastAsiaTheme="minorHAnsi"/>
                <w:color w:val="000000" w:themeColor="text1"/>
                <w:kern w:val="0"/>
                <w:sz w:val="24"/>
                <w:szCs w:val="21"/>
                <w:lang w:val="en-US" w:eastAsia="zh-CN" w:bidi="ar-SA"/>
                <w14:textFill>
                  <w14:solidFill>
                    <w14:schemeClr w14:val="tx1"/>
                  </w14:solidFill>
                </w14:textFill>
              </w:rPr>
              <w:t>其他</w:t>
            </w:r>
          </w:p>
        </w:tc>
        <w:tc>
          <w:tcPr>
            <w:tcW w:w="8616" w:type="dxa"/>
            <w:vAlign w:val="center"/>
          </w:tcPr>
          <w:p w14:paraId="69B026E0">
            <w:pPr>
              <w:numPr>
                <w:ilvl w:val="0"/>
                <w:numId w:val="0"/>
              </w:numPr>
              <w:ind w:firstLine="480" w:firstLineChars="200"/>
              <w:jc w:val="both"/>
              <w:rPr>
                <w:rFonts w:hint="default" w:ascii="Times New Roman" w:hAnsi="Times New Roman" w:cs="Times New Roman" w:eastAsiaTheme="minorHAnsi"/>
                <w:color w:val="000000" w:themeColor="text1"/>
                <w:kern w:val="0"/>
                <w:sz w:val="24"/>
                <w:szCs w:val="21"/>
                <w:lang w:val="en-US" w:eastAsia="zh-CN" w:bidi="ar-SA"/>
                <w14:textFill>
                  <w14:solidFill>
                    <w14:schemeClr w14:val="tx1"/>
                  </w14:solidFill>
                </w14:textFill>
              </w:rPr>
            </w:pPr>
            <w:r>
              <w:rPr>
                <w:rFonts w:hint="default" w:ascii="Times New Roman" w:hAnsi="Times New Roman" w:cs="Times New Roman" w:eastAsiaTheme="minorHAnsi"/>
                <w:color w:val="000000" w:themeColor="text1"/>
                <w:kern w:val="0"/>
                <w:sz w:val="24"/>
                <w:szCs w:val="21"/>
                <w:lang w:val="en-US" w:eastAsia="zh-CN" w:bidi="ar-SA"/>
                <w14:textFill>
                  <w14:solidFill>
                    <w14:schemeClr w14:val="tx1"/>
                  </w14:solidFill>
                </w14:textFill>
              </w:rPr>
              <w:t>本项目无其他比选方案。</w:t>
            </w:r>
          </w:p>
          <w:p w14:paraId="064A1A50">
            <w:pPr>
              <w:numPr>
                <w:ilvl w:val="0"/>
                <w:numId w:val="0"/>
              </w:numPr>
              <w:jc w:val="both"/>
              <w:rPr>
                <w:rFonts w:hint="default" w:ascii="Times New Roman" w:hAnsi="Times New Roman" w:cs="Times New Roman" w:eastAsiaTheme="minorHAnsi"/>
                <w:color w:val="000000" w:themeColor="text1"/>
                <w:kern w:val="0"/>
                <w:sz w:val="24"/>
                <w:szCs w:val="21"/>
                <w:lang w:val="en-US" w:eastAsia="zh-CN" w:bidi="ar-SA"/>
                <w14:textFill>
                  <w14:solidFill>
                    <w14:schemeClr w14:val="tx1"/>
                  </w14:solidFill>
                </w14:textFill>
              </w:rPr>
            </w:pPr>
          </w:p>
          <w:p w14:paraId="4AA784DF">
            <w:pPr>
              <w:pStyle w:val="18"/>
              <w:jc w:val="both"/>
              <w:rPr>
                <w:rFonts w:hint="default" w:ascii="Times New Roman" w:hAnsi="Times New Roman" w:cs="Times New Roman" w:eastAsiaTheme="minorHAnsi"/>
                <w:color w:val="000000" w:themeColor="text1"/>
                <w:kern w:val="0"/>
                <w:sz w:val="24"/>
                <w:szCs w:val="21"/>
                <w:lang w:val="en-US" w:eastAsia="zh-CN" w:bidi="ar-SA"/>
                <w14:textFill>
                  <w14:solidFill>
                    <w14:schemeClr w14:val="tx1"/>
                  </w14:solidFill>
                </w14:textFill>
              </w:rPr>
            </w:pPr>
          </w:p>
          <w:p w14:paraId="4F2344D7">
            <w:pPr>
              <w:jc w:val="both"/>
              <w:rPr>
                <w:rFonts w:hint="default" w:ascii="Times New Roman" w:hAnsi="Times New Roman" w:cs="Times New Roman" w:eastAsiaTheme="minorHAnsi"/>
                <w:color w:val="000000" w:themeColor="text1"/>
                <w:kern w:val="0"/>
                <w:sz w:val="24"/>
                <w:szCs w:val="21"/>
                <w:lang w:val="en-US" w:eastAsia="zh-CN" w:bidi="ar-SA"/>
                <w14:textFill>
                  <w14:solidFill>
                    <w14:schemeClr w14:val="tx1"/>
                  </w14:solidFill>
                </w14:textFill>
              </w:rPr>
            </w:pPr>
          </w:p>
          <w:p w14:paraId="3393EF2D">
            <w:pPr>
              <w:pStyle w:val="18"/>
              <w:jc w:val="both"/>
              <w:rPr>
                <w:rFonts w:hint="default" w:ascii="Times New Roman" w:hAnsi="Times New Roman" w:cs="Times New Roman" w:eastAsiaTheme="minorHAnsi"/>
                <w:color w:val="000000" w:themeColor="text1"/>
                <w:kern w:val="0"/>
                <w:sz w:val="24"/>
                <w:szCs w:val="21"/>
                <w:lang w:val="en-US" w:eastAsia="zh-CN" w:bidi="ar-SA"/>
                <w14:textFill>
                  <w14:solidFill>
                    <w14:schemeClr w14:val="tx1"/>
                  </w14:solidFill>
                </w14:textFill>
              </w:rPr>
            </w:pPr>
          </w:p>
          <w:p w14:paraId="223311B2">
            <w:pPr>
              <w:jc w:val="both"/>
              <w:rPr>
                <w:rFonts w:hint="default" w:ascii="Times New Roman" w:hAnsi="Times New Roman" w:cs="Times New Roman" w:eastAsiaTheme="minorHAnsi"/>
                <w:color w:val="000000" w:themeColor="text1"/>
                <w:kern w:val="0"/>
                <w:sz w:val="24"/>
                <w:szCs w:val="21"/>
                <w:lang w:val="en-US" w:eastAsia="zh-CN" w:bidi="ar-SA"/>
                <w14:textFill>
                  <w14:solidFill>
                    <w14:schemeClr w14:val="tx1"/>
                  </w14:solidFill>
                </w14:textFill>
              </w:rPr>
            </w:pPr>
          </w:p>
          <w:p w14:paraId="2225942D">
            <w:pPr>
              <w:pStyle w:val="18"/>
              <w:jc w:val="both"/>
              <w:rPr>
                <w:rFonts w:hint="default" w:ascii="Times New Roman" w:hAnsi="Times New Roman" w:cs="Times New Roman" w:eastAsiaTheme="minorHAnsi"/>
                <w:color w:val="000000" w:themeColor="text1"/>
                <w:kern w:val="0"/>
                <w:sz w:val="24"/>
                <w:szCs w:val="21"/>
                <w:lang w:val="en-US" w:eastAsia="zh-CN" w:bidi="ar-SA"/>
                <w14:textFill>
                  <w14:solidFill>
                    <w14:schemeClr w14:val="tx1"/>
                  </w14:solidFill>
                </w14:textFill>
              </w:rPr>
            </w:pPr>
          </w:p>
          <w:p w14:paraId="268C9D74">
            <w:pPr>
              <w:jc w:val="both"/>
              <w:rPr>
                <w:rFonts w:hint="default" w:ascii="Times New Roman" w:hAnsi="Times New Roman" w:cs="Times New Roman" w:eastAsiaTheme="minorHAnsi"/>
                <w:color w:val="000000" w:themeColor="text1"/>
                <w:kern w:val="0"/>
                <w:sz w:val="24"/>
                <w:szCs w:val="21"/>
                <w:lang w:val="en-US" w:eastAsia="zh-CN" w:bidi="ar-SA"/>
                <w14:textFill>
                  <w14:solidFill>
                    <w14:schemeClr w14:val="tx1"/>
                  </w14:solidFill>
                </w14:textFill>
              </w:rPr>
            </w:pPr>
          </w:p>
          <w:p w14:paraId="7CFCFC0C">
            <w:pPr>
              <w:pStyle w:val="18"/>
              <w:jc w:val="both"/>
              <w:rPr>
                <w:rFonts w:hint="default" w:ascii="Times New Roman" w:hAnsi="Times New Roman" w:cs="Times New Roman" w:eastAsiaTheme="minorHAnsi"/>
                <w:color w:val="000000" w:themeColor="text1"/>
                <w:kern w:val="0"/>
                <w:sz w:val="24"/>
                <w:szCs w:val="21"/>
                <w:lang w:val="en-US" w:eastAsia="zh-CN" w:bidi="ar-SA"/>
                <w14:textFill>
                  <w14:solidFill>
                    <w14:schemeClr w14:val="tx1"/>
                  </w14:solidFill>
                </w14:textFill>
              </w:rPr>
            </w:pPr>
          </w:p>
          <w:p w14:paraId="63812141">
            <w:pPr>
              <w:jc w:val="both"/>
              <w:rPr>
                <w:rFonts w:hint="default" w:ascii="Times New Roman" w:hAnsi="Times New Roman" w:cs="Times New Roman" w:eastAsiaTheme="minorHAnsi"/>
                <w:color w:val="000000" w:themeColor="text1"/>
                <w:kern w:val="0"/>
                <w:sz w:val="24"/>
                <w:szCs w:val="21"/>
                <w:lang w:val="en-US" w:eastAsia="zh-CN" w:bidi="ar-SA"/>
                <w14:textFill>
                  <w14:solidFill>
                    <w14:schemeClr w14:val="tx1"/>
                  </w14:solidFill>
                </w14:textFill>
              </w:rPr>
            </w:pPr>
          </w:p>
          <w:p w14:paraId="17D0F978">
            <w:pPr>
              <w:pStyle w:val="18"/>
              <w:jc w:val="both"/>
              <w:rPr>
                <w:rFonts w:hint="default" w:ascii="Times New Roman" w:hAnsi="Times New Roman" w:cs="Times New Roman" w:eastAsiaTheme="minorHAnsi"/>
                <w:color w:val="000000" w:themeColor="text1"/>
                <w:kern w:val="0"/>
                <w:sz w:val="24"/>
                <w:szCs w:val="21"/>
                <w:lang w:val="en-US" w:eastAsia="zh-CN" w:bidi="ar-SA"/>
                <w14:textFill>
                  <w14:solidFill>
                    <w14:schemeClr w14:val="tx1"/>
                  </w14:solidFill>
                </w14:textFill>
              </w:rPr>
            </w:pPr>
          </w:p>
          <w:p w14:paraId="784C11D6">
            <w:pPr>
              <w:jc w:val="both"/>
              <w:rPr>
                <w:rFonts w:hint="default"/>
                <w:color w:val="000000" w:themeColor="text1"/>
                <w:lang w:val="en-US" w:eastAsia="zh-CN"/>
                <w14:textFill>
                  <w14:solidFill>
                    <w14:schemeClr w14:val="tx1"/>
                  </w14:solidFill>
                </w14:textFill>
              </w:rPr>
            </w:pPr>
          </w:p>
        </w:tc>
      </w:tr>
    </w:tbl>
    <w:p w14:paraId="67ABF4C0">
      <w:pPr>
        <w:numPr>
          <w:ilvl w:val="0"/>
          <w:numId w:val="0"/>
        </w:numPr>
        <w:jc w:val="both"/>
        <w:rPr>
          <w:rFonts w:hint="default" w:ascii="Times New Roman" w:hAnsi="Times New Roman" w:eastAsia="黑体" w:cs="Times New Roman"/>
          <w:b w:val="0"/>
          <w:bCs w:val="0"/>
          <w:color w:val="000000" w:themeColor="text1"/>
          <w:sz w:val="28"/>
          <w:szCs w:val="28"/>
          <w:lang w:val="en-US" w:eastAsia="zh-CN"/>
          <w14:textFill>
            <w14:solidFill>
              <w14:schemeClr w14:val="tx1"/>
            </w14:solidFill>
          </w14:textFill>
        </w:rPr>
        <w:sectPr>
          <w:footerReference r:id="rId5" w:type="default"/>
          <w:pgSz w:w="11906" w:h="16838"/>
          <w:pgMar w:top="1417" w:right="1417" w:bottom="1417" w:left="1417" w:header="992" w:footer="896" w:gutter="0"/>
          <w:pgBorders>
            <w:top w:val="none" w:sz="0" w:space="0"/>
            <w:left w:val="none" w:sz="0" w:space="0"/>
            <w:bottom w:val="none" w:sz="0" w:space="0"/>
            <w:right w:val="none" w:sz="0" w:space="0"/>
          </w:pgBorders>
          <w:pgNumType w:fmt="decimal" w:start="1"/>
          <w:cols w:space="0" w:num="1"/>
          <w:rtlGutter w:val="0"/>
          <w:docGrid w:type="lines" w:linePitch="318" w:charSpace="0"/>
        </w:sectPr>
      </w:pPr>
    </w:p>
    <w:p w14:paraId="68C24F04">
      <w:pPr>
        <w:numPr>
          <w:ilvl w:val="0"/>
          <w:numId w:val="4"/>
        </w:numPr>
        <w:ind w:left="0" w:leftChars="0" w:firstLine="0" w:firstLineChars="0"/>
        <w:jc w:val="center"/>
        <w:rPr>
          <w:rFonts w:hint="default" w:ascii="Times New Roman" w:hAnsi="Times New Roman" w:eastAsia="黑体" w:cs="Times New Roman"/>
          <w:b w:val="0"/>
          <w:bCs w:val="0"/>
          <w:color w:val="000000" w:themeColor="text1"/>
          <w:sz w:val="28"/>
          <w:szCs w:val="28"/>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8"/>
          <w:szCs w:val="28"/>
          <w:lang w:val="en-US" w:eastAsia="zh-CN"/>
          <w14:textFill>
            <w14:solidFill>
              <w14:schemeClr w14:val="tx1"/>
            </w14:solidFill>
          </w14:textFill>
        </w:rPr>
        <w:t>生态环境现状、保护目标及评价标准</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8706"/>
      </w:tblGrid>
      <w:tr w14:paraId="420CB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dxa"/>
            <w:vAlign w:val="center"/>
          </w:tcPr>
          <w:p w14:paraId="2DEB7A52">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生态环境现状</w:t>
            </w:r>
          </w:p>
        </w:tc>
        <w:tc>
          <w:tcPr>
            <w:tcW w:w="8521" w:type="dxa"/>
            <w:vAlign w:val="center"/>
          </w:tcPr>
          <w:p w14:paraId="551057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一、生态环境现状</w:t>
            </w:r>
          </w:p>
          <w:p w14:paraId="75AC81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1、主体功能区划和生态功能区划</w:t>
            </w:r>
          </w:p>
          <w:p w14:paraId="7D73F3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根据《陕西省主体功能区划》中陕西省重点开发区域分布图，项目位于国家层面限制开发区域（重点生态功能区）。具体见图3-1。</w:t>
            </w:r>
          </w:p>
          <w:p w14:paraId="78F810D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根据《陕西省生态功能区划》，本项目位于陕西省生态功能区中黄土高原农牧生态区（一级区）、黄土丘陵沟壑水土流失控制生态功能区（二级区）、黄土峁状丘陵沟壑水土流失控制区（三级区）。该区生态敏感性特征为：沟壑纵横，土壤侵蚀极敏感-高度敏感，土壤保持功能极重要。建立基本农田，坡地退耕还林还草，开展流域综合治理，控制水土流失。本项目为陆地矿产资源地质勘察类项目，运行期产生的主要污染物为员工生活污水及生活垃圾，均不外排，不会对当地土壤造成影响，且项目会采取设置排水沟、集水池、临时占用的草地会在施工结束后及时恢复等水土保持措施，因此对当地的水土流失影响较小，因此与《陕西省生态功能区划》相符。</w:t>
            </w:r>
          </w:p>
          <w:p w14:paraId="778937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生态功能区划图见图3-2。</w:t>
            </w:r>
          </w:p>
          <w:p w14:paraId="1BA633A7">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color w:val="000000" w:themeColor="text1"/>
                <w:sz w:val="22"/>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3834130</wp:posOffset>
                      </wp:positionH>
                      <wp:positionV relativeFrom="paragraph">
                        <wp:posOffset>1440815</wp:posOffset>
                      </wp:positionV>
                      <wp:extent cx="234315" cy="205105"/>
                      <wp:effectExtent l="20955" t="19050" r="30480" b="23495"/>
                      <wp:wrapNone/>
                      <wp:docPr id="9" name="五角星 9"/>
                      <wp:cNvGraphicFramePr/>
                      <a:graphic xmlns:a="http://schemas.openxmlformats.org/drawingml/2006/main">
                        <a:graphicData uri="http://schemas.microsoft.com/office/word/2010/wordprocessingShape">
                          <wps:wsp>
                            <wps:cNvSpPr/>
                            <wps:spPr>
                              <a:xfrm>
                                <a:off x="3212465" y="3749675"/>
                                <a:ext cx="234315" cy="205105"/>
                              </a:xfrm>
                              <a:prstGeom prst="star5">
                                <a:avLst/>
                              </a:prstGeom>
                              <a:solidFill>
                                <a:srgbClr val="FF0000"/>
                              </a:solidFill>
                              <a:ln>
                                <a:solidFill>
                                  <a:schemeClr val="tx1">
                                    <a:lumMod val="95000"/>
                                    <a:lumOff val="5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1.9pt;margin-top:113.45pt;height:16.15pt;width:18.45pt;z-index:251663360;v-text-anchor:middle;mso-width-relative:page;mso-height-relative:page;" fillcolor="#FF0000" filled="t" stroked="t" coordsize="234315,205105" o:gfxdata="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HBtnm3ZAAAACwEAAA8AAAAAAAAAAQAgAAAAIgAAAGRycy9kb3ducmV2LnhtbFBL&#10;AQIUABQAAAAIAIdO4kAJZ1YIoAIAADsFAAAOAAAAAAAAAAEAIAAAACgBAABkcnMvZTJvRG9jLnht&#10;bFBLBQYAAAAABgAGAFkBAAA6BgAAAAA=&#10;" path="m0,78342l89500,78343,117157,0,144814,78343,234314,78342,161906,126761,189564,205104,117157,156685,44750,205104,72408,126761xe">
                      <v:path o:connectlocs="117157,0;0,78342;44750,205104;189564,205104;234314,78342" o:connectangles="247,164,82,82,0"/>
                      <v:fill on="t" focussize="0,0"/>
                      <v:stroke weight="1pt" color="#0D0D0D [3069]" miterlimit="8" joinstyle="miter"/>
                      <v:imagedata o:title=""/>
                      <o:lock v:ext="edit" aspectratio="f"/>
                    </v:shape>
                  </w:pict>
                </mc:Fallback>
              </mc:AlternateContent>
            </w:r>
            <w:r>
              <w:rPr>
                <w:color w:val="000000" w:themeColor="text1"/>
                <w:sz w:val="22"/>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2942590</wp:posOffset>
                      </wp:positionH>
                      <wp:positionV relativeFrom="paragraph">
                        <wp:posOffset>526415</wp:posOffset>
                      </wp:positionV>
                      <wp:extent cx="930910" cy="358140"/>
                      <wp:effectExtent l="6350" t="6350" r="53340" b="683260"/>
                      <wp:wrapNone/>
                      <wp:docPr id="21" name="圆角矩形标注 21"/>
                      <wp:cNvGraphicFramePr/>
                      <a:graphic xmlns:a="http://schemas.openxmlformats.org/drawingml/2006/main">
                        <a:graphicData uri="http://schemas.microsoft.com/office/word/2010/wordprocessingShape">
                          <wps:wsp>
                            <wps:cNvSpPr/>
                            <wps:spPr>
                              <a:xfrm>
                                <a:off x="2633345" y="3385820"/>
                                <a:ext cx="930910" cy="358140"/>
                              </a:xfrm>
                              <a:prstGeom prst="wedgeRoundRectCallout">
                                <a:avLst>
                                  <a:gd name="adj1" fmla="val 52609"/>
                                  <a:gd name="adj2" fmla="val 227295"/>
                                  <a:gd name="adj3" fmla="val 1666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12EA386">
                                  <w:pPr>
                                    <w:jc w:val="center"/>
                                    <w:rPr>
                                      <w:rFonts w:hint="default" w:eastAsia="宋体"/>
                                      <w:b/>
                                      <w:bCs/>
                                      <w:color w:val="FF0000"/>
                                      <w:lang w:val="en-US" w:eastAsia="zh-CN"/>
                                    </w:rPr>
                                  </w:pPr>
                                  <w:r>
                                    <w:rPr>
                                      <w:rFonts w:hint="eastAsia" w:eastAsia="宋体"/>
                                      <w:b/>
                                      <w:bCs/>
                                      <w:color w:val="FF0000"/>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31.7pt;margin-top:41.45pt;height:28.2pt;width:73.3pt;z-index:251664384;v-text-anchor:middle;mso-width-relative:page;mso-height-relative:page;" filled="f" stroked="t" coordsize="21600,21600" o:gfxdata="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V82z&#10;4NgAAAAKAQAADwAAAAAAAAABACAAAAAiAAAAZHJzL2Rvd25yZXYueG1sUEsBAhQAFAAAAAgAh07i&#10;QIgSXsnNAgAAdgUAAA4AAAAAAAAAAQAgAAAAJwEAAGRycy9lMm9Eb2MueG1sUEsFBgAAAAAGAAYA&#10;WQEAAGYGAAAAAA==&#10;" adj="22164,59896,14400">
                      <v:fill on="f" focussize="0,0"/>
                      <v:stroke weight="1pt" color="#FF0000 [2404]" miterlimit="8" joinstyle="miter"/>
                      <v:imagedata o:title=""/>
                      <o:lock v:ext="edit" aspectratio="f"/>
                      <v:textbox>
                        <w:txbxContent>
                          <w:p w14:paraId="412EA386">
                            <w:pPr>
                              <w:jc w:val="center"/>
                              <w:rPr>
                                <w:rFonts w:hint="default" w:eastAsia="宋体"/>
                                <w:b/>
                                <w:bCs/>
                                <w:color w:val="FF0000"/>
                                <w:lang w:val="en-US" w:eastAsia="zh-CN"/>
                              </w:rPr>
                            </w:pPr>
                            <w:r>
                              <w:rPr>
                                <w:rFonts w:hint="eastAsia" w:eastAsia="宋体"/>
                                <w:b/>
                                <w:bCs/>
                                <w:color w:val="FF0000"/>
                                <w:lang w:val="en-US" w:eastAsia="zh-CN"/>
                              </w:rPr>
                              <w:t>项目位置</w:t>
                            </w:r>
                          </w:p>
                        </w:txbxContent>
                      </v:textbox>
                    </v:shape>
                  </w:pict>
                </mc:Fallback>
              </mc:AlternateContent>
            </w:r>
            <w:r>
              <w:rPr>
                <w:rFonts w:hint="default" w:ascii="Times New Roman" w:hAnsi="Times New Roman" w:cs="Times New Roman"/>
                <w:color w:val="000000" w:themeColor="text1"/>
                <w14:textFill>
                  <w14:solidFill>
                    <w14:schemeClr w14:val="tx1"/>
                  </w14:solidFill>
                </w14:textFill>
              </w:rPr>
              <w:drawing>
                <wp:inline distT="0" distB="0" distL="114300" distR="114300">
                  <wp:extent cx="4754880" cy="6735445"/>
                  <wp:effectExtent l="9525" t="9525" r="17145" b="17780"/>
                  <wp:docPr id="17" name="图片 4" descr="78f3d18833ce67903d4d2bb064fe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78f3d18833ce67903d4d2bb064fe325"/>
                          <pic:cNvPicPr>
                            <a:picLocks noChangeAspect="1"/>
                          </pic:cNvPicPr>
                        </pic:nvPicPr>
                        <pic:blipFill>
                          <a:blip r:embed="rId15"/>
                          <a:srcRect b="-408"/>
                          <a:stretch>
                            <a:fillRect/>
                          </a:stretch>
                        </pic:blipFill>
                        <pic:spPr>
                          <a:xfrm>
                            <a:off x="0" y="0"/>
                            <a:ext cx="4754880" cy="6735445"/>
                          </a:xfrm>
                          <a:prstGeom prst="rect">
                            <a:avLst/>
                          </a:prstGeom>
                          <a:noFill/>
                          <a:ln>
                            <a:solidFill>
                              <a:schemeClr val="tx1"/>
                            </a:solidFill>
                          </a:ln>
                        </pic:spPr>
                      </pic:pic>
                    </a:graphicData>
                  </a:graphic>
                </wp:inline>
              </w:drawing>
            </w:r>
          </w:p>
          <w:p w14:paraId="48558087">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图3-1 陕西省主体功能区划图</w:t>
            </w:r>
            <w:r>
              <w:rPr>
                <w:rFonts w:hint="default" w:ascii="Times New Roman" w:hAnsi="Times New Roman" w:cs="Times New Roman"/>
                <w:color w:val="000000" w:themeColor="text1"/>
                <w:sz w:val="2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3638550</wp:posOffset>
                      </wp:positionH>
                      <wp:positionV relativeFrom="paragraph">
                        <wp:posOffset>797560</wp:posOffset>
                      </wp:positionV>
                      <wp:extent cx="948690" cy="403860"/>
                      <wp:effectExtent l="6350" t="6350" r="16510" b="599440"/>
                      <wp:wrapNone/>
                      <wp:docPr id="20" name="圆角矩形标注 20"/>
                      <wp:cNvGraphicFramePr/>
                      <a:graphic xmlns:a="http://schemas.openxmlformats.org/drawingml/2006/main">
                        <a:graphicData uri="http://schemas.microsoft.com/office/word/2010/wordprocessingShape">
                          <wps:wsp>
                            <wps:cNvSpPr/>
                            <wps:spPr>
                              <a:xfrm>
                                <a:off x="0" y="0"/>
                                <a:ext cx="948690" cy="403860"/>
                              </a:xfrm>
                              <a:prstGeom prst="wedgeRoundRectCallout">
                                <a:avLst>
                                  <a:gd name="adj1" fmla="val 35809"/>
                                  <a:gd name="adj2" fmla="val 186949"/>
                                  <a:gd name="adj3" fmla="val 1666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AF79759">
                                  <w:pPr>
                                    <w:jc w:val="center"/>
                                    <w:rPr>
                                      <w:rFonts w:hint="default" w:eastAsia="宋体"/>
                                      <w:b/>
                                      <w:bCs/>
                                      <w:color w:val="FF0000"/>
                                      <w:sz w:val="24"/>
                                      <w:szCs w:val="24"/>
                                      <w:lang w:val="en-US" w:eastAsia="zh-CN"/>
                                    </w:rPr>
                                  </w:pPr>
                                  <w:r>
                                    <w:rPr>
                                      <w:rFonts w:hint="eastAsia" w:eastAsia="宋体"/>
                                      <w:b/>
                                      <w:bCs/>
                                      <w:color w:val="FF0000"/>
                                      <w:sz w:val="24"/>
                                      <w:szCs w:val="24"/>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86.5pt;margin-top:62.8pt;height:31.8pt;width:74.7pt;z-index:251662336;v-text-anchor:middle;mso-width-relative:page;mso-height-relative:page;" filled="f" stroked="t" coordsize="21600,21600" o:gfxdata="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M7LY+3aAAAACwEAAA8A&#10;AAAAAAAAAQAgAAAAIgAAAGRycy9kb3ducmV2LnhtbFBLAQIUABQAAAAIAIdO4kAGOdGJwAIAAGoF&#10;AAAOAAAAAAAAAAEAIAAAACkBAABkcnMvZTJvRG9jLnhtbFBLBQYAAAAABgAGAFkBAABbBgAAAAA=&#10;" adj="18535,51181,14400">
                      <v:fill on="f" focussize="0,0"/>
                      <v:stroke weight="1pt" color="#FF0000 [2404]" miterlimit="8" joinstyle="miter"/>
                      <v:imagedata o:title=""/>
                      <o:lock v:ext="edit" aspectratio="f"/>
                      <v:textbox>
                        <w:txbxContent>
                          <w:p w14:paraId="7AF79759">
                            <w:pPr>
                              <w:jc w:val="center"/>
                              <w:rPr>
                                <w:rFonts w:hint="default" w:eastAsia="宋体"/>
                                <w:b/>
                                <w:bCs/>
                                <w:color w:val="FF0000"/>
                                <w:sz w:val="24"/>
                                <w:szCs w:val="24"/>
                                <w:lang w:val="en-US" w:eastAsia="zh-CN"/>
                              </w:rPr>
                            </w:pPr>
                            <w:r>
                              <w:rPr>
                                <w:rFonts w:hint="eastAsia" w:eastAsia="宋体"/>
                                <w:b/>
                                <w:bCs/>
                                <w:color w:val="FF0000"/>
                                <w:sz w:val="24"/>
                                <w:szCs w:val="24"/>
                                <w:lang w:val="en-US" w:eastAsia="zh-CN"/>
                              </w:rPr>
                              <w:t>项目位置</w:t>
                            </w:r>
                          </w:p>
                        </w:txbxContent>
                      </v:textbox>
                    </v:shape>
                  </w:pict>
                </mc:Fallback>
              </mc:AlternateContent>
            </w:r>
            <w:r>
              <w:rPr>
                <w:rFonts w:hint="default" w:ascii="Times New Roman" w:hAnsi="Times New Roman" w:cs="Times New Roman"/>
                <w:color w:val="000000" w:themeColor="text1"/>
                <w:sz w:val="22"/>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4382770</wp:posOffset>
                      </wp:positionH>
                      <wp:positionV relativeFrom="paragraph">
                        <wp:posOffset>1670050</wp:posOffset>
                      </wp:positionV>
                      <wp:extent cx="263525" cy="248920"/>
                      <wp:effectExtent l="19685" t="20320" r="21590" b="16510"/>
                      <wp:wrapNone/>
                      <wp:docPr id="19" name="五角星 19"/>
                      <wp:cNvGraphicFramePr/>
                      <a:graphic xmlns:a="http://schemas.openxmlformats.org/drawingml/2006/main">
                        <a:graphicData uri="http://schemas.microsoft.com/office/word/2010/wordprocessingShape">
                          <wps:wsp>
                            <wps:cNvSpPr/>
                            <wps:spPr>
                              <a:xfrm>
                                <a:off x="5631180" y="2743200"/>
                                <a:ext cx="263525" cy="248920"/>
                              </a:xfrm>
                              <a:prstGeom prst="star5">
                                <a:avLst/>
                              </a:prstGeom>
                              <a:solidFill>
                                <a:srgbClr val="FF00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45.1pt;margin-top:131.5pt;height:19.6pt;width:20.75pt;z-index:251661312;v-text-anchor:middle;mso-width-relative:page;mso-height-relative:page;" fillcolor="#FF0000" filled="t" stroked="t" coordsize="263525,248920" o:gfxdata="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ki0eC2AAAAAsBAAAPAAAAAAAA&#10;AAEAIAAAACIAAABkcnMvZG93bnJldi54bWxQSwECFAAUAAAACACHTuJA6bA4VIQCAAAFBQAADgAA&#10;AAAAAAABACAAAAAnAQAAZHJzL2Uyb0RvYy54bWxQSwUGAAAAAAYABgBZAQAAHQYAAAAA&#10;" path="m0,95078l100658,95079,131762,0,162866,95079,263524,95078,182090,153840,213196,248919,131762,190156,50328,248919,81434,153840xe">
                      <v:path o:connectlocs="131762,0;0,95078;50328,248919;213196,248919;263524,95078" o:connectangles="247,164,82,82,0"/>
                      <v:fill on="t" focussize="0,0"/>
                      <v:stroke weight="1pt" color="#000000 [3213]" miterlimit="8" joinstyle="miter"/>
                      <v:imagedata o:title=""/>
                      <o:lock v:ext="edit" aspectratio="f"/>
                    </v:shape>
                  </w:pict>
                </mc:Fallback>
              </mc:AlternateContent>
            </w:r>
            <w:r>
              <w:rPr>
                <w:rFonts w:hint="default" w:ascii="Times New Roman" w:hAnsi="Times New Roman" w:cs="Times New Roman"/>
                <w:color w:val="000000" w:themeColor="text1"/>
                <w14:textFill>
                  <w14:solidFill>
                    <w14:schemeClr w14:val="tx1"/>
                  </w14:solidFill>
                </w14:textFill>
              </w:rPr>
              <w:drawing>
                <wp:inline distT="0" distB="0" distL="114300" distR="114300">
                  <wp:extent cx="5372100" cy="6767830"/>
                  <wp:effectExtent l="9525" t="9525" r="9525" b="23495"/>
                  <wp:docPr id="18" name="图片 5" descr="65faaeef0722c45aed252ee0c12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65faaeef0722c45aed252ee0c126857"/>
                          <pic:cNvPicPr>
                            <a:picLocks noChangeAspect="1"/>
                          </pic:cNvPicPr>
                        </pic:nvPicPr>
                        <pic:blipFill>
                          <a:blip r:embed="rId16"/>
                          <a:stretch>
                            <a:fillRect/>
                          </a:stretch>
                        </pic:blipFill>
                        <pic:spPr>
                          <a:xfrm>
                            <a:off x="0" y="0"/>
                            <a:ext cx="5372100" cy="6767830"/>
                          </a:xfrm>
                          <a:prstGeom prst="rect">
                            <a:avLst/>
                          </a:prstGeom>
                          <a:noFill/>
                          <a:ln>
                            <a:solidFill>
                              <a:schemeClr val="tx1"/>
                            </a:solidFill>
                          </a:ln>
                        </pic:spPr>
                      </pic:pic>
                    </a:graphicData>
                  </a:graphic>
                </wp:inline>
              </w:drawing>
            </w:r>
          </w:p>
          <w:p w14:paraId="4920746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图3-2 陕西省生态功能区划图</w:t>
            </w:r>
          </w:p>
          <w:p w14:paraId="62E48A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2、土地利用现状</w:t>
            </w:r>
          </w:p>
          <w:p w14:paraId="519B01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highlight w:val="yellow"/>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根据《榆林市投资项目选址“一张图”控制线检测报告》202</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2432</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）号、202</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2433</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）号</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202</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2434</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）号</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202</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2435</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）号，本项目土地利用类型为林地、园地</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及交通运输用地</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w:t>
            </w:r>
          </w:p>
          <w:p w14:paraId="6F7A62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3、植被环境现状</w:t>
            </w:r>
          </w:p>
          <w:p w14:paraId="0BFCD9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highlight w:val="yellow"/>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根据植被类型及地理分布特征，佳县植被可分为三个区，即北部防风固沙林带区，西南丘陵沟壑农作物种植区，东南黄河沿岸土石天然草地和枣林区。</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项目所在地属北部防风固沙林带区，主要由灌木林地组成。</w:t>
            </w:r>
          </w:p>
          <w:p w14:paraId="5FD825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4、动物资源现状</w:t>
            </w:r>
          </w:p>
          <w:p w14:paraId="65C2DD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根据野外调查资料及现场调查，调查评价区未见珍稀、濒危野生动物和保护物种，小型野生动物较多，主要是松鼠、田鼠、草兔、蛇等。</w:t>
            </w:r>
          </w:p>
          <w:p w14:paraId="6C2248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二、环境空气现状</w:t>
            </w:r>
          </w:p>
          <w:p w14:paraId="07967E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1、大气环境</w:t>
            </w:r>
          </w:p>
          <w:p w14:paraId="5AA018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（1）区域现状评价</w:t>
            </w:r>
          </w:p>
          <w:p w14:paraId="594E41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位于榆林市佳县，本次优先采用国家或地方生态环境主管部门公开发布的评价基准年环境质量公告或环境质量报告中的数据或结论。本次评价环境空气质量现状数据陕西省生态环境厅办公室发布的环保快报（202</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）《202</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年</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12月</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及1～12月全省环境空气质量状况》中佳县环境空气质量监测数据对该项目空气质量进行评价，具体统计数据见表3-1。</w:t>
            </w:r>
          </w:p>
          <w:p w14:paraId="48FF468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表3-1   202</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年佳县环境空气质量状况统计表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2070"/>
              <w:gridCol w:w="1530"/>
              <w:gridCol w:w="1130"/>
              <w:gridCol w:w="1500"/>
              <w:gridCol w:w="1165"/>
            </w:tblGrid>
            <w:tr w14:paraId="045E6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150B884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污染物</w:t>
                  </w:r>
                </w:p>
              </w:tc>
              <w:tc>
                <w:tcPr>
                  <w:tcW w:w="2070" w:type="dxa"/>
                  <w:vAlign w:val="center"/>
                </w:tcPr>
                <w:p w14:paraId="77E6854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年评价指标</w:t>
                  </w:r>
                </w:p>
              </w:tc>
              <w:tc>
                <w:tcPr>
                  <w:tcW w:w="1530" w:type="dxa"/>
                  <w:vAlign w:val="center"/>
                </w:tcPr>
                <w:p w14:paraId="25B7D31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现状浓度</w:t>
                  </w:r>
                </w:p>
              </w:tc>
              <w:tc>
                <w:tcPr>
                  <w:tcW w:w="1130" w:type="dxa"/>
                  <w:vAlign w:val="center"/>
                </w:tcPr>
                <w:p w14:paraId="2D6E8BA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标准值</w:t>
                  </w:r>
                </w:p>
              </w:tc>
              <w:tc>
                <w:tcPr>
                  <w:tcW w:w="1500" w:type="dxa"/>
                  <w:vAlign w:val="center"/>
                </w:tcPr>
                <w:p w14:paraId="0B03B7B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占标率</w:t>
                  </w:r>
                </w:p>
              </w:tc>
              <w:tc>
                <w:tcPr>
                  <w:tcW w:w="1165" w:type="dxa"/>
                  <w:vAlign w:val="center"/>
                </w:tcPr>
                <w:p w14:paraId="43046FB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达标情况</w:t>
                  </w:r>
                </w:p>
              </w:tc>
            </w:tr>
            <w:tr w14:paraId="5EBE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2E4F80A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SO</w:t>
                  </w:r>
                  <w:r>
                    <w:rPr>
                      <w:rFonts w:hint="default" w:ascii="Times New Roman" w:hAnsi="Times New Roman" w:eastAsia="宋体" w:cs="Times New Roman"/>
                      <w:b w:val="0"/>
                      <w:bCs w:val="0"/>
                      <w:color w:val="000000" w:themeColor="text1"/>
                      <w:sz w:val="21"/>
                      <w:szCs w:val="21"/>
                      <w:vertAlign w:val="subscript"/>
                      <w:lang w:val="en-US" w:eastAsia="zh-CN"/>
                      <w14:textFill>
                        <w14:solidFill>
                          <w14:schemeClr w14:val="tx1"/>
                        </w14:solidFill>
                      </w14:textFill>
                    </w:rPr>
                    <w:t>2</w:t>
                  </w:r>
                </w:p>
              </w:tc>
              <w:tc>
                <w:tcPr>
                  <w:tcW w:w="2070" w:type="dxa"/>
                  <w:vAlign w:val="center"/>
                </w:tcPr>
                <w:p w14:paraId="106269F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年平均质量浓度</w:t>
                  </w:r>
                </w:p>
              </w:tc>
              <w:tc>
                <w:tcPr>
                  <w:tcW w:w="1530" w:type="dxa"/>
                  <w:vAlign w:val="center"/>
                </w:tcPr>
                <w:p w14:paraId="37A6676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8</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μg/m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p>
              </w:tc>
              <w:tc>
                <w:tcPr>
                  <w:tcW w:w="1130" w:type="dxa"/>
                  <w:vAlign w:val="center"/>
                </w:tcPr>
                <w:p w14:paraId="0915A8B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60μg/m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p>
              </w:tc>
              <w:tc>
                <w:tcPr>
                  <w:tcW w:w="1500" w:type="dxa"/>
                  <w:vAlign w:val="center"/>
                </w:tcPr>
                <w:p w14:paraId="3CC64AD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13.33%</w:t>
                  </w:r>
                </w:p>
              </w:tc>
              <w:tc>
                <w:tcPr>
                  <w:tcW w:w="1165" w:type="dxa"/>
                  <w:vAlign w:val="center"/>
                </w:tcPr>
                <w:p w14:paraId="09F4673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达标</w:t>
                  </w:r>
                </w:p>
              </w:tc>
            </w:tr>
            <w:tr w14:paraId="1464C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29CEE75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NO</w:t>
                  </w:r>
                  <w:r>
                    <w:rPr>
                      <w:rFonts w:hint="default" w:ascii="Times New Roman" w:hAnsi="Times New Roman" w:eastAsia="宋体" w:cs="Times New Roman"/>
                      <w:b w:val="0"/>
                      <w:bCs w:val="0"/>
                      <w:color w:val="000000" w:themeColor="text1"/>
                      <w:sz w:val="21"/>
                      <w:szCs w:val="21"/>
                      <w:vertAlign w:val="subscript"/>
                      <w:lang w:val="en-US" w:eastAsia="zh-CN"/>
                      <w14:textFill>
                        <w14:solidFill>
                          <w14:schemeClr w14:val="tx1"/>
                        </w14:solidFill>
                      </w14:textFill>
                    </w:rPr>
                    <w:t>2</w:t>
                  </w:r>
                </w:p>
              </w:tc>
              <w:tc>
                <w:tcPr>
                  <w:tcW w:w="2070" w:type="dxa"/>
                  <w:vAlign w:val="center"/>
                </w:tcPr>
                <w:p w14:paraId="12F19EA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年平均质量浓度</w:t>
                  </w:r>
                </w:p>
              </w:tc>
              <w:tc>
                <w:tcPr>
                  <w:tcW w:w="1530" w:type="dxa"/>
                  <w:vAlign w:val="center"/>
                </w:tcPr>
                <w:p w14:paraId="03D5455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μg/m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p>
              </w:tc>
              <w:tc>
                <w:tcPr>
                  <w:tcW w:w="1130" w:type="dxa"/>
                  <w:vAlign w:val="center"/>
                </w:tcPr>
                <w:p w14:paraId="719C503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40μg/m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p>
              </w:tc>
              <w:tc>
                <w:tcPr>
                  <w:tcW w:w="1500" w:type="dxa"/>
                  <w:vAlign w:val="center"/>
                </w:tcPr>
                <w:p w14:paraId="05F5289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50%</w:t>
                  </w:r>
                </w:p>
              </w:tc>
              <w:tc>
                <w:tcPr>
                  <w:tcW w:w="1165" w:type="dxa"/>
                  <w:vAlign w:val="center"/>
                </w:tcPr>
                <w:p w14:paraId="036C459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达标</w:t>
                  </w:r>
                </w:p>
              </w:tc>
            </w:tr>
            <w:tr w14:paraId="618A5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4C85A98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PM</w:t>
                  </w:r>
                  <w:r>
                    <w:rPr>
                      <w:rFonts w:hint="default" w:ascii="Times New Roman" w:hAnsi="Times New Roman" w:eastAsia="宋体" w:cs="Times New Roman"/>
                      <w:b w:val="0"/>
                      <w:bCs w:val="0"/>
                      <w:color w:val="000000" w:themeColor="text1"/>
                      <w:sz w:val="21"/>
                      <w:szCs w:val="21"/>
                      <w:vertAlign w:val="subscript"/>
                      <w:lang w:val="en-US" w:eastAsia="zh-CN"/>
                      <w14:textFill>
                        <w14:solidFill>
                          <w14:schemeClr w14:val="tx1"/>
                        </w14:solidFill>
                      </w14:textFill>
                    </w:rPr>
                    <w:t>10</w:t>
                  </w:r>
                </w:p>
              </w:tc>
              <w:tc>
                <w:tcPr>
                  <w:tcW w:w="2070" w:type="dxa"/>
                  <w:vAlign w:val="center"/>
                </w:tcPr>
                <w:p w14:paraId="24EE2C6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年平均质量浓度</w:t>
                  </w:r>
                </w:p>
              </w:tc>
              <w:tc>
                <w:tcPr>
                  <w:tcW w:w="1530" w:type="dxa"/>
                  <w:vAlign w:val="center"/>
                </w:tcPr>
                <w:p w14:paraId="3A168E2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45</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μg/m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p>
              </w:tc>
              <w:tc>
                <w:tcPr>
                  <w:tcW w:w="1130" w:type="dxa"/>
                  <w:vAlign w:val="center"/>
                </w:tcPr>
                <w:p w14:paraId="3FAACEF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70μg/m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p>
              </w:tc>
              <w:tc>
                <w:tcPr>
                  <w:tcW w:w="1500" w:type="dxa"/>
                  <w:vAlign w:val="center"/>
                </w:tcPr>
                <w:p w14:paraId="69A7BAA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64.29%</w:t>
                  </w:r>
                </w:p>
              </w:tc>
              <w:tc>
                <w:tcPr>
                  <w:tcW w:w="1165" w:type="dxa"/>
                  <w:vAlign w:val="center"/>
                </w:tcPr>
                <w:p w14:paraId="0839759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达标</w:t>
                  </w:r>
                </w:p>
              </w:tc>
            </w:tr>
            <w:tr w14:paraId="79D57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5CCCE2E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PM</w:t>
                  </w:r>
                  <w:r>
                    <w:rPr>
                      <w:rFonts w:hint="default" w:ascii="Times New Roman" w:hAnsi="Times New Roman" w:eastAsia="宋体" w:cs="Times New Roman"/>
                      <w:b w:val="0"/>
                      <w:bCs w:val="0"/>
                      <w:color w:val="000000" w:themeColor="text1"/>
                      <w:sz w:val="21"/>
                      <w:szCs w:val="21"/>
                      <w:vertAlign w:val="subscript"/>
                      <w:lang w:val="en-US" w:eastAsia="zh-CN"/>
                      <w14:textFill>
                        <w14:solidFill>
                          <w14:schemeClr w14:val="tx1"/>
                        </w14:solidFill>
                      </w14:textFill>
                    </w:rPr>
                    <w:t>2.5</w:t>
                  </w:r>
                </w:p>
              </w:tc>
              <w:tc>
                <w:tcPr>
                  <w:tcW w:w="2070" w:type="dxa"/>
                  <w:vAlign w:val="center"/>
                </w:tcPr>
                <w:p w14:paraId="2A35041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年平均质量浓度</w:t>
                  </w:r>
                </w:p>
              </w:tc>
              <w:tc>
                <w:tcPr>
                  <w:tcW w:w="1530" w:type="dxa"/>
                  <w:vAlign w:val="center"/>
                </w:tcPr>
                <w:p w14:paraId="4ACF0BC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25</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μg/m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p>
              </w:tc>
              <w:tc>
                <w:tcPr>
                  <w:tcW w:w="1130" w:type="dxa"/>
                  <w:vAlign w:val="center"/>
                </w:tcPr>
                <w:p w14:paraId="72332F7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35μg/m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p>
              </w:tc>
              <w:tc>
                <w:tcPr>
                  <w:tcW w:w="1500" w:type="dxa"/>
                  <w:vAlign w:val="center"/>
                </w:tcPr>
                <w:p w14:paraId="5EBF6F0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71.43%</w:t>
                  </w:r>
                </w:p>
              </w:tc>
              <w:tc>
                <w:tcPr>
                  <w:tcW w:w="1165" w:type="dxa"/>
                  <w:vAlign w:val="center"/>
                </w:tcPr>
                <w:p w14:paraId="6DB2798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达标</w:t>
                  </w:r>
                </w:p>
              </w:tc>
            </w:tr>
            <w:tr w14:paraId="2C76B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22667E4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CO</w:t>
                  </w:r>
                </w:p>
              </w:tc>
              <w:tc>
                <w:tcPr>
                  <w:tcW w:w="2070" w:type="dxa"/>
                  <w:vAlign w:val="center"/>
                </w:tcPr>
                <w:p w14:paraId="26E0E37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第95百分位日平均质量浓度</w:t>
                  </w:r>
                </w:p>
              </w:tc>
              <w:tc>
                <w:tcPr>
                  <w:tcW w:w="1530" w:type="dxa"/>
                  <w:vAlign w:val="center"/>
                </w:tcPr>
                <w:p w14:paraId="31CD917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1.1</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p>
              </w:tc>
              <w:tc>
                <w:tcPr>
                  <w:tcW w:w="1130" w:type="dxa"/>
                  <w:vAlign w:val="center"/>
                </w:tcPr>
                <w:p w14:paraId="14527F1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4mg/m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p>
              </w:tc>
              <w:tc>
                <w:tcPr>
                  <w:tcW w:w="1500" w:type="dxa"/>
                  <w:vAlign w:val="center"/>
                </w:tcPr>
                <w:p w14:paraId="3EF0EC0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27.5%</w:t>
                  </w:r>
                </w:p>
              </w:tc>
              <w:tc>
                <w:tcPr>
                  <w:tcW w:w="1165" w:type="dxa"/>
                  <w:vAlign w:val="center"/>
                </w:tcPr>
                <w:p w14:paraId="3701105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达标</w:t>
                  </w:r>
                </w:p>
              </w:tc>
            </w:tr>
            <w:tr w14:paraId="01EF8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1C560FF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O</w:t>
                  </w:r>
                  <w:r>
                    <w:rPr>
                      <w:rFonts w:hint="default" w:ascii="Times New Roman" w:hAnsi="Times New Roman" w:eastAsia="宋体" w:cs="Times New Roman"/>
                      <w:b w:val="0"/>
                      <w:bCs w:val="0"/>
                      <w:color w:val="000000" w:themeColor="text1"/>
                      <w:sz w:val="21"/>
                      <w:szCs w:val="21"/>
                      <w:vertAlign w:val="subscript"/>
                      <w:lang w:val="en-US" w:eastAsia="zh-CN"/>
                      <w14:textFill>
                        <w14:solidFill>
                          <w14:schemeClr w14:val="tx1"/>
                        </w14:solidFill>
                      </w14:textFill>
                    </w:rPr>
                    <w:t>3</w:t>
                  </w:r>
                </w:p>
              </w:tc>
              <w:tc>
                <w:tcPr>
                  <w:tcW w:w="2070" w:type="dxa"/>
                  <w:vAlign w:val="center"/>
                </w:tcPr>
                <w:p w14:paraId="129C8A3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第90百分位8h平均质量浓度</w:t>
                  </w:r>
                </w:p>
              </w:tc>
              <w:tc>
                <w:tcPr>
                  <w:tcW w:w="1530" w:type="dxa"/>
                  <w:vAlign w:val="center"/>
                </w:tcPr>
                <w:p w14:paraId="0625236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164</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μg/m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p>
              </w:tc>
              <w:tc>
                <w:tcPr>
                  <w:tcW w:w="1130" w:type="dxa"/>
                  <w:vAlign w:val="center"/>
                </w:tcPr>
                <w:p w14:paraId="13C6E5E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160μg/m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p>
              </w:tc>
              <w:tc>
                <w:tcPr>
                  <w:tcW w:w="1500" w:type="dxa"/>
                  <w:vAlign w:val="center"/>
                </w:tcPr>
                <w:p w14:paraId="27E6CA4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102.5%</w:t>
                  </w:r>
                </w:p>
              </w:tc>
              <w:tc>
                <w:tcPr>
                  <w:tcW w:w="1165" w:type="dxa"/>
                  <w:vAlign w:val="center"/>
                </w:tcPr>
                <w:p w14:paraId="46DC111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超标</w:t>
                  </w:r>
                </w:p>
              </w:tc>
            </w:tr>
          </w:tbl>
          <w:p w14:paraId="67A86F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由表3-1可知，佳县属于环境空气质量</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不</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达标区域。</w:t>
            </w:r>
          </w:p>
          <w:p w14:paraId="611070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2、声环境</w:t>
            </w:r>
          </w:p>
          <w:p w14:paraId="399C7B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项目场地外周边50m范围内不存在声环境保护目标，不需要开展声环境现状监测。</w:t>
            </w:r>
          </w:p>
          <w:p w14:paraId="5F7E17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3、地下水</w:t>
            </w:r>
          </w:p>
          <w:p w14:paraId="4F0BF5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依据建设项目环境影响报告表编制技术指南</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生态影响类</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试行</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中“水、生态、土壤等其他环境要素参照环境影响评价相关技术导则开展补充监测和调查”。对照《环境影响评价技术导则地下水环境》</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HJ610-2016</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项目行业类别为</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“C</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地质勘査 24 矿产资源地质勘查</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包括勘探活动</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，属于地下水Ⅳ类建设项目，</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且</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地下水污染防治措施按照“源头控制、分区防治、污染监控、应急响应”相结合的原则，从污染物的产生、入渗、扩散、应急响应进行控制，项目占地区域采用分区防渗，可以避免发生地下水污染，因此不开展地下水环境质量现状调查。</w:t>
            </w:r>
          </w:p>
          <w:p w14:paraId="4B740D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4、土壤</w:t>
            </w:r>
          </w:p>
          <w:p w14:paraId="49D998D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cs="Times New Roman"/>
                <w:bCs/>
                <w:color w:val="000000" w:themeColor="text1"/>
                <w:sz w:val="24"/>
                <w:highlight w:val="none"/>
                <w:lang w:val="en-US" w:eastAsia="zh-CN"/>
                <w14:textFill>
                  <w14:solidFill>
                    <w14:schemeClr w14:val="tx1"/>
                  </w14:solidFill>
                </w14:textFill>
              </w:rPr>
            </w:pPr>
            <w:r>
              <w:rPr>
                <w:rFonts w:hint="eastAsia" w:ascii="Times New Roman" w:hAnsi="Times New Roman" w:cs="Times New Roman"/>
                <w:bCs/>
                <w:color w:val="000000" w:themeColor="text1"/>
                <w:sz w:val="24"/>
                <w:highlight w:val="none"/>
                <w:lang w:val="en-US" w:eastAsia="zh-CN"/>
                <w14:textFill>
                  <w14:solidFill>
                    <w14:schemeClr w14:val="tx1"/>
                  </w14:solidFill>
                </w14:textFill>
              </w:rPr>
              <w:t>依据建设项目环境影响报告表编制技术指南（生态影响类）（试行）中“水、生态、土壤等其他环境要素参照环境影响评价相关技术导则开展补充监测和调查”，根据《环境影响评价技术导则土壤环境（试行）》</w:t>
            </w:r>
            <w:r>
              <w:rPr>
                <w:rFonts w:hint="default" w:ascii="Times New Roman" w:hAnsi="Times New Roman" w:cs="Times New Roman"/>
                <w:bCs/>
                <w:color w:val="000000" w:themeColor="text1"/>
                <w:sz w:val="24"/>
                <w:highlight w:val="none"/>
                <w:lang w:val="en-US" w:eastAsia="zh-CN"/>
                <w14:textFill>
                  <w14:solidFill>
                    <w14:schemeClr w14:val="tx1"/>
                  </w14:solidFill>
                </w14:textFill>
              </w:rPr>
              <w:t>(HJ964-2018</w:t>
            </w:r>
            <w:r>
              <w:rPr>
                <w:rFonts w:hint="eastAsia" w:ascii="Times New Roman" w:hAnsi="Times New Roman" w:cs="Times New Roman"/>
                <w:bCs/>
                <w:color w:val="000000" w:themeColor="text1"/>
                <w:sz w:val="24"/>
                <w:highlight w:val="none"/>
                <w:lang w:val="en-US" w:eastAsia="zh-CN"/>
                <w14:textFill>
                  <w14:solidFill>
                    <w14:schemeClr w14:val="tx1"/>
                  </w14:solidFill>
                </w14:textFill>
              </w:rPr>
              <w:t>）附录</w:t>
            </w:r>
            <w:r>
              <w:rPr>
                <w:rFonts w:hint="default" w:ascii="Times New Roman" w:hAnsi="Times New Roman" w:cs="Times New Roman"/>
                <w:bCs/>
                <w:color w:val="000000" w:themeColor="text1"/>
                <w:sz w:val="24"/>
                <w:highlight w:val="none"/>
                <w:lang w:val="en-US" w:eastAsia="zh-CN"/>
                <w14:textFill>
                  <w14:solidFill>
                    <w14:schemeClr w14:val="tx1"/>
                  </w14:solidFill>
                </w14:textFill>
              </w:rPr>
              <w:t>A</w:t>
            </w:r>
            <w:r>
              <w:rPr>
                <w:rFonts w:hint="eastAsia" w:ascii="Times New Roman" w:hAnsi="Times New Roman" w:cs="Times New Roman"/>
                <w:bCs/>
                <w:color w:val="000000" w:themeColor="text1"/>
                <w:sz w:val="24"/>
                <w:highlight w:val="none"/>
                <w:lang w:val="en-US" w:eastAsia="zh-CN"/>
                <w14:textFill>
                  <w14:solidFill>
                    <w14:schemeClr w14:val="tx1"/>
                  </w14:solidFill>
                </w14:textFill>
              </w:rPr>
              <w:t>土壤环境影响评价行业分类表，本项目为天然气评价井项目，属于“其他行业”，为土壤</w:t>
            </w:r>
            <w:r>
              <w:rPr>
                <w:rFonts w:hint="default" w:ascii="Times New Roman" w:hAnsi="Times New Roman" w:cs="Times New Roman"/>
                <w:bCs/>
                <w:color w:val="000000" w:themeColor="text1"/>
                <w:sz w:val="24"/>
                <w:highlight w:val="none"/>
                <w:lang w:val="en-US" w:eastAsia="zh-CN"/>
                <w14:textFill>
                  <w14:solidFill>
                    <w14:schemeClr w14:val="tx1"/>
                  </w14:solidFill>
                </w14:textFill>
              </w:rPr>
              <w:t>Ⅳ</w:t>
            </w:r>
            <w:r>
              <w:rPr>
                <w:rFonts w:hint="eastAsia" w:ascii="Times New Roman" w:hAnsi="Times New Roman" w:cs="Times New Roman"/>
                <w:bCs/>
                <w:color w:val="000000" w:themeColor="text1"/>
                <w:sz w:val="24"/>
                <w:highlight w:val="none"/>
                <w:lang w:val="en-US" w:eastAsia="zh-CN"/>
                <w14:textFill>
                  <w14:solidFill>
                    <w14:schemeClr w14:val="tx1"/>
                  </w14:solidFill>
                </w14:textFill>
              </w:rPr>
              <w:t>类建设项目，无需开展土壤环境质量现状调查。</w:t>
            </w:r>
          </w:p>
          <w:p w14:paraId="1EB0B5E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Cs/>
                <w:color w:val="000000" w:themeColor="text1"/>
                <w:sz w:val="24"/>
                <w:highlight w:val="none"/>
                <w:lang w:val="en-US" w:eastAsia="zh-CN"/>
                <w14:textFill>
                  <w14:solidFill>
                    <w14:schemeClr w14:val="tx1"/>
                  </w14:solidFill>
                </w14:textFill>
              </w:rPr>
              <w:t>土壤污染途径主要分为大气沉降、地面漫流和垂直入渗。本项目钻井过程中，不可避免地将有少量地下的易燃气体排出，但污染物通过“大气沉降”方式对项目区土壤影响甚微。且本项目钻井平台区和钻具区、泥浆不落地系统区、岩屑暂存箱区等采取重点防渗措施，地面底部利用机械将衬层压实，铺设防渗材料，危险废物采用撬装式危废贮存库收集，落实以上措施后可避免土壤污染，因此不开展土壤环境质量现状调查。</w:t>
            </w:r>
          </w:p>
        </w:tc>
      </w:tr>
      <w:tr w14:paraId="2F402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dxa"/>
            <w:vAlign w:val="center"/>
          </w:tcPr>
          <w:p w14:paraId="1650E562">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与项目有关的原有环境污染和生态破坏问题</w:t>
            </w:r>
          </w:p>
        </w:tc>
        <w:tc>
          <w:tcPr>
            <w:tcW w:w="8521" w:type="dxa"/>
            <w:vAlign w:val="center"/>
          </w:tcPr>
          <w:p w14:paraId="67FE911C">
            <w:pPr>
              <w:numPr>
                <w:ilvl w:val="0"/>
                <w:numId w:val="0"/>
              </w:numPr>
              <w:ind w:firstLine="480" w:firstLineChars="200"/>
              <w:jc w:val="both"/>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本项目为新建项目，不存在原有环境污染和生态破坏问题。</w:t>
            </w:r>
          </w:p>
        </w:tc>
      </w:tr>
      <w:tr w14:paraId="2AB31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dxa"/>
            <w:vAlign w:val="center"/>
          </w:tcPr>
          <w:p w14:paraId="7F796B54">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生态环境保护目标</w:t>
            </w:r>
          </w:p>
        </w:tc>
        <w:tc>
          <w:tcPr>
            <w:tcW w:w="8521" w:type="dxa"/>
            <w:vAlign w:val="center"/>
          </w:tcPr>
          <w:p w14:paraId="1A44A693">
            <w:pPr>
              <w:keepNext w:val="0"/>
              <w:keepLines w:val="0"/>
              <w:pageBreakBefore w:val="0"/>
              <w:widowControl w:val="0"/>
              <w:kinsoku/>
              <w:wordWrap/>
              <w:overflowPunct/>
              <w:topLinePunct w:val="0"/>
              <w:autoSpaceDE/>
              <w:autoSpaceDN/>
              <w:bidi w:val="0"/>
              <w:adjustRightInd w:val="0"/>
              <w:snapToGrid/>
              <w:spacing w:line="360" w:lineRule="auto"/>
              <w:ind w:firstLine="482" w:firstLineChars="200"/>
              <w:jc w:val="both"/>
              <w:textAlignment w:val="auto"/>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1.生态环境</w:t>
            </w:r>
          </w:p>
          <w:p w14:paraId="367A0DB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cs="Times New Roman"/>
                <w:bCs/>
                <w:color w:val="000000" w:themeColor="text1"/>
                <w:sz w:val="24"/>
                <w:highlight w:val="none"/>
                <w:lang w:val="en-US" w:eastAsia="zh-CN"/>
                <w14:textFill>
                  <w14:solidFill>
                    <w14:schemeClr w14:val="tx1"/>
                  </w14:solidFill>
                </w14:textFill>
              </w:rPr>
            </w:pPr>
            <w:r>
              <w:rPr>
                <w:rFonts w:hint="eastAsia" w:ascii="Times New Roman" w:hAnsi="Times New Roman" w:cs="Times New Roman"/>
                <w:bCs/>
                <w:color w:val="000000" w:themeColor="text1"/>
                <w:sz w:val="24"/>
                <w:highlight w:val="none"/>
                <w:lang w:val="en-US" w:eastAsia="zh-CN"/>
                <w14:textFill>
                  <w14:solidFill>
                    <w14:schemeClr w14:val="tx1"/>
                  </w14:solidFill>
                </w14:textFill>
              </w:rPr>
              <w:t>参考《</w:t>
            </w:r>
            <w:r>
              <w:rPr>
                <w:rFonts w:hint="default" w:ascii="Times New Roman" w:hAnsi="Times New Roman" w:cs="Times New Roman"/>
                <w:bCs/>
                <w:color w:val="000000" w:themeColor="text1"/>
                <w:sz w:val="24"/>
                <w:highlight w:val="none"/>
                <w14:textFill>
                  <w14:solidFill>
                    <w14:schemeClr w14:val="tx1"/>
                  </w14:solidFill>
                </w14:textFill>
              </w:rPr>
              <w:t>环境影响评价技术导则</w:t>
            </w:r>
            <w:r>
              <w:rPr>
                <w:rFonts w:hint="eastAsia" w:ascii="Times New Roman" w:hAnsi="Times New Roman" w:cs="Times New Roman"/>
                <w:bCs/>
                <w:color w:val="000000" w:themeColor="text1"/>
                <w:sz w:val="24"/>
                <w:highlight w:val="none"/>
                <w:lang w:val="en-US" w:eastAsia="zh-CN"/>
                <w14:textFill>
                  <w14:solidFill>
                    <w14:schemeClr w14:val="tx1"/>
                  </w14:solidFill>
                </w14:textFill>
              </w:rPr>
              <w:t xml:space="preserve"> </w:t>
            </w:r>
            <w:r>
              <w:rPr>
                <w:rFonts w:hint="default" w:ascii="Times New Roman" w:hAnsi="Times New Roman" w:cs="Times New Roman"/>
                <w:bCs/>
                <w:color w:val="000000" w:themeColor="text1"/>
                <w:sz w:val="24"/>
                <w:highlight w:val="none"/>
                <w14:textFill>
                  <w14:solidFill>
                    <w14:schemeClr w14:val="tx1"/>
                  </w14:solidFill>
                </w14:textFill>
              </w:rPr>
              <w:t>陆地石油天然气开发建设项目</w:t>
            </w:r>
            <w:r>
              <w:rPr>
                <w:rFonts w:hint="eastAsia" w:ascii="Times New Roman" w:hAnsi="Times New Roman" w:cs="Times New Roman"/>
                <w:bCs/>
                <w:color w:val="000000" w:themeColor="text1"/>
                <w:sz w:val="24"/>
                <w:highlight w:val="none"/>
                <w:lang w:val="en-US" w:eastAsia="zh-CN"/>
                <w14:textFill>
                  <w14:solidFill>
                    <w14:schemeClr w14:val="tx1"/>
                  </w14:solidFill>
                </w14:textFill>
              </w:rPr>
              <w:t>》（HJ 349—2023），井场工程以场界周围50m范围为评价范围。</w:t>
            </w:r>
          </w:p>
          <w:p w14:paraId="1A3FFA1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cs="Times New Roman"/>
                <w:bCs/>
                <w:color w:val="000000" w:themeColor="text1"/>
                <w:sz w:val="24"/>
                <w:highlight w:val="none"/>
                <w:lang w:val="en-US" w:eastAsia="zh-CN"/>
                <w14:textFill>
                  <w14:solidFill>
                    <w14:schemeClr w14:val="tx1"/>
                  </w14:solidFill>
                </w14:textFill>
              </w:rPr>
              <w:t>根据调查，</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本项目井场</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评价范围内</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不涉及森林公园、自然保护区、风景名胜区、世界文化和自然遗产地、文物古迹、饮用水源保护区等环境敏感区，不涉及生态红线保护区。</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项目</w:t>
            </w:r>
            <w:r>
              <w:rPr>
                <w:rFonts w:hint="default" w:ascii="Times New Roman" w:hAnsi="Times New Roman" w:eastAsia="宋体" w:cs="Times New Roman"/>
                <w:bCs/>
                <w:color w:val="000000" w:themeColor="text1"/>
                <w:sz w:val="24"/>
                <w:highlight w:val="none"/>
                <w14:textFill>
                  <w14:solidFill>
                    <w14:schemeClr w14:val="tx1"/>
                  </w14:solidFill>
                </w14:textFill>
              </w:rPr>
              <w:t>占地范围内的用地类型主要为</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工矿用地、耕地、</w:t>
            </w:r>
            <w:r>
              <w:rPr>
                <w:rFonts w:hint="eastAsia"/>
                <w:bCs/>
                <w:color w:val="000000" w:themeColor="text1"/>
                <w:sz w:val="24"/>
                <w:szCs w:val="24"/>
                <w:highlight w:val="none"/>
                <w:lang w:val="en-US" w:eastAsia="zh-CN" w:bidi="ar"/>
                <w14:textFill>
                  <w14:solidFill>
                    <w14:schemeClr w14:val="tx1"/>
                  </w14:solidFill>
                </w14:textFill>
              </w:rPr>
              <w:t>林地和草地</w:t>
            </w:r>
            <w:r>
              <w:rPr>
                <w:rFonts w:hint="default" w:ascii="Times New Roman" w:hAnsi="Times New Roman" w:eastAsia="宋体" w:cs="Times New Roman"/>
                <w:bCs/>
                <w:color w:val="000000" w:themeColor="text1"/>
                <w:sz w:val="24"/>
                <w:highlight w:val="none"/>
                <w14:textFill>
                  <w14:solidFill>
                    <w14:schemeClr w14:val="tx1"/>
                  </w14:solidFill>
                </w14:textFill>
              </w:rPr>
              <w:t>，</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不涉及基本农田，</w:t>
            </w:r>
            <w:r>
              <w:rPr>
                <w:rFonts w:hint="default" w:ascii="Times New Roman" w:hAnsi="Times New Roman" w:eastAsia="宋体" w:cs="Times New Roman"/>
                <w:bCs/>
                <w:color w:val="000000" w:themeColor="text1"/>
                <w:sz w:val="24"/>
                <w:highlight w:val="none"/>
                <w14:textFill>
                  <w14:solidFill>
                    <w14:schemeClr w14:val="tx1"/>
                  </w14:solidFill>
                </w14:textFill>
              </w:rPr>
              <w:t>无珍稀野生动植物分布。</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故</w:t>
            </w:r>
            <w:r>
              <w:rPr>
                <w:rFonts w:hint="default" w:ascii="Times New Roman" w:hAnsi="Times New Roman" w:eastAsia="宋体" w:cs="Times New Roman"/>
                <w:bCs/>
                <w:color w:val="000000" w:themeColor="text1"/>
                <w:sz w:val="24"/>
                <w:highlight w:val="none"/>
                <w14:textFill>
                  <w14:solidFill>
                    <w14:schemeClr w14:val="tx1"/>
                  </w14:solidFill>
                </w14:textFill>
              </w:rPr>
              <w:t>本项目生态保护目标为</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临时占地及影响范围内的</w:t>
            </w:r>
            <w:r>
              <w:rPr>
                <w:rFonts w:hint="default" w:ascii="Times New Roman" w:hAnsi="Times New Roman" w:eastAsia="宋体" w:cs="Times New Roman"/>
                <w:bCs/>
                <w:color w:val="000000" w:themeColor="text1"/>
                <w:sz w:val="24"/>
                <w:highlight w:val="none"/>
                <w14:textFill>
                  <w14:solidFill>
                    <w14:schemeClr w14:val="tx1"/>
                  </w14:solidFill>
                </w14:textFill>
              </w:rPr>
              <w:t>土壤、植被、景观、水土流失、生态系统等</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w:t>
            </w:r>
          </w:p>
          <w:p w14:paraId="1B956DA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b/>
                <w:bCs/>
                <w:color w:val="000000" w:themeColor="text1"/>
                <w:kern w:val="0"/>
                <w:sz w:val="24"/>
                <w:highlight w:val="none"/>
                <w14:textFill>
                  <w14:solidFill>
                    <w14:schemeClr w14:val="tx1"/>
                  </w14:solidFill>
                </w14:textFill>
              </w:rPr>
            </w:pPr>
            <w:r>
              <w:rPr>
                <w:rFonts w:hint="default" w:ascii="Times New Roman" w:hAnsi="Times New Roman" w:cs="Times New Roman"/>
                <w:b/>
                <w:bCs/>
                <w:color w:val="000000" w:themeColor="text1"/>
                <w:kern w:val="0"/>
                <w:sz w:val="24"/>
                <w:highlight w:val="none"/>
                <w14:textFill>
                  <w14:solidFill>
                    <w14:schemeClr w14:val="tx1"/>
                  </w14:solidFill>
                </w14:textFill>
              </w:rPr>
              <w:t>2</w:t>
            </w:r>
            <w:r>
              <w:rPr>
                <w:rFonts w:hint="default" w:ascii="Times New Roman" w:hAnsi="Times New Roman" w:cs="Times New Roman"/>
                <w:b/>
                <w:bCs/>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b/>
                <w:bCs/>
                <w:color w:val="000000" w:themeColor="text1"/>
                <w:kern w:val="0"/>
                <w:sz w:val="24"/>
                <w:highlight w:val="none"/>
                <w14:textFill>
                  <w14:solidFill>
                    <w14:schemeClr w14:val="tx1"/>
                  </w14:solidFill>
                </w14:textFill>
              </w:rPr>
              <w:t>大气环境</w:t>
            </w:r>
          </w:p>
          <w:p w14:paraId="39E2C488">
            <w:pPr>
              <w:adjustRightInd w:val="0"/>
              <w:snapToGrid w:val="0"/>
              <w:spacing w:line="360" w:lineRule="auto"/>
              <w:ind w:firstLine="48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本项目周边500m范围内无自然保护区、风景名胜区</w:t>
            </w:r>
            <w:r>
              <w:rPr>
                <w:rFonts w:hint="eastAsia" w:ascii="Times New Roman" w:hAnsi="Times New Roman" w:cs="Times New Roman"/>
                <w:bCs/>
                <w:color w:val="000000" w:themeColor="text1"/>
                <w:sz w:val="24"/>
                <w:lang w:val="en-US" w:eastAsia="zh-CN"/>
                <w14:textFill>
                  <w14:solidFill>
                    <w14:schemeClr w14:val="tx1"/>
                  </w14:solidFill>
                </w14:textFill>
              </w:rPr>
              <w:t>等，井场周边敏感目标主要为居民</w:t>
            </w:r>
            <w:r>
              <w:rPr>
                <w:rFonts w:hint="default" w:ascii="Times New Roman" w:hAnsi="Times New Roman" w:cs="Times New Roman"/>
                <w:bCs/>
                <w:color w:val="000000" w:themeColor="text1"/>
                <w:sz w:val="24"/>
                <w14:textFill>
                  <w14:solidFill>
                    <w14:schemeClr w14:val="tx1"/>
                  </w14:solidFill>
                </w14:textFill>
              </w:rPr>
              <w:t>。</w:t>
            </w:r>
          </w:p>
          <w:p w14:paraId="1BBF935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b/>
                <w:bCs/>
                <w:color w:val="000000" w:themeColor="text1"/>
                <w:kern w:val="0"/>
                <w:sz w:val="24"/>
                <w:highlight w:val="none"/>
                <w14:textFill>
                  <w14:solidFill>
                    <w14:schemeClr w14:val="tx1"/>
                  </w14:solidFill>
                </w14:textFill>
              </w:rPr>
            </w:pPr>
            <w:r>
              <w:rPr>
                <w:rFonts w:hint="default" w:ascii="Times New Roman" w:hAnsi="Times New Roman" w:cs="Times New Roman"/>
                <w:b/>
                <w:bCs/>
                <w:color w:val="000000" w:themeColor="text1"/>
                <w:kern w:val="0"/>
                <w:sz w:val="24"/>
                <w:highlight w:val="none"/>
                <w14:textFill>
                  <w14:solidFill>
                    <w14:schemeClr w14:val="tx1"/>
                  </w14:solidFill>
                </w14:textFill>
              </w:rPr>
              <w:t>3</w:t>
            </w:r>
            <w:r>
              <w:rPr>
                <w:rFonts w:hint="default" w:ascii="Times New Roman" w:hAnsi="Times New Roman" w:cs="Times New Roman"/>
                <w:b/>
                <w:bCs/>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b/>
                <w:bCs/>
                <w:color w:val="000000" w:themeColor="text1"/>
                <w:kern w:val="0"/>
                <w:sz w:val="24"/>
                <w:highlight w:val="none"/>
                <w14:textFill>
                  <w14:solidFill>
                    <w14:schemeClr w14:val="tx1"/>
                  </w14:solidFill>
                </w14:textFill>
              </w:rPr>
              <w:t>声环境</w:t>
            </w:r>
          </w:p>
          <w:p w14:paraId="17CA30E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本</w:t>
            </w:r>
            <w:r>
              <w:rPr>
                <w:rFonts w:hint="default" w:ascii="Times New Roman" w:hAnsi="Times New Roman" w:cs="Times New Roman"/>
                <w:color w:val="000000" w:themeColor="text1"/>
                <w:sz w:val="24"/>
                <w:highlight w:val="none"/>
                <w14:textFill>
                  <w14:solidFill>
                    <w14:schemeClr w14:val="tx1"/>
                  </w14:solidFill>
                </w14:textFill>
              </w:rPr>
              <w:t>项目</w:t>
            </w:r>
            <w:r>
              <w:rPr>
                <w:rFonts w:hint="default" w:ascii="Times New Roman" w:hAnsi="Times New Roman" w:cs="Times New Roman"/>
                <w:color w:val="000000" w:themeColor="text1"/>
                <w:sz w:val="24"/>
                <w:highlight w:val="none"/>
                <w:lang w:eastAsia="zh-CN"/>
                <w14:textFill>
                  <w14:solidFill>
                    <w14:schemeClr w14:val="tx1"/>
                  </w14:solidFill>
                </w14:textFill>
              </w:rPr>
              <w:t>井场</w:t>
            </w:r>
            <w:r>
              <w:rPr>
                <w:rFonts w:hint="default" w:ascii="Times New Roman" w:hAnsi="Times New Roman" w:cs="Times New Roman"/>
                <w:color w:val="000000" w:themeColor="text1"/>
                <w:sz w:val="24"/>
                <w:highlight w:val="none"/>
                <w14:textFill>
                  <w14:solidFill>
                    <w14:schemeClr w14:val="tx1"/>
                  </w14:solidFill>
                </w14:textFill>
              </w:rPr>
              <w:t>外50</w:t>
            </w:r>
            <w:r>
              <w:rPr>
                <w:rFonts w:hint="default" w:ascii="Times New Roman" w:hAnsi="Times New Roman" w:cs="Times New Roman"/>
                <w:color w:val="000000" w:themeColor="text1"/>
                <w:sz w:val="24"/>
                <w:highlight w:val="none"/>
                <w:lang w:val="en-US" w:eastAsia="zh-CN"/>
                <w14:textFill>
                  <w14:solidFill>
                    <w14:schemeClr w14:val="tx1"/>
                  </w14:solidFill>
                </w14:textFill>
              </w:rPr>
              <w:t>m</w:t>
            </w:r>
            <w:r>
              <w:rPr>
                <w:rFonts w:hint="default" w:ascii="Times New Roman" w:hAnsi="Times New Roman" w:cs="Times New Roman"/>
                <w:color w:val="000000" w:themeColor="text1"/>
                <w:sz w:val="24"/>
                <w:highlight w:val="none"/>
                <w14:textFill>
                  <w14:solidFill>
                    <w14:schemeClr w14:val="tx1"/>
                  </w14:solidFill>
                </w14:textFill>
              </w:rPr>
              <w:t>范围内无声环境保护目标。</w:t>
            </w:r>
          </w:p>
          <w:p w14:paraId="56D2568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b/>
                <w:bCs/>
                <w:color w:val="000000" w:themeColor="text1"/>
                <w:kern w:val="0"/>
                <w:sz w:val="24"/>
                <w:highlight w:val="none"/>
                <w14:textFill>
                  <w14:solidFill>
                    <w14:schemeClr w14:val="tx1"/>
                  </w14:solidFill>
                </w14:textFill>
              </w:rPr>
            </w:pPr>
            <w:r>
              <w:rPr>
                <w:rFonts w:hint="default" w:ascii="Times New Roman" w:hAnsi="Times New Roman" w:cs="Times New Roman"/>
                <w:b/>
                <w:bCs/>
                <w:color w:val="000000" w:themeColor="text1"/>
                <w:kern w:val="0"/>
                <w:sz w:val="24"/>
                <w:highlight w:val="none"/>
                <w14:textFill>
                  <w14:solidFill>
                    <w14:schemeClr w14:val="tx1"/>
                  </w14:solidFill>
                </w14:textFill>
              </w:rPr>
              <w:t>4</w:t>
            </w:r>
            <w:r>
              <w:rPr>
                <w:rFonts w:hint="default" w:ascii="Times New Roman" w:hAnsi="Times New Roman" w:cs="Times New Roman"/>
                <w:b/>
                <w:bCs/>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b/>
                <w:bCs/>
                <w:color w:val="000000" w:themeColor="text1"/>
                <w:kern w:val="0"/>
                <w:sz w:val="24"/>
                <w:highlight w:val="none"/>
                <w14:textFill>
                  <w14:solidFill>
                    <w14:schemeClr w14:val="tx1"/>
                  </w14:solidFill>
                </w14:textFill>
              </w:rPr>
              <w:t>地表水环境</w:t>
            </w:r>
          </w:p>
          <w:p w14:paraId="36668E51">
            <w:pPr>
              <w:pStyle w:val="3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据现场调查，</w:t>
            </w:r>
            <w:r>
              <w:rPr>
                <w:rFonts w:hint="default" w:ascii="Times New Roman" w:hAnsi="Times New Roman" w:cs="Times New Roman"/>
                <w:snapToGrid w:val="0"/>
                <w:color w:val="000000" w:themeColor="text1"/>
                <w:kern w:val="0"/>
                <w:sz w:val="24"/>
                <w:highlight w:val="none"/>
                <w:shd w:val="clear" w:color="auto" w:fill="auto"/>
                <w14:textFill>
                  <w14:solidFill>
                    <w14:schemeClr w14:val="tx1"/>
                  </w14:solidFill>
                </w14:textFill>
              </w:rPr>
              <w:t>本项目</w:t>
            </w:r>
            <w:r>
              <w:rPr>
                <w:rFonts w:hint="eastAsia" w:ascii="Times New Roman" w:hAnsi="Times New Roman" w:eastAsia="宋体" w:cs="Times New Roman"/>
                <w:snapToGrid w:val="0"/>
                <w:color w:val="000000" w:themeColor="text1"/>
                <w:kern w:val="0"/>
                <w:sz w:val="24"/>
                <w:highlight w:val="none"/>
                <w:shd w:val="clear" w:color="auto" w:fill="auto"/>
                <w:lang w:val="en-US" w:eastAsia="zh-CN"/>
                <w14:textFill>
                  <w14:solidFill>
                    <w14:schemeClr w14:val="tx1"/>
                  </w14:solidFill>
                </w14:textFill>
              </w:rPr>
              <w:t>米37-14M北侧556m处为康家湾，主要功能为行洪、灌溉</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14:paraId="1D9BE01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b/>
                <w:bCs/>
                <w:color w:val="000000" w:themeColor="text1"/>
                <w:kern w:val="0"/>
                <w:sz w:val="24"/>
                <w:highlight w:val="none"/>
                <w14:textFill>
                  <w14:solidFill>
                    <w14:schemeClr w14:val="tx1"/>
                  </w14:solidFill>
                </w14:textFill>
              </w:rPr>
            </w:pPr>
            <w:r>
              <w:rPr>
                <w:rFonts w:hint="default" w:ascii="Times New Roman" w:hAnsi="Times New Roman" w:cs="Times New Roman"/>
                <w:b/>
                <w:bCs/>
                <w:color w:val="000000" w:themeColor="text1"/>
                <w:kern w:val="0"/>
                <w:sz w:val="24"/>
                <w:highlight w:val="none"/>
                <w14:textFill>
                  <w14:solidFill>
                    <w14:schemeClr w14:val="tx1"/>
                  </w14:solidFill>
                </w14:textFill>
              </w:rPr>
              <w:t>5</w:t>
            </w:r>
            <w:r>
              <w:rPr>
                <w:rFonts w:hint="default" w:ascii="Times New Roman" w:hAnsi="Times New Roman" w:cs="Times New Roman"/>
                <w:b/>
                <w:bCs/>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b/>
                <w:bCs/>
                <w:color w:val="000000" w:themeColor="text1"/>
                <w:kern w:val="0"/>
                <w:sz w:val="24"/>
                <w:highlight w:val="none"/>
                <w14:textFill>
                  <w14:solidFill>
                    <w14:schemeClr w14:val="tx1"/>
                  </w14:solidFill>
                </w14:textFill>
              </w:rPr>
              <w:t>地下水环境</w:t>
            </w:r>
          </w:p>
          <w:p w14:paraId="0744478E">
            <w:pPr>
              <w:pStyle w:val="3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项目井场界外500m范围内无地下水集中式</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和分散式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饮用水水源和热水、矿泉水、温泉等特殊地下水资源。</w:t>
            </w:r>
          </w:p>
          <w:p w14:paraId="4448AB95">
            <w:pPr>
              <w:numPr>
                <w:ilvl w:val="0"/>
                <w:numId w:val="0"/>
              </w:numPr>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表3-</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 xml:space="preserve">   主要环境保护目标</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1399"/>
              <w:gridCol w:w="1214"/>
              <w:gridCol w:w="1110"/>
              <w:gridCol w:w="907"/>
              <w:gridCol w:w="997"/>
              <w:gridCol w:w="746"/>
              <w:gridCol w:w="712"/>
              <w:gridCol w:w="832"/>
            </w:tblGrid>
            <w:tr w14:paraId="1B7B4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9" w:type="pct"/>
                  <w:vMerge w:val="restart"/>
                  <w:tcBorders>
                    <w:top w:val="single" w:color="auto" w:sz="4" w:space="0"/>
                    <w:left w:val="single" w:color="auto" w:sz="4" w:space="0"/>
                    <w:right w:val="single" w:color="auto" w:sz="4" w:space="0"/>
                  </w:tcBorders>
                  <w:noWrap w:val="0"/>
                  <w:vAlign w:val="center"/>
                </w:tcPr>
                <w:p w14:paraId="26EFF4B4">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要素</w:t>
                  </w:r>
                </w:p>
              </w:tc>
              <w:tc>
                <w:tcPr>
                  <w:tcW w:w="825" w:type="pct"/>
                  <w:vMerge w:val="restart"/>
                  <w:tcBorders>
                    <w:top w:val="single" w:color="auto" w:sz="4" w:space="0"/>
                    <w:left w:val="single" w:color="auto" w:sz="4" w:space="0"/>
                    <w:bottom w:val="single" w:color="auto" w:sz="4" w:space="0"/>
                    <w:right w:val="single" w:color="auto" w:sz="4" w:space="0"/>
                  </w:tcBorders>
                  <w:noWrap w:val="0"/>
                  <w:vAlign w:val="center"/>
                </w:tcPr>
                <w:p w14:paraId="45F36CBA">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名称</w:t>
                  </w:r>
                </w:p>
              </w:tc>
              <w:tc>
                <w:tcPr>
                  <w:tcW w:w="1371" w:type="pct"/>
                  <w:gridSpan w:val="2"/>
                  <w:tcBorders>
                    <w:top w:val="single" w:color="auto" w:sz="4" w:space="0"/>
                    <w:left w:val="single" w:color="auto" w:sz="4" w:space="0"/>
                    <w:bottom w:val="single" w:color="auto" w:sz="4" w:space="0"/>
                    <w:right w:val="single" w:color="auto" w:sz="4" w:space="0"/>
                  </w:tcBorders>
                  <w:noWrap w:val="0"/>
                  <w:vAlign w:val="center"/>
                </w:tcPr>
                <w:p w14:paraId="5C2E576B">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坐标/</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w:t>
                  </w:r>
                </w:p>
              </w:tc>
              <w:tc>
                <w:tcPr>
                  <w:tcW w:w="535" w:type="pct"/>
                  <w:vMerge w:val="restart"/>
                  <w:tcBorders>
                    <w:top w:val="single" w:color="auto" w:sz="4" w:space="0"/>
                    <w:left w:val="single" w:color="auto" w:sz="4" w:space="0"/>
                    <w:bottom w:val="single" w:color="auto" w:sz="4" w:space="0"/>
                    <w:right w:val="single" w:color="auto" w:sz="4" w:space="0"/>
                  </w:tcBorders>
                  <w:noWrap w:val="0"/>
                  <w:vAlign w:val="center"/>
                </w:tcPr>
                <w:p w14:paraId="16431B40">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保护对象</w:t>
                  </w:r>
                </w:p>
              </w:tc>
              <w:tc>
                <w:tcPr>
                  <w:tcW w:w="588" w:type="pct"/>
                  <w:vMerge w:val="restart"/>
                  <w:tcBorders>
                    <w:top w:val="single" w:color="auto" w:sz="4" w:space="0"/>
                    <w:left w:val="single" w:color="auto" w:sz="4" w:space="0"/>
                    <w:bottom w:val="single" w:color="auto" w:sz="4" w:space="0"/>
                    <w:right w:val="single" w:color="auto" w:sz="4" w:space="0"/>
                  </w:tcBorders>
                  <w:noWrap w:val="0"/>
                  <w:vAlign w:val="center"/>
                </w:tcPr>
                <w:p w14:paraId="5D69488A">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保护内容</w:t>
                  </w:r>
                </w:p>
              </w:tc>
              <w:tc>
                <w:tcPr>
                  <w:tcW w:w="440" w:type="pct"/>
                  <w:vMerge w:val="restart"/>
                  <w:tcBorders>
                    <w:top w:val="single" w:color="auto" w:sz="4" w:space="0"/>
                    <w:left w:val="single" w:color="auto" w:sz="4" w:space="0"/>
                    <w:bottom w:val="single" w:color="auto" w:sz="4" w:space="0"/>
                    <w:right w:val="single" w:color="auto" w:sz="4" w:space="0"/>
                  </w:tcBorders>
                  <w:noWrap w:val="0"/>
                  <w:vAlign w:val="center"/>
                </w:tcPr>
                <w:p w14:paraId="4067043C">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环境功能区</w:t>
                  </w:r>
                </w:p>
              </w:tc>
              <w:tc>
                <w:tcPr>
                  <w:tcW w:w="420" w:type="pct"/>
                  <w:vMerge w:val="restart"/>
                  <w:tcBorders>
                    <w:top w:val="single" w:color="auto" w:sz="4" w:space="0"/>
                    <w:left w:val="single" w:color="auto" w:sz="4" w:space="0"/>
                    <w:bottom w:val="single" w:color="auto" w:sz="4" w:space="0"/>
                    <w:right w:val="single" w:color="auto" w:sz="4" w:space="0"/>
                  </w:tcBorders>
                  <w:noWrap w:val="0"/>
                  <w:vAlign w:val="center"/>
                </w:tcPr>
                <w:p w14:paraId="14B8FC0D">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相对厂址方位</w:t>
                  </w:r>
                </w:p>
              </w:tc>
              <w:tc>
                <w:tcPr>
                  <w:tcW w:w="490" w:type="pct"/>
                  <w:vMerge w:val="restart"/>
                  <w:tcBorders>
                    <w:top w:val="single" w:color="auto" w:sz="4" w:space="0"/>
                    <w:left w:val="single" w:color="auto" w:sz="4" w:space="0"/>
                    <w:bottom w:val="single" w:color="auto" w:sz="4" w:space="0"/>
                    <w:right w:val="single" w:color="auto" w:sz="4" w:space="0"/>
                  </w:tcBorders>
                  <w:noWrap w:val="0"/>
                  <w:vAlign w:val="center"/>
                </w:tcPr>
                <w:p w14:paraId="798E5468">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相对厂界距离/m</w:t>
                  </w:r>
                </w:p>
              </w:tc>
            </w:tr>
            <w:tr w14:paraId="4CE1F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9" w:type="pct"/>
                  <w:vMerge w:val="continue"/>
                  <w:tcBorders>
                    <w:left w:val="single" w:color="auto" w:sz="4" w:space="0"/>
                    <w:bottom w:val="single" w:color="auto" w:sz="4" w:space="0"/>
                    <w:right w:val="single" w:color="auto" w:sz="4" w:space="0"/>
                  </w:tcBorders>
                  <w:noWrap w:val="0"/>
                  <w:vAlign w:val="center"/>
                </w:tcPr>
                <w:p w14:paraId="71B2A47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25" w:type="pct"/>
                  <w:vMerge w:val="continue"/>
                  <w:tcBorders>
                    <w:top w:val="single" w:color="auto" w:sz="4" w:space="0"/>
                    <w:left w:val="single" w:color="auto" w:sz="4" w:space="0"/>
                    <w:bottom w:val="single" w:color="auto" w:sz="4" w:space="0"/>
                    <w:right w:val="single" w:color="auto" w:sz="4" w:space="0"/>
                  </w:tcBorders>
                  <w:noWrap w:val="0"/>
                  <w:vAlign w:val="center"/>
                </w:tcPr>
                <w:p w14:paraId="2D402BC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716" w:type="pct"/>
                  <w:tcBorders>
                    <w:top w:val="single" w:color="auto" w:sz="4" w:space="0"/>
                    <w:left w:val="single" w:color="auto" w:sz="4" w:space="0"/>
                    <w:bottom w:val="single" w:color="auto" w:sz="4" w:space="0"/>
                    <w:right w:val="single" w:color="auto" w:sz="4" w:space="0"/>
                  </w:tcBorders>
                  <w:noWrap w:val="0"/>
                  <w:vAlign w:val="center"/>
                </w:tcPr>
                <w:p w14:paraId="7E355988">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经度</w:t>
                  </w:r>
                </w:p>
              </w:tc>
              <w:tc>
                <w:tcPr>
                  <w:tcW w:w="654" w:type="pct"/>
                  <w:tcBorders>
                    <w:top w:val="single" w:color="auto" w:sz="4" w:space="0"/>
                    <w:left w:val="single" w:color="auto" w:sz="4" w:space="0"/>
                    <w:bottom w:val="single" w:color="auto" w:sz="4" w:space="0"/>
                    <w:right w:val="single" w:color="auto" w:sz="4" w:space="0"/>
                  </w:tcBorders>
                  <w:noWrap w:val="0"/>
                  <w:vAlign w:val="center"/>
                </w:tcPr>
                <w:p w14:paraId="23A26C9A">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纬度</w:t>
                  </w:r>
                </w:p>
              </w:tc>
              <w:tc>
                <w:tcPr>
                  <w:tcW w:w="535" w:type="pct"/>
                  <w:vMerge w:val="continue"/>
                  <w:tcBorders>
                    <w:top w:val="single" w:color="auto" w:sz="4" w:space="0"/>
                    <w:left w:val="single" w:color="auto" w:sz="4" w:space="0"/>
                    <w:bottom w:val="single" w:color="auto" w:sz="4" w:space="0"/>
                    <w:right w:val="single" w:color="auto" w:sz="4" w:space="0"/>
                  </w:tcBorders>
                  <w:noWrap w:val="0"/>
                  <w:vAlign w:val="center"/>
                </w:tcPr>
                <w:p w14:paraId="1F9117B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88" w:type="pct"/>
                  <w:vMerge w:val="continue"/>
                  <w:tcBorders>
                    <w:top w:val="single" w:color="auto" w:sz="4" w:space="0"/>
                    <w:left w:val="single" w:color="auto" w:sz="4" w:space="0"/>
                    <w:bottom w:val="single" w:color="auto" w:sz="4" w:space="0"/>
                    <w:right w:val="single" w:color="auto" w:sz="4" w:space="0"/>
                  </w:tcBorders>
                  <w:noWrap w:val="0"/>
                  <w:vAlign w:val="center"/>
                </w:tcPr>
                <w:p w14:paraId="2AA062D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0" w:type="pct"/>
                  <w:vMerge w:val="continue"/>
                  <w:tcBorders>
                    <w:top w:val="single" w:color="auto" w:sz="4" w:space="0"/>
                    <w:left w:val="single" w:color="auto" w:sz="4" w:space="0"/>
                    <w:bottom w:val="single" w:color="auto" w:sz="4" w:space="0"/>
                    <w:right w:val="single" w:color="auto" w:sz="4" w:space="0"/>
                  </w:tcBorders>
                  <w:noWrap w:val="0"/>
                  <w:vAlign w:val="center"/>
                </w:tcPr>
                <w:p w14:paraId="2B5D10C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20" w:type="pct"/>
                  <w:vMerge w:val="continue"/>
                  <w:tcBorders>
                    <w:top w:val="single" w:color="auto" w:sz="4" w:space="0"/>
                    <w:left w:val="single" w:color="auto" w:sz="4" w:space="0"/>
                    <w:bottom w:val="single" w:color="auto" w:sz="4" w:space="0"/>
                    <w:right w:val="single" w:color="auto" w:sz="4" w:space="0"/>
                  </w:tcBorders>
                  <w:noWrap w:val="0"/>
                  <w:vAlign w:val="center"/>
                </w:tcPr>
                <w:p w14:paraId="65F2D0F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90" w:type="pct"/>
                  <w:vMerge w:val="continue"/>
                  <w:tcBorders>
                    <w:top w:val="single" w:color="auto" w:sz="4" w:space="0"/>
                    <w:left w:val="single" w:color="auto" w:sz="4" w:space="0"/>
                    <w:bottom w:val="single" w:color="auto" w:sz="4" w:space="0"/>
                    <w:right w:val="single" w:color="auto" w:sz="4" w:space="0"/>
                  </w:tcBorders>
                  <w:noWrap w:val="0"/>
                  <w:vAlign w:val="center"/>
                </w:tcPr>
                <w:p w14:paraId="15FE522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8EA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9" w:type="pct"/>
                  <w:vMerge w:val="restart"/>
                  <w:tcBorders>
                    <w:top w:val="single" w:color="auto" w:sz="4" w:space="0"/>
                    <w:left w:val="single" w:color="auto" w:sz="4" w:space="0"/>
                    <w:right w:val="single" w:color="auto" w:sz="4" w:space="0"/>
                  </w:tcBorders>
                  <w:noWrap w:val="0"/>
                  <w:vAlign w:val="center"/>
                </w:tcPr>
                <w:p w14:paraId="75975C92">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大气环境</w:t>
                  </w:r>
                </w:p>
              </w:tc>
              <w:tc>
                <w:tcPr>
                  <w:tcW w:w="825" w:type="pct"/>
                  <w:tcBorders>
                    <w:top w:val="single" w:color="auto" w:sz="4" w:space="0"/>
                    <w:left w:val="single" w:color="auto" w:sz="4" w:space="0"/>
                    <w:bottom w:val="single" w:color="auto" w:sz="4" w:space="0"/>
                    <w:right w:val="single" w:color="auto" w:sz="4" w:space="0"/>
                  </w:tcBorders>
                  <w:noWrap w:val="0"/>
                  <w:vAlign w:val="center"/>
                </w:tcPr>
                <w:p w14:paraId="4CC005E8">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米172-07</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76145B3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110.080040</w:t>
                  </w:r>
                </w:p>
              </w:tc>
              <w:tc>
                <w:tcPr>
                  <w:tcW w:w="654" w:type="pct"/>
                  <w:tcBorders>
                    <w:top w:val="single" w:color="auto" w:sz="4" w:space="0"/>
                    <w:left w:val="single" w:color="auto" w:sz="4" w:space="0"/>
                    <w:bottom w:val="single" w:color="auto" w:sz="4" w:space="0"/>
                    <w:right w:val="single" w:color="auto" w:sz="4" w:space="0"/>
                  </w:tcBorders>
                  <w:noWrap w:val="0"/>
                  <w:vAlign w:val="center"/>
                </w:tcPr>
                <w:p w14:paraId="085658F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38.221601</w:t>
                  </w:r>
                </w:p>
              </w:tc>
              <w:tc>
                <w:tcPr>
                  <w:tcW w:w="535" w:type="pct"/>
                  <w:tcBorders>
                    <w:top w:val="single" w:color="auto" w:sz="4" w:space="0"/>
                    <w:left w:val="single" w:color="auto" w:sz="4" w:space="0"/>
                    <w:bottom w:val="single" w:color="auto" w:sz="4" w:space="0"/>
                    <w:right w:val="single" w:color="auto" w:sz="4" w:space="0"/>
                  </w:tcBorders>
                  <w:noWrap w:val="0"/>
                  <w:vAlign w:val="center"/>
                </w:tcPr>
                <w:p w14:paraId="30E1D26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柳家梁</w:t>
                  </w:r>
                </w:p>
              </w:tc>
              <w:tc>
                <w:tcPr>
                  <w:tcW w:w="588" w:type="pct"/>
                  <w:tcBorders>
                    <w:top w:val="single" w:color="auto" w:sz="4" w:space="0"/>
                    <w:left w:val="single" w:color="auto" w:sz="4" w:space="0"/>
                    <w:bottom w:val="single" w:color="auto" w:sz="4" w:space="0"/>
                    <w:right w:val="single" w:color="auto" w:sz="4" w:space="0"/>
                  </w:tcBorders>
                  <w:noWrap w:val="0"/>
                  <w:vAlign w:val="center"/>
                </w:tcPr>
                <w:p w14:paraId="40EF63DE">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2户6人</w:t>
                  </w:r>
                </w:p>
              </w:tc>
              <w:tc>
                <w:tcPr>
                  <w:tcW w:w="440" w:type="pct"/>
                  <w:tcBorders>
                    <w:top w:val="single" w:color="auto" w:sz="4" w:space="0"/>
                    <w:left w:val="single" w:color="auto" w:sz="4" w:space="0"/>
                    <w:bottom w:val="single" w:color="auto" w:sz="4" w:space="0"/>
                    <w:right w:val="single" w:color="auto" w:sz="4" w:space="0"/>
                  </w:tcBorders>
                  <w:noWrap w:val="0"/>
                  <w:vAlign w:val="center"/>
                </w:tcPr>
                <w:p w14:paraId="68B7900C">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二类区</w:t>
                  </w:r>
                </w:p>
              </w:tc>
              <w:tc>
                <w:tcPr>
                  <w:tcW w:w="420" w:type="pct"/>
                  <w:tcBorders>
                    <w:top w:val="single" w:color="auto" w:sz="4" w:space="0"/>
                    <w:left w:val="single" w:color="auto" w:sz="4" w:space="0"/>
                    <w:bottom w:val="single" w:color="auto" w:sz="4" w:space="0"/>
                    <w:right w:val="single" w:color="auto" w:sz="4" w:space="0"/>
                  </w:tcBorders>
                  <w:noWrap w:val="0"/>
                  <w:vAlign w:val="center"/>
                </w:tcPr>
                <w:p w14:paraId="4CAD2DC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西南</w:t>
                  </w:r>
                </w:p>
              </w:tc>
              <w:tc>
                <w:tcPr>
                  <w:tcW w:w="490" w:type="pct"/>
                  <w:tcBorders>
                    <w:top w:val="single" w:color="auto" w:sz="4" w:space="0"/>
                    <w:left w:val="single" w:color="auto" w:sz="4" w:space="0"/>
                    <w:bottom w:val="single" w:color="auto" w:sz="4" w:space="0"/>
                    <w:right w:val="single" w:color="auto" w:sz="4" w:space="0"/>
                  </w:tcBorders>
                  <w:noWrap w:val="0"/>
                  <w:vAlign w:val="center"/>
                </w:tcPr>
                <w:p w14:paraId="1CB19DD8">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406</w:t>
                  </w:r>
                </w:p>
              </w:tc>
            </w:tr>
            <w:tr w14:paraId="6A5F1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29" w:type="pct"/>
                  <w:vMerge w:val="continue"/>
                  <w:tcBorders>
                    <w:left w:val="single" w:color="auto" w:sz="4" w:space="0"/>
                    <w:right w:val="single" w:color="auto" w:sz="4" w:space="0"/>
                  </w:tcBorders>
                  <w:noWrap w:val="0"/>
                  <w:vAlign w:val="center"/>
                </w:tcPr>
                <w:p w14:paraId="7187EE2B">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825" w:type="pct"/>
                  <w:vMerge w:val="restart"/>
                  <w:tcBorders>
                    <w:top w:val="single" w:color="auto" w:sz="4" w:space="0"/>
                    <w:left w:val="single" w:color="auto" w:sz="4" w:space="0"/>
                    <w:right w:val="single" w:color="auto" w:sz="4" w:space="0"/>
                  </w:tcBorders>
                  <w:noWrap w:val="0"/>
                  <w:vAlign w:val="center"/>
                </w:tcPr>
                <w:p w14:paraId="24A7029E">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米172-08</w:t>
                  </w:r>
                </w:p>
              </w:tc>
              <w:tc>
                <w:tcPr>
                  <w:tcW w:w="716" w:type="pct"/>
                  <w:tcBorders>
                    <w:top w:val="single" w:color="auto" w:sz="4" w:space="0"/>
                    <w:left w:val="single" w:color="auto" w:sz="4" w:space="0"/>
                    <w:bottom w:val="single" w:color="auto" w:sz="4" w:space="0"/>
                    <w:right w:val="single" w:color="auto" w:sz="4" w:space="0"/>
                  </w:tcBorders>
                  <w:noWrap w:val="0"/>
                  <w:vAlign w:val="center"/>
                </w:tcPr>
                <w:p w14:paraId="3092DD5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110.1226</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30</w:t>
                  </w:r>
                </w:p>
              </w:tc>
              <w:tc>
                <w:tcPr>
                  <w:tcW w:w="654" w:type="pct"/>
                  <w:tcBorders>
                    <w:top w:val="single" w:color="auto" w:sz="4" w:space="0"/>
                    <w:left w:val="single" w:color="auto" w:sz="4" w:space="0"/>
                    <w:bottom w:val="single" w:color="auto" w:sz="4" w:space="0"/>
                    <w:right w:val="single" w:color="auto" w:sz="4" w:space="0"/>
                  </w:tcBorders>
                  <w:noWrap w:val="0"/>
                  <w:vAlign w:val="center"/>
                </w:tcPr>
                <w:p w14:paraId="10FD717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38.21467</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535" w:type="pct"/>
                  <w:tcBorders>
                    <w:top w:val="single" w:color="auto" w:sz="4" w:space="0"/>
                    <w:left w:val="single" w:color="auto" w:sz="4" w:space="0"/>
                    <w:bottom w:val="single" w:color="auto" w:sz="4" w:space="0"/>
                    <w:right w:val="single" w:color="auto" w:sz="4" w:space="0"/>
                  </w:tcBorders>
                  <w:noWrap w:val="0"/>
                  <w:vAlign w:val="center"/>
                </w:tcPr>
                <w:p w14:paraId="71000E4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园则河村</w:t>
                  </w:r>
                </w:p>
              </w:tc>
              <w:tc>
                <w:tcPr>
                  <w:tcW w:w="588" w:type="pct"/>
                  <w:tcBorders>
                    <w:top w:val="single" w:color="auto" w:sz="4" w:space="0"/>
                    <w:left w:val="single" w:color="auto" w:sz="4" w:space="0"/>
                    <w:bottom w:val="single" w:color="auto" w:sz="4" w:space="0"/>
                    <w:right w:val="single" w:color="auto" w:sz="4" w:space="0"/>
                  </w:tcBorders>
                  <w:noWrap w:val="0"/>
                  <w:vAlign w:val="center"/>
                </w:tcPr>
                <w:p w14:paraId="26FFFE73">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1户2人</w:t>
                  </w:r>
                </w:p>
              </w:tc>
              <w:tc>
                <w:tcPr>
                  <w:tcW w:w="440" w:type="pct"/>
                  <w:tcBorders>
                    <w:top w:val="single" w:color="auto" w:sz="4" w:space="0"/>
                    <w:left w:val="single" w:color="auto" w:sz="4" w:space="0"/>
                    <w:bottom w:val="single" w:color="auto" w:sz="4" w:space="0"/>
                    <w:right w:val="single" w:color="auto" w:sz="4" w:space="0"/>
                  </w:tcBorders>
                  <w:noWrap w:val="0"/>
                  <w:vAlign w:val="center"/>
                </w:tcPr>
                <w:p w14:paraId="751F5947">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二类区</w:t>
                  </w:r>
                </w:p>
              </w:tc>
              <w:tc>
                <w:tcPr>
                  <w:tcW w:w="420" w:type="pct"/>
                  <w:tcBorders>
                    <w:top w:val="single" w:color="auto" w:sz="4" w:space="0"/>
                    <w:left w:val="single" w:color="auto" w:sz="4" w:space="0"/>
                    <w:bottom w:val="single" w:color="auto" w:sz="4" w:space="0"/>
                    <w:right w:val="single" w:color="auto" w:sz="4" w:space="0"/>
                  </w:tcBorders>
                  <w:noWrap w:val="0"/>
                  <w:vAlign w:val="center"/>
                </w:tcPr>
                <w:p w14:paraId="52086C1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南</w:t>
                  </w:r>
                </w:p>
              </w:tc>
              <w:tc>
                <w:tcPr>
                  <w:tcW w:w="490" w:type="pct"/>
                  <w:tcBorders>
                    <w:top w:val="single" w:color="auto" w:sz="4" w:space="0"/>
                    <w:left w:val="single" w:color="auto" w:sz="4" w:space="0"/>
                    <w:bottom w:val="single" w:color="auto" w:sz="4" w:space="0"/>
                    <w:right w:val="single" w:color="auto" w:sz="4" w:space="0"/>
                  </w:tcBorders>
                  <w:noWrap w:val="0"/>
                  <w:vAlign w:val="center"/>
                </w:tcPr>
                <w:p w14:paraId="7E259396">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491</w:t>
                  </w:r>
                </w:p>
              </w:tc>
            </w:tr>
            <w:tr w14:paraId="48DF2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9" w:type="pct"/>
                  <w:vMerge w:val="continue"/>
                  <w:tcBorders>
                    <w:left w:val="single" w:color="auto" w:sz="4" w:space="0"/>
                    <w:right w:val="single" w:color="auto" w:sz="4" w:space="0"/>
                  </w:tcBorders>
                  <w:noWrap w:val="0"/>
                  <w:vAlign w:val="center"/>
                </w:tcPr>
                <w:p w14:paraId="5943640B">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25" w:type="pct"/>
                  <w:vMerge w:val="continue"/>
                  <w:tcBorders>
                    <w:left w:val="single" w:color="auto" w:sz="4" w:space="0"/>
                    <w:right w:val="single" w:color="auto" w:sz="4" w:space="0"/>
                  </w:tcBorders>
                  <w:noWrap w:val="0"/>
                  <w:vAlign w:val="center"/>
                </w:tcPr>
                <w:p w14:paraId="793381EC">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16" w:type="pct"/>
                  <w:tcBorders>
                    <w:top w:val="single" w:color="auto" w:sz="4" w:space="0"/>
                    <w:left w:val="single" w:color="auto" w:sz="4" w:space="0"/>
                    <w:bottom w:val="single" w:color="auto" w:sz="4" w:space="0"/>
                    <w:right w:val="single" w:color="auto" w:sz="4" w:space="0"/>
                  </w:tcBorders>
                  <w:noWrap w:val="0"/>
                  <w:vAlign w:val="center"/>
                </w:tcPr>
                <w:p w14:paraId="401E94C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110.12909</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654" w:type="pct"/>
                  <w:tcBorders>
                    <w:top w:val="single" w:color="auto" w:sz="4" w:space="0"/>
                    <w:left w:val="single" w:color="auto" w:sz="4" w:space="0"/>
                    <w:bottom w:val="single" w:color="auto" w:sz="4" w:space="0"/>
                    <w:right w:val="single" w:color="auto" w:sz="4" w:space="0"/>
                  </w:tcBorders>
                  <w:noWrap w:val="0"/>
                  <w:vAlign w:val="center"/>
                </w:tcPr>
                <w:p w14:paraId="7B51222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38.21833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535" w:type="pct"/>
                  <w:tcBorders>
                    <w:top w:val="single" w:color="auto" w:sz="4" w:space="0"/>
                    <w:left w:val="single" w:color="auto" w:sz="4" w:space="0"/>
                    <w:bottom w:val="single" w:color="auto" w:sz="4" w:space="0"/>
                    <w:right w:val="single" w:color="auto" w:sz="4" w:space="0"/>
                  </w:tcBorders>
                  <w:noWrap w:val="0"/>
                  <w:vAlign w:val="center"/>
                </w:tcPr>
                <w:p w14:paraId="65A85E5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sz w:val="21"/>
                      <w:szCs w:val="21"/>
                      <w:lang w:val="en-US" w:eastAsia="zh-CN"/>
                      <w14:textFill>
                        <w14:solidFill>
                          <w14:schemeClr w14:val="tx1"/>
                        </w14:solidFill>
                      </w14:textFill>
                    </w:rPr>
                    <w:t>曹新庄村</w:t>
                  </w:r>
                </w:p>
              </w:tc>
              <w:tc>
                <w:tcPr>
                  <w:tcW w:w="588" w:type="pct"/>
                  <w:tcBorders>
                    <w:top w:val="single" w:color="auto" w:sz="4" w:space="0"/>
                    <w:left w:val="single" w:color="auto" w:sz="4" w:space="0"/>
                    <w:bottom w:val="single" w:color="auto" w:sz="4" w:space="0"/>
                    <w:right w:val="single" w:color="auto" w:sz="4" w:space="0"/>
                  </w:tcBorders>
                  <w:noWrap w:val="0"/>
                  <w:vAlign w:val="center"/>
                </w:tcPr>
                <w:p w14:paraId="720F376D">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3户10人</w:t>
                  </w:r>
                </w:p>
              </w:tc>
              <w:tc>
                <w:tcPr>
                  <w:tcW w:w="440" w:type="pct"/>
                  <w:tcBorders>
                    <w:top w:val="single" w:color="auto" w:sz="4" w:space="0"/>
                    <w:left w:val="single" w:color="auto" w:sz="4" w:space="0"/>
                    <w:bottom w:val="single" w:color="auto" w:sz="4" w:space="0"/>
                    <w:right w:val="single" w:color="auto" w:sz="4" w:space="0"/>
                  </w:tcBorders>
                  <w:noWrap w:val="0"/>
                  <w:vAlign w:val="center"/>
                </w:tcPr>
                <w:p w14:paraId="06145C83">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二类区</w:t>
                  </w:r>
                </w:p>
              </w:tc>
              <w:tc>
                <w:tcPr>
                  <w:tcW w:w="420" w:type="pct"/>
                  <w:tcBorders>
                    <w:top w:val="single" w:color="auto" w:sz="4" w:space="0"/>
                    <w:left w:val="single" w:color="auto" w:sz="4" w:space="0"/>
                    <w:bottom w:val="single" w:color="auto" w:sz="4" w:space="0"/>
                    <w:right w:val="single" w:color="auto" w:sz="4" w:space="0"/>
                  </w:tcBorders>
                  <w:noWrap w:val="0"/>
                  <w:vAlign w:val="center"/>
                </w:tcPr>
                <w:p w14:paraId="2003A2B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东</w:t>
                  </w:r>
                </w:p>
              </w:tc>
              <w:tc>
                <w:tcPr>
                  <w:tcW w:w="490" w:type="pct"/>
                  <w:tcBorders>
                    <w:top w:val="single" w:color="auto" w:sz="4" w:space="0"/>
                    <w:left w:val="single" w:color="auto" w:sz="4" w:space="0"/>
                    <w:bottom w:val="single" w:color="auto" w:sz="4" w:space="0"/>
                    <w:right w:val="single" w:color="auto" w:sz="4" w:space="0"/>
                  </w:tcBorders>
                  <w:noWrap w:val="0"/>
                  <w:vAlign w:val="center"/>
                </w:tcPr>
                <w:p w14:paraId="1D8E5921">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379</w:t>
                  </w:r>
                </w:p>
              </w:tc>
            </w:tr>
            <w:tr w14:paraId="70176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9" w:type="pct"/>
                  <w:vMerge w:val="continue"/>
                  <w:tcBorders>
                    <w:left w:val="single" w:color="auto" w:sz="4" w:space="0"/>
                    <w:right w:val="single" w:color="auto" w:sz="4" w:space="0"/>
                  </w:tcBorders>
                  <w:noWrap w:val="0"/>
                  <w:vAlign w:val="center"/>
                </w:tcPr>
                <w:p w14:paraId="56EE3A79">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825" w:type="pct"/>
                  <w:tcBorders>
                    <w:left w:val="single" w:color="auto" w:sz="4" w:space="0"/>
                    <w:right w:val="single" w:color="auto" w:sz="4" w:space="0"/>
                  </w:tcBorders>
                  <w:noWrap w:val="0"/>
                  <w:vAlign w:val="center"/>
                </w:tcPr>
                <w:p w14:paraId="71FAD0B5">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米37-14M</w:t>
                  </w:r>
                </w:p>
              </w:tc>
              <w:tc>
                <w:tcPr>
                  <w:tcW w:w="3845" w:type="pct"/>
                  <w:gridSpan w:val="7"/>
                  <w:vMerge w:val="restart"/>
                  <w:tcBorders>
                    <w:top w:val="single" w:color="auto" w:sz="4" w:space="0"/>
                    <w:left w:val="single" w:color="auto" w:sz="4" w:space="0"/>
                    <w:right w:val="single" w:color="auto" w:sz="4" w:space="0"/>
                  </w:tcBorders>
                  <w:noWrap w:val="0"/>
                  <w:vAlign w:val="center"/>
                </w:tcPr>
                <w:p w14:paraId="4E210742">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周边500m范围内无大气环境保护目标</w:t>
                  </w:r>
                </w:p>
              </w:tc>
            </w:tr>
            <w:tr w14:paraId="6D085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9" w:type="pct"/>
                  <w:vMerge w:val="continue"/>
                  <w:tcBorders>
                    <w:left w:val="single" w:color="auto" w:sz="4" w:space="0"/>
                    <w:right w:val="single" w:color="auto" w:sz="4" w:space="0"/>
                  </w:tcBorders>
                  <w:noWrap w:val="0"/>
                  <w:vAlign w:val="center"/>
                </w:tcPr>
                <w:p w14:paraId="0F4570DE">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825" w:type="pct"/>
                  <w:tcBorders>
                    <w:left w:val="single" w:color="auto" w:sz="4" w:space="0"/>
                    <w:right w:val="single" w:color="auto" w:sz="4" w:space="0"/>
                  </w:tcBorders>
                  <w:noWrap w:val="0"/>
                  <w:vAlign w:val="center"/>
                </w:tcPr>
                <w:p w14:paraId="324568F2">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米172-06</w:t>
                  </w:r>
                </w:p>
              </w:tc>
              <w:tc>
                <w:tcPr>
                  <w:tcW w:w="3845" w:type="pct"/>
                  <w:gridSpan w:val="7"/>
                  <w:vMerge w:val="continue"/>
                  <w:tcBorders>
                    <w:left w:val="single" w:color="auto" w:sz="4" w:space="0"/>
                    <w:right w:val="single" w:color="auto" w:sz="4" w:space="0"/>
                  </w:tcBorders>
                  <w:noWrap w:val="0"/>
                  <w:vAlign w:val="center"/>
                </w:tcPr>
                <w:p w14:paraId="642F4850">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r>
            <w:tr w14:paraId="6A7C5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9" w:type="pct"/>
                  <w:tcBorders>
                    <w:left w:val="single" w:color="auto" w:sz="4" w:space="0"/>
                    <w:right w:val="single" w:color="auto" w:sz="4" w:space="0"/>
                  </w:tcBorders>
                  <w:noWrap w:val="0"/>
                  <w:vAlign w:val="center"/>
                </w:tcPr>
                <w:p w14:paraId="76D3A1F0">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声环境</w:t>
                  </w:r>
                </w:p>
              </w:tc>
              <w:tc>
                <w:tcPr>
                  <w:tcW w:w="825" w:type="pct"/>
                  <w:tcBorders>
                    <w:left w:val="single" w:color="auto" w:sz="4" w:space="0"/>
                    <w:right w:val="single" w:color="auto" w:sz="4" w:space="0"/>
                  </w:tcBorders>
                  <w:noWrap w:val="0"/>
                  <w:vAlign w:val="center"/>
                </w:tcPr>
                <w:p w14:paraId="585504BC">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米172-07、米172-08、米37-14M、米172-06</w:t>
                  </w:r>
                </w:p>
              </w:tc>
              <w:tc>
                <w:tcPr>
                  <w:tcW w:w="3845" w:type="pct"/>
                  <w:gridSpan w:val="7"/>
                  <w:tcBorders>
                    <w:left w:val="single" w:color="auto" w:sz="4" w:space="0"/>
                    <w:right w:val="single" w:color="auto" w:sz="4" w:space="0"/>
                  </w:tcBorders>
                  <w:noWrap w:val="0"/>
                  <w:vAlign w:val="center"/>
                </w:tcPr>
                <w:p w14:paraId="2AE1FD27">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周边200m范围内无声环境保护目标</w:t>
                  </w:r>
                </w:p>
              </w:tc>
            </w:tr>
            <w:tr w14:paraId="62981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9" w:type="pct"/>
                  <w:tcBorders>
                    <w:left w:val="single" w:color="auto" w:sz="4" w:space="0"/>
                    <w:right w:val="single" w:color="auto" w:sz="4" w:space="0"/>
                  </w:tcBorders>
                  <w:noWrap w:val="0"/>
                  <w:vAlign w:val="center"/>
                </w:tcPr>
                <w:p w14:paraId="18329755">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地表水</w:t>
                  </w:r>
                </w:p>
              </w:tc>
              <w:tc>
                <w:tcPr>
                  <w:tcW w:w="825" w:type="pct"/>
                  <w:tcBorders>
                    <w:left w:val="single" w:color="auto" w:sz="4" w:space="0"/>
                    <w:right w:val="single" w:color="auto" w:sz="4" w:space="0"/>
                  </w:tcBorders>
                  <w:noWrap w:val="0"/>
                  <w:vAlign w:val="center"/>
                </w:tcPr>
                <w:p w14:paraId="57AFE603">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米37-14M</w:t>
                  </w:r>
                </w:p>
              </w:tc>
              <w:tc>
                <w:tcPr>
                  <w:tcW w:w="716" w:type="pct"/>
                  <w:tcBorders>
                    <w:left w:val="single" w:color="auto" w:sz="4" w:space="0"/>
                    <w:right w:val="single" w:color="auto" w:sz="4" w:space="0"/>
                  </w:tcBorders>
                  <w:noWrap w:val="0"/>
                  <w:vAlign w:val="center"/>
                </w:tcPr>
                <w:p w14:paraId="208C4625">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110.110656</w:t>
                  </w:r>
                </w:p>
              </w:tc>
              <w:tc>
                <w:tcPr>
                  <w:tcW w:w="654" w:type="pct"/>
                  <w:tcBorders>
                    <w:left w:val="single" w:color="auto" w:sz="4" w:space="0"/>
                    <w:right w:val="single" w:color="auto" w:sz="4" w:space="0"/>
                  </w:tcBorders>
                  <w:noWrap w:val="0"/>
                  <w:vAlign w:val="center"/>
                </w:tcPr>
                <w:p w14:paraId="47C88DE2">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38.275175</w:t>
                  </w:r>
                </w:p>
              </w:tc>
              <w:tc>
                <w:tcPr>
                  <w:tcW w:w="535" w:type="pct"/>
                  <w:tcBorders>
                    <w:left w:val="single" w:color="auto" w:sz="4" w:space="0"/>
                    <w:right w:val="single" w:color="auto" w:sz="4" w:space="0"/>
                  </w:tcBorders>
                  <w:noWrap w:val="0"/>
                  <w:vAlign w:val="center"/>
                </w:tcPr>
                <w:p w14:paraId="76E20D51">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康家湾</w:t>
                  </w:r>
                </w:p>
              </w:tc>
              <w:tc>
                <w:tcPr>
                  <w:tcW w:w="588" w:type="pct"/>
                  <w:tcBorders>
                    <w:left w:val="single" w:color="auto" w:sz="4" w:space="0"/>
                    <w:right w:val="single" w:color="auto" w:sz="4" w:space="0"/>
                  </w:tcBorders>
                  <w:noWrap w:val="0"/>
                  <w:vAlign w:val="center"/>
                </w:tcPr>
                <w:p w14:paraId="3FA650DD">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水质</w:t>
                  </w:r>
                </w:p>
              </w:tc>
              <w:tc>
                <w:tcPr>
                  <w:tcW w:w="440" w:type="pct"/>
                  <w:tcBorders>
                    <w:left w:val="single" w:color="auto" w:sz="4" w:space="0"/>
                    <w:right w:val="single" w:color="auto" w:sz="4" w:space="0"/>
                  </w:tcBorders>
                  <w:noWrap w:val="0"/>
                  <w:vAlign w:val="center"/>
                </w:tcPr>
                <w:p w14:paraId="386FA67C">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Ⅲ类</w:t>
                  </w:r>
                </w:p>
              </w:tc>
              <w:tc>
                <w:tcPr>
                  <w:tcW w:w="420" w:type="pct"/>
                  <w:tcBorders>
                    <w:left w:val="single" w:color="auto" w:sz="4" w:space="0"/>
                    <w:right w:val="single" w:color="auto" w:sz="4" w:space="0"/>
                  </w:tcBorders>
                  <w:noWrap w:val="0"/>
                  <w:vAlign w:val="center"/>
                </w:tcPr>
                <w:p w14:paraId="29E2E52D">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北</w:t>
                  </w:r>
                </w:p>
              </w:tc>
              <w:tc>
                <w:tcPr>
                  <w:tcW w:w="490" w:type="pct"/>
                  <w:tcBorders>
                    <w:left w:val="single" w:color="auto" w:sz="4" w:space="0"/>
                    <w:right w:val="single" w:color="auto" w:sz="4" w:space="0"/>
                  </w:tcBorders>
                  <w:noWrap w:val="0"/>
                  <w:vAlign w:val="center"/>
                </w:tcPr>
                <w:p w14:paraId="0983A80A">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556</w:t>
                  </w:r>
                </w:p>
              </w:tc>
            </w:tr>
            <w:tr w14:paraId="7162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9" w:type="pct"/>
                  <w:tcBorders>
                    <w:left w:val="single" w:color="auto" w:sz="4" w:space="0"/>
                    <w:right w:val="single" w:color="auto" w:sz="4" w:space="0"/>
                  </w:tcBorders>
                  <w:noWrap w:val="0"/>
                  <w:vAlign w:val="center"/>
                </w:tcPr>
                <w:p w14:paraId="10DF02B7">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地下水</w:t>
                  </w:r>
                </w:p>
              </w:tc>
              <w:tc>
                <w:tcPr>
                  <w:tcW w:w="825" w:type="pct"/>
                  <w:tcBorders>
                    <w:left w:val="single" w:color="auto" w:sz="4" w:space="0"/>
                    <w:right w:val="single" w:color="auto" w:sz="4" w:space="0"/>
                  </w:tcBorders>
                  <w:noWrap w:val="0"/>
                  <w:vAlign w:val="center"/>
                </w:tcPr>
                <w:p w14:paraId="57944736">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米172-07、米172-08、米37-14M、米172-06</w:t>
                  </w:r>
                </w:p>
              </w:tc>
              <w:tc>
                <w:tcPr>
                  <w:tcW w:w="3845" w:type="pct"/>
                  <w:gridSpan w:val="7"/>
                  <w:tcBorders>
                    <w:left w:val="single" w:color="auto" w:sz="4" w:space="0"/>
                    <w:right w:val="single" w:color="auto" w:sz="4" w:space="0"/>
                  </w:tcBorders>
                  <w:noWrap w:val="0"/>
                  <w:vAlign w:val="center"/>
                </w:tcPr>
                <w:p w14:paraId="0208B917">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500m范围内无地下水集中式</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和分散式</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饮用水水源和热水、矿泉水、温泉等特殊地下水资源</w:t>
                  </w:r>
                </w:p>
              </w:tc>
            </w:tr>
            <w:tr w14:paraId="074D2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9" w:type="pct"/>
                  <w:tcBorders>
                    <w:left w:val="single" w:color="auto" w:sz="4" w:space="0"/>
                    <w:right w:val="single" w:color="auto" w:sz="4" w:space="0"/>
                  </w:tcBorders>
                  <w:shd w:val="clear" w:color="auto" w:fill="auto"/>
                  <w:noWrap w:val="0"/>
                  <w:vAlign w:val="center"/>
                </w:tcPr>
                <w:p w14:paraId="2187C619">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生态环境</w:t>
                  </w:r>
                </w:p>
              </w:tc>
              <w:tc>
                <w:tcPr>
                  <w:tcW w:w="825" w:type="pct"/>
                  <w:tcBorders>
                    <w:left w:val="single" w:color="auto" w:sz="4" w:space="0"/>
                    <w:right w:val="single" w:color="auto" w:sz="4" w:space="0"/>
                  </w:tcBorders>
                  <w:shd w:val="clear" w:color="auto" w:fill="auto"/>
                  <w:noWrap w:val="0"/>
                  <w:vAlign w:val="center"/>
                </w:tcPr>
                <w:p w14:paraId="6A525E68">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米172-08</w:t>
                  </w:r>
                </w:p>
              </w:tc>
              <w:tc>
                <w:tcPr>
                  <w:tcW w:w="3845" w:type="pct"/>
                  <w:gridSpan w:val="7"/>
                  <w:tcBorders>
                    <w:left w:val="single" w:color="auto" w:sz="4" w:space="0"/>
                    <w:bottom w:val="single" w:color="auto" w:sz="4" w:space="0"/>
                    <w:right w:val="single" w:color="auto" w:sz="4" w:space="0"/>
                  </w:tcBorders>
                  <w:shd w:val="clear" w:color="auto" w:fill="auto"/>
                  <w:noWrap w:val="0"/>
                  <w:vAlign w:val="center"/>
                </w:tcPr>
                <w:p w14:paraId="6FE47D97">
                  <w:pPr>
                    <w:pStyle w:val="5"/>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井场占地范围内的二级公益林</w:t>
                  </w:r>
                </w:p>
              </w:tc>
            </w:tr>
          </w:tbl>
          <w:p w14:paraId="6154EF37">
            <w:pPr>
              <w:numPr>
                <w:ilvl w:val="0"/>
                <w:numId w:val="0"/>
              </w:numPr>
              <w:jc w:val="both"/>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r>
      <w:tr w14:paraId="5CF8A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dxa"/>
            <w:vAlign w:val="center"/>
          </w:tcPr>
          <w:p w14:paraId="6FAD8B78">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评价标准</w:t>
            </w:r>
          </w:p>
        </w:tc>
        <w:tc>
          <w:tcPr>
            <w:tcW w:w="8521" w:type="dxa"/>
            <w:vAlign w:val="center"/>
          </w:tcPr>
          <w:p w14:paraId="39EB0C9F">
            <w:pPr>
              <w:adjustRightInd w:val="0"/>
              <w:snapToGrid w:val="0"/>
              <w:spacing w:line="360" w:lineRule="auto"/>
              <w:ind w:firstLine="480" w:firstLineChars="200"/>
              <w:jc w:val="both"/>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1、环境质量标准</w:t>
            </w:r>
          </w:p>
          <w:p w14:paraId="60B416BA">
            <w:pPr>
              <w:adjustRightInd w:val="0"/>
              <w:snapToGrid w:val="0"/>
              <w:spacing w:line="360" w:lineRule="auto"/>
              <w:ind w:firstLine="480" w:firstLineChars="200"/>
              <w:jc w:val="both"/>
              <w:rPr>
                <w:rFonts w:hint="default" w:ascii="Times New Roman" w:hAnsi="Times New Roman" w:cs="Times New Roman"/>
                <w:color w:val="000000" w:themeColor="text1"/>
                <w:sz w:val="24"/>
                <w:highlight w:val="yellow"/>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（1）环境空气质量：基本因子执行《环境空气质量标准》（GB3095-2012）中二级标准。</w:t>
            </w:r>
          </w:p>
          <w:p w14:paraId="3B5409CD">
            <w:pPr>
              <w:pStyle w:val="26"/>
              <w:ind w:right="91" w:firstLine="482"/>
              <w:jc w:val="center"/>
              <w:rPr>
                <w:rFonts w:hint="default" w:ascii="Times New Roman" w:hAnsi="Times New Roman" w:cs="Times New Roman"/>
                <w:b/>
                <w:bCs/>
                <w:color w:val="000000" w:themeColor="text1"/>
                <w:sz w:val="21"/>
                <w:szCs w:val="21"/>
                <w:lang w:val="en-US" w:bidi="ar-SA"/>
                <w14:textFill>
                  <w14:solidFill>
                    <w14:schemeClr w14:val="tx1"/>
                  </w14:solidFill>
                </w14:textFill>
              </w:rPr>
            </w:pPr>
            <w:r>
              <w:rPr>
                <w:rFonts w:hint="default" w:ascii="Times New Roman" w:hAnsi="Times New Roman" w:cs="Times New Roman"/>
                <w:b/>
                <w:bCs/>
                <w:color w:val="000000" w:themeColor="text1"/>
                <w:sz w:val="21"/>
                <w:szCs w:val="21"/>
                <w:lang w:val="en-US" w:bidi="ar-SA"/>
                <w14:textFill>
                  <w14:solidFill>
                    <w14:schemeClr w14:val="tx1"/>
                  </w14:solidFill>
                </w14:textFill>
              </w:rPr>
              <w:t>表3-</w:t>
            </w:r>
            <w:r>
              <w:rPr>
                <w:rFonts w:hint="eastAsia" w:ascii="Times New Roman" w:hAnsi="Times New Roman" w:cs="Times New Roman"/>
                <w:b/>
                <w:bCs/>
                <w:color w:val="000000" w:themeColor="text1"/>
                <w:sz w:val="21"/>
                <w:szCs w:val="21"/>
                <w:lang w:val="en-US" w:eastAsia="zh-CN" w:bidi="ar-SA"/>
                <w14:textFill>
                  <w14:solidFill>
                    <w14:schemeClr w14:val="tx1"/>
                  </w14:solidFill>
                </w14:textFill>
              </w:rPr>
              <w:t>3</w:t>
            </w:r>
            <w:r>
              <w:rPr>
                <w:rFonts w:hint="default" w:ascii="Times New Roman" w:hAnsi="Times New Roman" w:cs="Times New Roman"/>
                <w:b/>
                <w:bCs/>
                <w:color w:val="000000" w:themeColor="text1"/>
                <w:sz w:val="21"/>
                <w:szCs w:val="21"/>
                <w:lang w:val="en-US" w:bidi="ar-SA"/>
                <w14:textFill>
                  <w14:solidFill>
                    <w14:schemeClr w14:val="tx1"/>
                  </w14:solidFill>
                </w14:textFill>
              </w:rPr>
              <w:t xml:space="preserve">  </w:t>
            </w:r>
            <w:r>
              <w:rPr>
                <w:rFonts w:hint="default" w:ascii="Times New Roman" w:hAnsi="Times New Roman" w:cs="Times New Roman"/>
                <w:b/>
                <w:bCs/>
                <w:color w:val="000000" w:themeColor="text1"/>
                <w:sz w:val="21"/>
                <w:szCs w:val="21"/>
                <w:lang w:val="en-US" w:eastAsia="zh-CN" w:bidi="ar-SA"/>
                <w14:textFill>
                  <w14:solidFill>
                    <w14:schemeClr w14:val="tx1"/>
                  </w14:solidFill>
                </w14:textFill>
              </w:rPr>
              <w:t xml:space="preserve"> </w:t>
            </w:r>
            <w:r>
              <w:rPr>
                <w:rFonts w:hint="default" w:ascii="Times New Roman" w:hAnsi="Times New Roman" w:cs="Times New Roman"/>
                <w:b/>
                <w:bCs/>
                <w:color w:val="000000" w:themeColor="text1"/>
                <w:sz w:val="21"/>
                <w:szCs w:val="21"/>
                <w:lang w:val="en-US" w:bidi="ar-SA"/>
                <w14:textFill>
                  <w14:solidFill>
                    <w14:schemeClr w14:val="tx1"/>
                  </w14:solidFill>
                </w14:textFill>
              </w:rPr>
              <w:t>环境空气质量标准</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7"/>
              <w:gridCol w:w="3048"/>
              <w:gridCol w:w="1508"/>
              <w:gridCol w:w="1507"/>
            </w:tblGrid>
            <w:tr w14:paraId="7518F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120F9F62">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污染物名称</w:t>
                  </w:r>
                </w:p>
              </w:tc>
              <w:tc>
                <w:tcPr>
                  <w:tcW w:w="2686" w:type="pct"/>
                  <w:gridSpan w:val="2"/>
                  <w:noWrap w:val="0"/>
                  <w:vAlign w:val="center"/>
                </w:tcPr>
                <w:p w14:paraId="7F76F3B0">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执行标准</w:t>
                  </w:r>
                </w:p>
              </w:tc>
              <w:tc>
                <w:tcPr>
                  <w:tcW w:w="888" w:type="pct"/>
                  <w:vMerge w:val="restart"/>
                  <w:noWrap w:val="0"/>
                  <w:vAlign w:val="center"/>
                </w:tcPr>
                <w:p w14:paraId="19061832">
                  <w:pPr>
                    <w:pStyle w:val="23"/>
                    <w:spacing w:beforeLines="0" w:afterLines="0" w:line="240" w:lineRule="auto"/>
                    <w:ind w:left="0" w:firstLine="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单位</w:t>
                  </w:r>
                </w:p>
              </w:tc>
            </w:tr>
            <w:tr w14:paraId="6A77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10B12CDB">
                  <w:pPr>
                    <w:jc w:val="center"/>
                    <w:rPr>
                      <w:rFonts w:hint="default" w:ascii="Times New Roman" w:hAnsi="Times New Roman" w:cs="Times New Roman"/>
                      <w:b/>
                      <w:bCs/>
                      <w:color w:val="000000" w:themeColor="text1"/>
                      <w:sz w:val="21"/>
                      <w:szCs w:val="21"/>
                      <w14:textFill>
                        <w14:solidFill>
                          <w14:schemeClr w14:val="tx1"/>
                        </w14:solidFill>
                      </w14:textFill>
                    </w:rPr>
                  </w:pPr>
                </w:p>
              </w:tc>
              <w:tc>
                <w:tcPr>
                  <w:tcW w:w="1797" w:type="pct"/>
                  <w:noWrap w:val="0"/>
                  <w:vAlign w:val="center"/>
                </w:tcPr>
                <w:p w14:paraId="5D011483">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取值时间</w:t>
                  </w:r>
                </w:p>
              </w:tc>
              <w:tc>
                <w:tcPr>
                  <w:tcW w:w="889" w:type="pct"/>
                  <w:noWrap w:val="0"/>
                  <w:vAlign w:val="center"/>
                </w:tcPr>
                <w:p w14:paraId="6D2A45FB">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二级标准</w:t>
                  </w:r>
                </w:p>
              </w:tc>
              <w:tc>
                <w:tcPr>
                  <w:tcW w:w="888" w:type="pct"/>
                  <w:vMerge w:val="continue"/>
                  <w:noWrap w:val="0"/>
                  <w:vAlign w:val="center"/>
                </w:tcPr>
                <w:p w14:paraId="17E824C6">
                  <w:pPr>
                    <w:pStyle w:val="23"/>
                    <w:spacing w:beforeLines="0" w:afterLines="0" w:line="240" w:lineRule="auto"/>
                    <w:ind w:left="0" w:firstLine="0"/>
                    <w:rPr>
                      <w:rFonts w:hint="default" w:ascii="Times New Roman" w:hAnsi="Times New Roman" w:cs="Times New Roman"/>
                      <w:color w:val="000000" w:themeColor="text1"/>
                      <w:sz w:val="21"/>
                      <w:szCs w:val="21"/>
                      <w14:textFill>
                        <w14:solidFill>
                          <w14:schemeClr w14:val="tx1"/>
                        </w14:solidFill>
                      </w14:textFill>
                    </w:rPr>
                  </w:pPr>
                </w:p>
              </w:tc>
            </w:tr>
            <w:tr w14:paraId="5397A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1402E493">
                  <w:pPr>
                    <w:widowControl/>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二氧化硫（SO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w:t>
                  </w:r>
                </w:p>
              </w:tc>
              <w:tc>
                <w:tcPr>
                  <w:tcW w:w="1797" w:type="pct"/>
                  <w:noWrap w:val="0"/>
                  <w:vAlign w:val="center"/>
                </w:tcPr>
                <w:p w14:paraId="57A53B6B">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年平均</w:t>
                  </w:r>
                </w:p>
              </w:tc>
              <w:tc>
                <w:tcPr>
                  <w:tcW w:w="889" w:type="pct"/>
                  <w:noWrap w:val="0"/>
                  <w:vAlign w:val="center"/>
                </w:tcPr>
                <w:p w14:paraId="3C4445F6">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60</w:t>
                  </w:r>
                </w:p>
              </w:tc>
              <w:tc>
                <w:tcPr>
                  <w:tcW w:w="888" w:type="pct"/>
                  <w:vMerge w:val="restart"/>
                  <w:noWrap w:val="0"/>
                  <w:vAlign w:val="center"/>
                </w:tcPr>
                <w:p w14:paraId="5D2A1FE7">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ug/m</w:t>
                  </w:r>
                  <w:r>
                    <w:rPr>
                      <w:rFonts w:hint="default" w:ascii="Times New Roman" w:hAnsi="Times New Roman" w:cs="Times New Roman"/>
                      <w:b w:val="0"/>
                      <w:bCs/>
                      <w:color w:val="000000" w:themeColor="text1"/>
                      <w:sz w:val="21"/>
                      <w:szCs w:val="21"/>
                      <w:vertAlign w:val="superscript"/>
                      <w14:textFill>
                        <w14:solidFill>
                          <w14:schemeClr w14:val="tx1"/>
                        </w14:solidFill>
                      </w14:textFill>
                    </w:rPr>
                    <w:t>3</w:t>
                  </w:r>
                </w:p>
              </w:tc>
            </w:tr>
            <w:tr w14:paraId="53895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2555B0D6">
                  <w:pPr>
                    <w:widowControl/>
                    <w:jc w:val="center"/>
                    <w:rPr>
                      <w:rFonts w:hint="default" w:ascii="Times New Roman" w:hAnsi="Times New Roman" w:cs="Times New Roman"/>
                      <w:color w:val="000000" w:themeColor="text1"/>
                      <w:sz w:val="21"/>
                      <w:szCs w:val="21"/>
                      <w14:textFill>
                        <w14:solidFill>
                          <w14:schemeClr w14:val="tx1"/>
                        </w14:solidFill>
                      </w14:textFill>
                    </w:rPr>
                  </w:pPr>
                </w:p>
              </w:tc>
              <w:tc>
                <w:tcPr>
                  <w:tcW w:w="1797" w:type="pct"/>
                  <w:noWrap w:val="0"/>
                  <w:vAlign w:val="center"/>
                </w:tcPr>
                <w:p w14:paraId="611BEBF8">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24小时平均</w:t>
                  </w:r>
                </w:p>
              </w:tc>
              <w:tc>
                <w:tcPr>
                  <w:tcW w:w="889" w:type="pct"/>
                  <w:noWrap w:val="0"/>
                  <w:vAlign w:val="center"/>
                </w:tcPr>
                <w:p w14:paraId="337F4576">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150</w:t>
                  </w:r>
                </w:p>
              </w:tc>
              <w:tc>
                <w:tcPr>
                  <w:tcW w:w="888" w:type="pct"/>
                  <w:vMerge w:val="continue"/>
                  <w:noWrap w:val="0"/>
                  <w:vAlign w:val="center"/>
                </w:tcPr>
                <w:p w14:paraId="0A00E323">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p>
              </w:tc>
            </w:tr>
            <w:tr w14:paraId="489BE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121C68B6">
                  <w:pPr>
                    <w:widowControl/>
                    <w:jc w:val="center"/>
                    <w:rPr>
                      <w:rFonts w:hint="default" w:ascii="Times New Roman" w:hAnsi="Times New Roman" w:cs="Times New Roman"/>
                      <w:color w:val="000000" w:themeColor="text1"/>
                      <w:sz w:val="21"/>
                      <w:szCs w:val="21"/>
                      <w14:textFill>
                        <w14:solidFill>
                          <w14:schemeClr w14:val="tx1"/>
                        </w14:solidFill>
                      </w14:textFill>
                    </w:rPr>
                  </w:pPr>
                </w:p>
              </w:tc>
              <w:tc>
                <w:tcPr>
                  <w:tcW w:w="1797" w:type="pct"/>
                  <w:noWrap w:val="0"/>
                  <w:vAlign w:val="center"/>
                </w:tcPr>
                <w:p w14:paraId="52D646BE">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1小时平均</w:t>
                  </w:r>
                </w:p>
              </w:tc>
              <w:tc>
                <w:tcPr>
                  <w:tcW w:w="889" w:type="pct"/>
                  <w:noWrap w:val="0"/>
                  <w:vAlign w:val="center"/>
                </w:tcPr>
                <w:p w14:paraId="0842581A">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500</w:t>
                  </w:r>
                </w:p>
              </w:tc>
              <w:tc>
                <w:tcPr>
                  <w:tcW w:w="888" w:type="pct"/>
                  <w:vMerge w:val="continue"/>
                  <w:noWrap w:val="0"/>
                  <w:vAlign w:val="center"/>
                </w:tcPr>
                <w:p w14:paraId="6ABB18F3">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p>
              </w:tc>
            </w:tr>
            <w:tr w14:paraId="743C6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72FFBAE4">
                  <w:pPr>
                    <w:widowControl/>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二氧化氮（NO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w:t>
                  </w:r>
                </w:p>
              </w:tc>
              <w:tc>
                <w:tcPr>
                  <w:tcW w:w="1797" w:type="pct"/>
                  <w:noWrap w:val="0"/>
                  <w:vAlign w:val="center"/>
                </w:tcPr>
                <w:p w14:paraId="7B6A6A3E">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年平均</w:t>
                  </w:r>
                </w:p>
              </w:tc>
              <w:tc>
                <w:tcPr>
                  <w:tcW w:w="889" w:type="pct"/>
                  <w:noWrap w:val="0"/>
                  <w:vAlign w:val="center"/>
                </w:tcPr>
                <w:p w14:paraId="1721A899">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40</w:t>
                  </w:r>
                </w:p>
              </w:tc>
              <w:tc>
                <w:tcPr>
                  <w:tcW w:w="888" w:type="pct"/>
                  <w:vMerge w:val="continue"/>
                  <w:noWrap w:val="0"/>
                  <w:vAlign w:val="center"/>
                </w:tcPr>
                <w:p w14:paraId="103FEBF8">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p>
              </w:tc>
            </w:tr>
            <w:tr w14:paraId="1C9C5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2BF8406D">
                  <w:pPr>
                    <w:widowControl/>
                    <w:jc w:val="center"/>
                    <w:rPr>
                      <w:rFonts w:hint="default" w:ascii="Times New Roman" w:hAnsi="Times New Roman" w:cs="Times New Roman"/>
                      <w:color w:val="000000" w:themeColor="text1"/>
                      <w:sz w:val="21"/>
                      <w:szCs w:val="21"/>
                      <w14:textFill>
                        <w14:solidFill>
                          <w14:schemeClr w14:val="tx1"/>
                        </w14:solidFill>
                      </w14:textFill>
                    </w:rPr>
                  </w:pPr>
                </w:p>
              </w:tc>
              <w:tc>
                <w:tcPr>
                  <w:tcW w:w="1797" w:type="pct"/>
                  <w:noWrap w:val="0"/>
                  <w:vAlign w:val="center"/>
                </w:tcPr>
                <w:p w14:paraId="00D541DF">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24小时平均</w:t>
                  </w:r>
                </w:p>
              </w:tc>
              <w:tc>
                <w:tcPr>
                  <w:tcW w:w="889" w:type="pct"/>
                  <w:noWrap w:val="0"/>
                  <w:vAlign w:val="center"/>
                </w:tcPr>
                <w:p w14:paraId="0A99B016">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80</w:t>
                  </w:r>
                </w:p>
              </w:tc>
              <w:tc>
                <w:tcPr>
                  <w:tcW w:w="888" w:type="pct"/>
                  <w:vMerge w:val="continue"/>
                  <w:noWrap w:val="0"/>
                  <w:vAlign w:val="center"/>
                </w:tcPr>
                <w:p w14:paraId="6098AA22">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p>
              </w:tc>
            </w:tr>
            <w:tr w14:paraId="0406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3E21A7BA">
                  <w:pPr>
                    <w:widowControl/>
                    <w:jc w:val="center"/>
                    <w:rPr>
                      <w:rFonts w:hint="default" w:ascii="Times New Roman" w:hAnsi="Times New Roman" w:cs="Times New Roman"/>
                      <w:color w:val="000000" w:themeColor="text1"/>
                      <w:sz w:val="21"/>
                      <w:szCs w:val="21"/>
                      <w14:textFill>
                        <w14:solidFill>
                          <w14:schemeClr w14:val="tx1"/>
                        </w14:solidFill>
                      </w14:textFill>
                    </w:rPr>
                  </w:pPr>
                </w:p>
              </w:tc>
              <w:tc>
                <w:tcPr>
                  <w:tcW w:w="1797" w:type="pct"/>
                  <w:noWrap w:val="0"/>
                  <w:vAlign w:val="center"/>
                </w:tcPr>
                <w:p w14:paraId="049B82AC">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1小时平均</w:t>
                  </w:r>
                </w:p>
              </w:tc>
              <w:tc>
                <w:tcPr>
                  <w:tcW w:w="889" w:type="pct"/>
                  <w:noWrap w:val="0"/>
                  <w:vAlign w:val="center"/>
                </w:tcPr>
                <w:p w14:paraId="0253224B">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200</w:t>
                  </w:r>
                </w:p>
              </w:tc>
              <w:tc>
                <w:tcPr>
                  <w:tcW w:w="888" w:type="pct"/>
                  <w:vMerge w:val="continue"/>
                  <w:noWrap w:val="0"/>
                  <w:vAlign w:val="center"/>
                </w:tcPr>
                <w:p w14:paraId="1432E878">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p>
              </w:tc>
            </w:tr>
            <w:tr w14:paraId="52BC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0C8395F3">
                  <w:pPr>
                    <w:widowControl/>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颗粒物（PM</w:t>
                  </w:r>
                  <w:r>
                    <w:rPr>
                      <w:rFonts w:hint="default" w:ascii="Times New Roman" w:hAnsi="Times New Roman" w:cs="Times New Roman"/>
                      <w:color w:val="000000" w:themeColor="text1"/>
                      <w:sz w:val="21"/>
                      <w:szCs w:val="21"/>
                      <w:vertAlign w:val="subscript"/>
                      <w14:textFill>
                        <w14:solidFill>
                          <w14:schemeClr w14:val="tx1"/>
                        </w14:solidFill>
                      </w14:textFill>
                    </w:rPr>
                    <w:t>10</w:t>
                  </w:r>
                  <w:r>
                    <w:rPr>
                      <w:rFonts w:hint="default" w:ascii="Times New Roman" w:hAnsi="Times New Roman" w:cs="Times New Roman"/>
                      <w:color w:val="000000" w:themeColor="text1"/>
                      <w:sz w:val="21"/>
                      <w:szCs w:val="21"/>
                      <w14:textFill>
                        <w14:solidFill>
                          <w14:schemeClr w14:val="tx1"/>
                        </w14:solidFill>
                      </w14:textFill>
                    </w:rPr>
                    <w:t>）</w:t>
                  </w:r>
                </w:p>
              </w:tc>
              <w:tc>
                <w:tcPr>
                  <w:tcW w:w="1797" w:type="pct"/>
                  <w:noWrap w:val="0"/>
                  <w:vAlign w:val="center"/>
                </w:tcPr>
                <w:p w14:paraId="709F7F9C">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年平均</w:t>
                  </w:r>
                </w:p>
              </w:tc>
              <w:tc>
                <w:tcPr>
                  <w:tcW w:w="889" w:type="pct"/>
                  <w:noWrap w:val="0"/>
                  <w:vAlign w:val="center"/>
                </w:tcPr>
                <w:p w14:paraId="52BFEFD2">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70</w:t>
                  </w:r>
                </w:p>
              </w:tc>
              <w:tc>
                <w:tcPr>
                  <w:tcW w:w="888" w:type="pct"/>
                  <w:vMerge w:val="continue"/>
                  <w:noWrap w:val="0"/>
                  <w:vAlign w:val="center"/>
                </w:tcPr>
                <w:p w14:paraId="72AA9516">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p>
              </w:tc>
            </w:tr>
            <w:tr w14:paraId="64043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2CA47CF8">
                  <w:pPr>
                    <w:widowControl/>
                    <w:jc w:val="center"/>
                    <w:rPr>
                      <w:rFonts w:hint="default" w:ascii="Times New Roman" w:hAnsi="Times New Roman" w:cs="Times New Roman"/>
                      <w:color w:val="000000" w:themeColor="text1"/>
                      <w:sz w:val="21"/>
                      <w:szCs w:val="21"/>
                      <w14:textFill>
                        <w14:solidFill>
                          <w14:schemeClr w14:val="tx1"/>
                        </w14:solidFill>
                      </w14:textFill>
                    </w:rPr>
                  </w:pPr>
                </w:p>
              </w:tc>
              <w:tc>
                <w:tcPr>
                  <w:tcW w:w="1797" w:type="pct"/>
                  <w:noWrap w:val="0"/>
                  <w:vAlign w:val="center"/>
                </w:tcPr>
                <w:p w14:paraId="5F188FA1">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24小时平均</w:t>
                  </w:r>
                </w:p>
              </w:tc>
              <w:tc>
                <w:tcPr>
                  <w:tcW w:w="889" w:type="pct"/>
                  <w:noWrap w:val="0"/>
                  <w:vAlign w:val="center"/>
                </w:tcPr>
                <w:p w14:paraId="276330B9">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150</w:t>
                  </w:r>
                </w:p>
              </w:tc>
              <w:tc>
                <w:tcPr>
                  <w:tcW w:w="888" w:type="pct"/>
                  <w:vMerge w:val="continue"/>
                  <w:noWrap w:val="0"/>
                  <w:vAlign w:val="center"/>
                </w:tcPr>
                <w:p w14:paraId="0D12CFE1">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p>
              </w:tc>
            </w:tr>
            <w:tr w14:paraId="5581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04E3F84F">
                  <w:pPr>
                    <w:pStyle w:val="5"/>
                    <w:ind w:firstLine="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颗粒物（PM</w:t>
                  </w:r>
                  <w:r>
                    <w:rPr>
                      <w:rFonts w:hint="default" w:ascii="Times New Roman" w:hAnsi="Times New Roman" w:cs="Times New Roman"/>
                      <w:color w:val="000000" w:themeColor="text1"/>
                      <w:sz w:val="21"/>
                      <w:szCs w:val="21"/>
                      <w:vertAlign w:val="subscript"/>
                      <w14:textFill>
                        <w14:solidFill>
                          <w14:schemeClr w14:val="tx1"/>
                        </w14:solidFill>
                      </w14:textFill>
                    </w:rPr>
                    <w:t>2.5</w:t>
                  </w:r>
                  <w:r>
                    <w:rPr>
                      <w:rFonts w:hint="default" w:ascii="Times New Roman" w:hAnsi="Times New Roman" w:cs="Times New Roman"/>
                      <w:color w:val="000000" w:themeColor="text1"/>
                      <w:sz w:val="21"/>
                      <w:szCs w:val="21"/>
                      <w14:textFill>
                        <w14:solidFill>
                          <w14:schemeClr w14:val="tx1"/>
                        </w14:solidFill>
                      </w14:textFill>
                    </w:rPr>
                    <w:t>）</w:t>
                  </w:r>
                </w:p>
              </w:tc>
              <w:tc>
                <w:tcPr>
                  <w:tcW w:w="1797" w:type="pct"/>
                  <w:noWrap w:val="0"/>
                  <w:vAlign w:val="center"/>
                </w:tcPr>
                <w:p w14:paraId="7845B2F8">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年平均</w:t>
                  </w:r>
                </w:p>
              </w:tc>
              <w:tc>
                <w:tcPr>
                  <w:tcW w:w="889" w:type="pct"/>
                  <w:noWrap w:val="0"/>
                  <w:vAlign w:val="center"/>
                </w:tcPr>
                <w:p w14:paraId="12A14BE6">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35</w:t>
                  </w:r>
                </w:p>
              </w:tc>
              <w:tc>
                <w:tcPr>
                  <w:tcW w:w="888" w:type="pct"/>
                  <w:vMerge w:val="continue"/>
                  <w:noWrap w:val="0"/>
                  <w:vAlign w:val="center"/>
                </w:tcPr>
                <w:p w14:paraId="641777FC">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p>
              </w:tc>
            </w:tr>
            <w:tr w14:paraId="29C1F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345F2BB2">
                  <w:pPr>
                    <w:pStyle w:val="5"/>
                    <w:ind w:firstLine="0"/>
                    <w:jc w:val="center"/>
                    <w:rPr>
                      <w:rFonts w:hint="default" w:ascii="Times New Roman" w:hAnsi="Times New Roman" w:cs="Times New Roman"/>
                      <w:color w:val="000000" w:themeColor="text1"/>
                      <w:sz w:val="21"/>
                      <w:szCs w:val="21"/>
                      <w14:textFill>
                        <w14:solidFill>
                          <w14:schemeClr w14:val="tx1"/>
                        </w14:solidFill>
                      </w14:textFill>
                    </w:rPr>
                  </w:pPr>
                </w:p>
              </w:tc>
              <w:tc>
                <w:tcPr>
                  <w:tcW w:w="1797" w:type="pct"/>
                  <w:noWrap w:val="0"/>
                  <w:vAlign w:val="center"/>
                </w:tcPr>
                <w:p w14:paraId="661D5279">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24小时平均</w:t>
                  </w:r>
                </w:p>
              </w:tc>
              <w:tc>
                <w:tcPr>
                  <w:tcW w:w="889" w:type="pct"/>
                  <w:noWrap w:val="0"/>
                  <w:vAlign w:val="center"/>
                </w:tcPr>
                <w:p w14:paraId="0FF95CC8">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75</w:t>
                  </w:r>
                </w:p>
              </w:tc>
              <w:tc>
                <w:tcPr>
                  <w:tcW w:w="888" w:type="pct"/>
                  <w:vMerge w:val="continue"/>
                  <w:noWrap w:val="0"/>
                  <w:vAlign w:val="center"/>
                </w:tcPr>
                <w:p w14:paraId="6C8A2D2A">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p>
              </w:tc>
            </w:tr>
            <w:tr w14:paraId="3FCC9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06C670B6">
                  <w:pPr>
                    <w:pStyle w:val="5"/>
                    <w:ind w:firstLine="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一氧化碳（CO）</w:t>
                  </w:r>
                </w:p>
              </w:tc>
              <w:tc>
                <w:tcPr>
                  <w:tcW w:w="1797" w:type="pct"/>
                  <w:noWrap w:val="0"/>
                  <w:vAlign w:val="center"/>
                </w:tcPr>
                <w:p w14:paraId="12871776">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24小时平均</w:t>
                  </w:r>
                </w:p>
              </w:tc>
              <w:tc>
                <w:tcPr>
                  <w:tcW w:w="889" w:type="pct"/>
                  <w:noWrap w:val="0"/>
                  <w:vAlign w:val="center"/>
                </w:tcPr>
                <w:p w14:paraId="547E8768">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4</w:t>
                  </w:r>
                </w:p>
              </w:tc>
              <w:tc>
                <w:tcPr>
                  <w:tcW w:w="888" w:type="pct"/>
                  <w:vMerge w:val="restart"/>
                  <w:noWrap w:val="0"/>
                  <w:vAlign w:val="center"/>
                </w:tcPr>
                <w:p w14:paraId="431D21B8">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mg/m</w:t>
                  </w:r>
                  <w:r>
                    <w:rPr>
                      <w:rFonts w:hint="default" w:ascii="Times New Roman" w:hAnsi="Times New Roman" w:cs="Times New Roman"/>
                      <w:b w:val="0"/>
                      <w:bCs/>
                      <w:color w:val="000000" w:themeColor="text1"/>
                      <w:sz w:val="21"/>
                      <w:szCs w:val="21"/>
                      <w:vertAlign w:val="superscript"/>
                      <w14:textFill>
                        <w14:solidFill>
                          <w14:schemeClr w14:val="tx1"/>
                        </w14:solidFill>
                      </w14:textFill>
                    </w:rPr>
                    <w:t>3</w:t>
                  </w:r>
                </w:p>
              </w:tc>
            </w:tr>
            <w:tr w14:paraId="7769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472DDFB8">
                  <w:pPr>
                    <w:pStyle w:val="5"/>
                    <w:ind w:firstLine="0"/>
                    <w:jc w:val="center"/>
                    <w:rPr>
                      <w:rFonts w:hint="default" w:ascii="Times New Roman" w:hAnsi="Times New Roman" w:cs="Times New Roman"/>
                      <w:color w:val="000000" w:themeColor="text1"/>
                      <w:sz w:val="21"/>
                      <w:szCs w:val="21"/>
                      <w14:textFill>
                        <w14:solidFill>
                          <w14:schemeClr w14:val="tx1"/>
                        </w14:solidFill>
                      </w14:textFill>
                    </w:rPr>
                  </w:pPr>
                </w:p>
              </w:tc>
              <w:tc>
                <w:tcPr>
                  <w:tcW w:w="1797" w:type="pct"/>
                  <w:noWrap w:val="0"/>
                  <w:vAlign w:val="center"/>
                </w:tcPr>
                <w:p w14:paraId="49FE807C">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1小时平均</w:t>
                  </w:r>
                </w:p>
              </w:tc>
              <w:tc>
                <w:tcPr>
                  <w:tcW w:w="889" w:type="pct"/>
                  <w:noWrap w:val="0"/>
                  <w:vAlign w:val="center"/>
                </w:tcPr>
                <w:p w14:paraId="00F25F4B">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10</w:t>
                  </w:r>
                </w:p>
              </w:tc>
              <w:tc>
                <w:tcPr>
                  <w:tcW w:w="888" w:type="pct"/>
                  <w:vMerge w:val="continue"/>
                  <w:noWrap w:val="0"/>
                  <w:vAlign w:val="center"/>
                </w:tcPr>
                <w:p w14:paraId="6AFF8924">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p>
              </w:tc>
            </w:tr>
            <w:tr w14:paraId="4746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4E628C51">
                  <w:pPr>
                    <w:pStyle w:val="5"/>
                    <w:ind w:firstLine="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臭氧（O</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w:t>
                  </w:r>
                </w:p>
              </w:tc>
              <w:tc>
                <w:tcPr>
                  <w:tcW w:w="1797" w:type="pct"/>
                  <w:noWrap w:val="0"/>
                  <w:vAlign w:val="center"/>
                </w:tcPr>
                <w:p w14:paraId="358873D7">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日最大8h平均</w:t>
                  </w:r>
                </w:p>
              </w:tc>
              <w:tc>
                <w:tcPr>
                  <w:tcW w:w="889" w:type="pct"/>
                  <w:noWrap w:val="0"/>
                  <w:vAlign w:val="center"/>
                </w:tcPr>
                <w:p w14:paraId="55678184">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160</w:t>
                  </w:r>
                </w:p>
              </w:tc>
              <w:tc>
                <w:tcPr>
                  <w:tcW w:w="888" w:type="pct"/>
                  <w:vMerge w:val="restart"/>
                  <w:noWrap w:val="0"/>
                  <w:vAlign w:val="center"/>
                </w:tcPr>
                <w:p w14:paraId="7830AA8E">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ug/m</w:t>
                  </w:r>
                  <w:r>
                    <w:rPr>
                      <w:rFonts w:hint="default" w:ascii="Times New Roman" w:hAnsi="Times New Roman" w:cs="Times New Roman"/>
                      <w:b w:val="0"/>
                      <w:bCs/>
                      <w:color w:val="000000" w:themeColor="text1"/>
                      <w:sz w:val="21"/>
                      <w:szCs w:val="21"/>
                      <w:vertAlign w:val="superscript"/>
                      <w14:textFill>
                        <w14:solidFill>
                          <w14:schemeClr w14:val="tx1"/>
                        </w14:solidFill>
                      </w14:textFill>
                    </w:rPr>
                    <w:t>3</w:t>
                  </w:r>
                </w:p>
              </w:tc>
            </w:tr>
            <w:tr w14:paraId="42C88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0E7024CC">
                  <w:pPr>
                    <w:pStyle w:val="5"/>
                    <w:ind w:firstLine="0"/>
                    <w:jc w:val="center"/>
                    <w:rPr>
                      <w:rFonts w:hint="default" w:ascii="Times New Roman" w:hAnsi="Times New Roman" w:cs="Times New Roman"/>
                      <w:color w:val="000000" w:themeColor="text1"/>
                      <w:sz w:val="21"/>
                      <w:szCs w:val="21"/>
                      <w14:textFill>
                        <w14:solidFill>
                          <w14:schemeClr w14:val="tx1"/>
                        </w14:solidFill>
                      </w14:textFill>
                    </w:rPr>
                  </w:pPr>
                </w:p>
              </w:tc>
              <w:tc>
                <w:tcPr>
                  <w:tcW w:w="1797" w:type="pct"/>
                  <w:noWrap w:val="0"/>
                  <w:vAlign w:val="center"/>
                </w:tcPr>
                <w:p w14:paraId="2947238E">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1小时平均</w:t>
                  </w:r>
                </w:p>
              </w:tc>
              <w:tc>
                <w:tcPr>
                  <w:tcW w:w="889" w:type="pct"/>
                  <w:noWrap w:val="0"/>
                  <w:vAlign w:val="center"/>
                </w:tcPr>
                <w:p w14:paraId="1D3A5B5B">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200</w:t>
                  </w:r>
                </w:p>
              </w:tc>
              <w:tc>
                <w:tcPr>
                  <w:tcW w:w="888" w:type="pct"/>
                  <w:vMerge w:val="continue"/>
                  <w:noWrap w:val="0"/>
                  <w:vAlign w:val="center"/>
                </w:tcPr>
                <w:p w14:paraId="713C1D15">
                  <w:pPr>
                    <w:pStyle w:val="23"/>
                    <w:spacing w:beforeLines="0" w:afterLines="0" w:line="240" w:lineRule="auto"/>
                    <w:ind w:left="0" w:firstLine="0"/>
                    <w:rPr>
                      <w:rFonts w:hint="default" w:ascii="Times New Roman" w:hAnsi="Times New Roman" w:cs="Times New Roman"/>
                      <w:b w:val="0"/>
                      <w:bCs/>
                      <w:color w:val="000000" w:themeColor="text1"/>
                      <w:sz w:val="21"/>
                      <w:szCs w:val="21"/>
                      <w14:textFill>
                        <w14:solidFill>
                          <w14:schemeClr w14:val="tx1"/>
                        </w14:solidFill>
                      </w14:textFill>
                    </w:rPr>
                  </w:pPr>
                </w:p>
              </w:tc>
            </w:tr>
          </w:tbl>
          <w:p w14:paraId="2C1F405F">
            <w:pPr>
              <w:adjustRightInd w:val="0"/>
              <w:snapToGrid w:val="0"/>
              <w:spacing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（2）声环境质量标准：本项目所在区域属</w:t>
            </w:r>
            <w:r>
              <w:rPr>
                <w:rFonts w:hint="eastAsia" w:ascii="Times New Roman" w:hAnsi="Times New Roman" w:eastAsia="宋体"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类声环境功能区，声环境质量执行《声环境质量标准》（GB3096-2008）</w:t>
            </w:r>
            <w:r>
              <w:rPr>
                <w:rFonts w:hint="eastAsia" w:ascii="Times New Roman" w:hAnsi="Times New Roman" w:eastAsia="宋体"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类标准。</w:t>
            </w:r>
          </w:p>
          <w:p w14:paraId="29431B83">
            <w:pPr>
              <w:pStyle w:val="26"/>
              <w:ind w:right="91" w:firstLine="482"/>
              <w:jc w:val="center"/>
              <w:rPr>
                <w:rFonts w:hint="default" w:ascii="Times New Roman" w:hAnsi="Times New Roman" w:cs="Times New Roman"/>
                <w:b/>
                <w:bCs/>
                <w:color w:val="000000" w:themeColor="text1"/>
                <w:sz w:val="21"/>
                <w:szCs w:val="21"/>
                <w:lang w:val="en-US" w:bidi="ar-SA"/>
                <w14:textFill>
                  <w14:solidFill>
                    <w14:schemeClr w14:val="tx1"/>
                  </w14:solidFill>
                </w14:textFill>
              </w:rPr>
            </w:pPr>
            <w:r>
              <w:rPr>
                <w:rFonts w:hint="default" w:ascii="Times New Roman" w:hAnsi="Times New Roman" w:cs="Times New Roman"/>
                <w:b/>
                <w:bCs/>
                <w:color w:val="000000" w:themeColor="text1"/>
                <w:sz w:val="21"/>
                <w:szCs w:val="21"/>
                <w:lang w:val="en-US" w:bidi="ar-SA"/>
                <w14:textFill>
                  <w14:solidFill>
                    <w14:schemeClr w14:val="tx1"/>
                  </w14:solidFill>
                </w14:textFill>
              </w:rPr>
              <w:t>表3-</w:t>
            </w:r>
            <w:r>
              <w:rPr>
                <w:rFonts w:hint="eastAsia" w:ascii="Times New Roman" w:hAnsi="Times New Roman" w:cs="Times New Roman"/>
                <w:b/>
                <w:bCs/>
                <w:color w:val="000000" w:themeColor="text1"/>
                <w:sz w:val="21"/>
                <w:szCs w:val="21"/>
                <w:lang w:val="en-US" w:eastAsia="zh-CN" w:bidi="ar-SA"/>
                <w14:textFill>
                  <w14:solidFill>
                    <w14:schemeClr w14:val="tx1"/>
                  </w14:solidFill>
                </w14:textFill>
              </w:rPr>
              <w:t>4</w:t>
            </w:r>
            <w:r>
              <w:rPr>
                <w:rFonts w:hint="default" w:ascii="Times New Roman" w:hAnsi="Times New Roman" w:cs="Times New Roman"/>
                <w:b/>
                <w:bCs/>
                <w:color w:val="000000" w:themeColor="text1"/>
                <w:sz w:val="21"/>
                <w:szCs w:val="21"/>
                <w:lang w:val="en-US" w:bidi="ar-SA"/>
                <w14:textFill>
                  <w14:solidFill>
                    <w14:schemeClr w14:val="tx1"/>
                  </w14:solidFill>
                </w14:textFill>
              </w:rPr>
              <w:t xml:space="preserve">  </w:t>
            </w:r>
            <w:r>
              <w:rPr>
                <w:rFonts w:hint="default" w:ascii="Times New Roman" w:hAnsi="Times New Roman" w:cs="Times New Roman"/>
                <w:b/>
                <w:bCs/>
                <w:color w:val="000000" w:themeColor="text1"/>
                <w:sz w:val="21"/>
                <w:szCs w:val="21"/>
                <w:lang w:val="en-US" w:eastAsia="zh-CN" w:bidi="ar-SA"/>
                <w14:textFill>
                  <w14:solidFill>
                    <w14:schemeClr w14:val="tx1"/>
                  </w14:solidFill>
                </w14:textFill>
              </w:rPr>
              <w:t xml:space="preserve"> </w:t>
            </w:r>
            <w:r>
              <w:rPr>
                <w:rFonts w:hint="default" w:ascii="Times New Roman" w:hAnsi="Times New Roman" w:cs="Times New Roman"/>
                <w:b/>
                <w:bCs/>
                <w:color w:val="000000" w:themeColor="text1"/>
                <w:sz w:val="21"/>
                <w:szCs w:val="21"/>
                <w:lang w:val="en-US" w:bidi="ar-SA"/>
                <w14:textFill>
                  <w14:solidFill>
                    <w14:schemeClr w14:val="tx1"/>
                  </w14:solidFill>
                </w14:textFill>
              </w:rPr>
              <w:t>环境噪声评价标准    单位：dB(A)</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2934"/>
              <w:gridCol w:w="1305"/>
              <w:gridCol w:w="981"/>
              <w:gridCol w:w="979"/>
              <w:gridCol w:w="928"/>
            </w:tblGrid>
            <w:tr w14:paraId="091CA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798" w:type="pct"/>
                  <w:vMerge w:val="restart"/>
                  <w:noWrap w:val="0"/>
                  <w:vAlign w:val="center"/>
                </w:tcPr>
                <w:p w14:paraId="6D133C8D">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环境类别</w:t>
                  </w:r>
                </w:p>
              </w:tc>
              <w:tc>
                <w:tcPr>
                  <w:tcW w:w="1730" w:type="pct"/>
                  <w:vMerge w:val="restart"/>
                  <w:noWrap w:val="0"/>
                  <w:vAlign w:val="center"/>
                </w:tcPr>
                <w:p w14:paraId="35EF7450">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标准名称及级（类）别</w:t>
                  </w:r>
                </w:p>
              </w:tc>
              <w:tc>
                <w:tcPr>
                  <w:tcW w:w="769" w:type="pct"/>
                  <w:vMerge w:val="restart"/>
                  <w:noWrap w:val="0"/>
                  <w:vAlign w:val="center"/>
                </w:tcPr>
                <w:p w14:paraId="0DC96B57">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项目</w:t>
                  </w:r>
                </w:p>
              </w:tc>
              <w:tc>
                <w:tcPr>
                  <w:tcW w:w="1702" w:type="pct"/>
                  <w:gridSpan w:val="3"/>
                  <w:noWrap w:val="0"/>
                  <w:vAlign w:val="center"/>
                </w:tcPr>
                <w:p w14:paraId="700B9E4D">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标准限值</w:t>
                  </w:r>
                </w:p>
              </w:tc>
            </w:tr>
            <w:tr w14:paraId="7ADE3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798" w:type="pct"/>
                  <w:vMerge w:val="continue"/>
                  <w:noWrap w:val="0"/>
                  <w:vAlign w:val="center"/>
                </w:tcPr>
                <w:p w14:paraId="330F4836">
                  <w:pPr>
                    <w:jc w:val="center"/>
                    <w:rPr>
                      <w:rFonts w:hint="default" w:ascii="Times New Roman" w:hAnsi="Times New Roman" w:cs="Times New Roman"/>
                      <w:b/>
                      <w:bCs/>
                      <w:color w:val="000000" w:themeColor="text1"/>
                      <w:sz w:val="21"/>
                      <w:szCs w:val="21"/>
                      <w14:textFill>
                        <w14:solidFill>
                          <w14:schemeClr w14:val="tx1"/>
                        </w14:solidFill>
                      </w14:textFill>
                    </w:rPr>
                  </w:pPr>
                </w:p>
              </w:tc>
              <w:tc>
                <w:tcPr>
                  <w:tcW w:w="1730" w:type="pct"/>
                  <w:vMerge w:val="continue"/>
                  <w:noWrap w:val="0"/>
                  <w:vAlign w:val="center"/>
                </w:tcPr>
                <w:p w14:paraId="4495D903">
                  <w:pPr>
                    <w:jc w:val="center"/>
                    <w:rPr>
                      <w:rFonts w:hint="default" w:ascii="Times New Roman" w:hAnsi="Times New Roman" w:cs="Times New Roman"/>
                      <w:b/>
                      <w:bCs/>
                      <w:color w:val="000000" w:themeColor="text1"/>
                      <w:sz w:val="21"/>
                      <w:szCs w:val="21"/>
                      <w14:textFill>
                        <w14:solidFill>
                          <w14:schemeClr w14:val="tx1"/>
                        </w14:solidFill>
                      </w14:textFill>
                    </w:rPr>
                  </w:pPr>
                </w:p>
              </w:tc>
              <w:tc>
                <w:tcPr>
                  <w:tcW w:w="769" w:type="pct"/>
                  <w:vMerge w:val="continue"/>
                  <w:noWrap w:val="0"/>
                  <w:vAlign w:val="center"/>
                </w:tcPr>
                <w:p w14:paraId="6F2B35A2">
                  <w:pPr>
                    <w:jc w:val="center"/>
                    <w:rPr>
                      <w:rFonts w:hint="default" w:ascii="Times New Roman" w:hAnsi="Times New Roman" w:cs="Times New Roman"/>
                      <w:b/>
                      <w:bCs/>
                      <w:color w:val="000000" w:themeColor="text1"/>
                      <w:sz w:val="21"/>
                      <w:szCs w:val="21"/>
                      <w14:textFill>
                        <w14:solidFill>
                          <w14:schemeClr w14:val="tx1"/>
                        </w14:solidFill>
                      </w14:textFill>
                    </w:rPr>
                  </w:pPr>
                </w:p>
              </w:tc>
              <w:tc>
                <w:tcPr>
                  <w:tcW w:w="578" w:type="pct"/>
                  <w:noWrap w:val="0"/>
                  <w:vAlign w:val="center"/>
                </w:tcPr>
                <w:p w14:paraId="2A506746">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单位</w:t>
                  </w:r>
                </w:p>
              </w:tc>
              <w:tc>
                <w:tcPr>
                  <w:tcW w:w="1124" w:type="pct"/>
                  <w:gridSpan w:val="2"/>
                  <w:noWrap w:val="0"/>
                  <w:vAlign w:val="center"/>
                </w:tcPr>
                <w:p w14:paraId="234AB061">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数值</w:t>
                  </w:r>
                </w:p>
              </w:tc>
            </w:tr>
            <w:tr w14:paraId="2667B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798" w:type="pct"/>
                  <w:vMerge w:val="restart"/>
                  <w:noWrap w:val="0"/>
                  <w:vAlign w:val="center"/>
                </w:tcPr>
                <w:p w14:paraId="219B8710">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声环境</w:t>
                  </w:r>
                </w:p>
              </w:tc>
              <w:tc>
                <w:tcPr>
                  <w:tcW w:w="1730" w:type="pct"/>
                  <w:vMerge w:val="restart"/>
                  <w:noWrap w:val="0"/>
                  <w:vAlign w:val="center"/>
                </w:tcPr>
                <w:p w14:paraId="351611A4">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《声环境质量标准》（GB3096-2008）</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类标准</w:t>
                  </w:r>
                </w:p>
              </w:tc>
              <w:tc>
                <w:tcPr>
                  <w:tcW w:w="769" w:type="pct"/>
                  <w:vMerge w:val="restart"/>
                  <w:noWrap w:val="0"/>
                  <w:vAlign w:val="center"/>
                </w:tcPr>
                <w:p w14:paraId="5419A089">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等效声级</w:t>
                  </w:r>
                </w:p>
              </w:tc>
              <w:tc>
                <w:tcPr>
                  <w:tcW w:w="578" w:type="pct"/>
                  <w:vMerge w:val="restart"/>
                  <w:noWrap w:val="0"/>
                  <w:vAlign w:val="center"/>
                </w:tcPr>
                <w:p w14:paraId="0B5334FB">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dB（A）</w:t>
                  </w:r>
                </w:p>
              </w:tc>
              <w:tc>
                <w:tcPr>
                  <w:tcW w:w="577" w:type="pct"/>
                  <w:noWrap w:val="0"/>
                  <w:vAlign w:val="center"/>
                </w:tcPr>
                <w:p w14:paraId="3085641D">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昼间</w:t>
                  </w:r>
                </w:p>
              </w:tc>
              <w:tc>
                <w:tcPr>
                  <w:tcW w:w="547" w:type="pct"/>
                  <w:noWrap w:val="0"/>
                  <w:vAlign w:val="center"/>
                </w:tcPr>
                <w:p w14:paraId="4C91CB13">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55</w:t>
                  </w:r>
                </w:p>
              </w:tc>
            </w:tr>
            <w:tr w14:paraId="644A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98" w:type="pct"/>
                  <w:vMerge w:val="continue"/>
                  <w:noWrap w:val="0"/>
                  <w:vAlign w:val="center"/>
                </w:tcPr>
                <w:p w14:paraId="29E44F05">
                  <w:pPr>
                    <w:jc w:val="center"/>
                    <w:rPr>
                      <w:rFonts w:hint="default" w:ascii="Times New Roman" w:hAnsi="Times New Roman" w:cs="Times New Roman"/>
                      <w:color w:val="000000" w:themeColor="text1"/>
                      <w:sz w:val="21"/>
                      <w:szCs w:val="21"/>
                      <w14:textFill>
                        <w14:solidFill>
                          <w14:schemeClr w14:val="tx1"/>
                        </w14:solidFill>
                      </w14:textFill>
                    </w:rPr>
                  </w:pPr>
                </w:p>
              </w:tc>
              <w:tc>
                <w:tcPr>
                  <w:tcW w:w="1730" w:type="pct"/>
                  <w:vMerge w:val="continue"/>
                  <w:noWrap w:val="0"/>
                  <w:vAlign w:val="center"/>
                </w:tcPr>
                <w:p w14:paraId="37CB6511">
                  <w:pPr>
                    <w:jc w:val="center"/>
                    <w:rPr>
                      <w:rFonts w:hint="default" w:ascii="Times New Roman" w:hAnsi="Times New Roman" w:cs="Times New Roman"/>
                      <w:color w:val="000000" w:themeColor="text1"/>
                      <w:sz w:val="21"/>
                      <w:szCs w:val="21"/>
                      <w14:textFill>
                        <w14:solidFill>
                          <w14:schemeClr w14:val="tx1"/>
                        </w14:solidFill>
                      </w14:textFill>
                    </w:rPr>
                  </w:pPr>
                </w:p>
              </w:tc>
              <w:tc>
                <w:tcPr>
                  <w:tcW w:w="769" w:type="pct"/>
                  <w:vMerge w:val="continue"/>
                  <w:noWrap w:val="0"/>
                  <w:vAlign w:val="center"/>
                </w:tcPr>
                <w:p w14:paraId="4D09A531">
                  <w:pPr>
                    <w:jc w:val="center"/>
                    <w:rPr>
                      <w:rFonts w:hint="default" w:ascii="Times New Roman" w:hAnsi="Times New Roman" w:cs="Times New Roman"/>
                      <w:color w:val="000000" w:themeColor="text1"/>
                      <w:sz w:val="21"/>
                      <w:szCs w:val="21"/>
                      <w14:textFill>
                        <w14:solidFill>
                          <w14:schemeClr w14:val="tx1"/>
                        </w14:solidFill>
                      </w14:textFill>
                    </w:rPr>
                  </w:pPr>
                </w:p>
              </w:tc>
              <w:tc>
                <w:tcPr>
                  <w:tcW w:w="578" w:type="pct"/>
                  <w:vMerge w:val="continue"/>
                  <w:noWrap w:val="0"/>
                  <w:vAlign w:val="center"/>
                </w:tcPr>
                <w:p w14:paraId="5E40B922">
                  <w:pPr>
                    <w:jc w:val="center"/>
                    <w:rPr>
                      <w:rFonts w:hint="default" w:ascii="Times New Roman" w:hAnsi="Times New Roman" w:cs="Times New Roman"/>
                      <w:color w:val="000000" w:themeColor="text1"/>
                      <w:sz w:val="21"/>
                      <w:szCs w:val="21"/>
                      <w14:textFill>
                        <w14:solidFill>
                          <w14:schemeClr w14:val="tx1"/>
                        </w14:solidFill>
                      </w14:textFill>
                    </w:rPr>
                  </w:pPr>
                </w:p>
              </w:tc>
              <w:tc>
                <w:tcPr>
                  <w:tcW w:w="577" w:type="pct"/>
                  <w:noWrap w:val="0"/>
                  <w:vAlign w:val="center"/>
                </w:tcPr>
                <w:p w14:paraId="3CCCCDAF">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夜间</w:t>
                  </w:r>
                </w:p>
              </w:tc>
              <w:tc>
                <w:tcPr>
                  <w:tcW w:w="547" w:type="pct"/>
                  <w:noWrap w:val="0"/>
                  <w:vAlign w:val="center"/>
                </w:tcPr>
                <w:p w14:paraId="1A83B9BA">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w:t>
                  </w:r>
                </w:p>
              </w:tc>
            </w:tr>
          </w:tbl>
          <w:p w14:paraId="799BF00A">
            <w:pPr>
              <w:adjustRightInd w:val="0"/>
              <w:snapToGrid w:val="0"/>
              <w:spacing w:line="360" w:lineRule="auto"/>
              <w:ind w:firstLine="480" w:firstLineChars="200"/>
              <w:jc w:val="both"/>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2、污染物排放标准</w:t>
            </w:r>
          </w:p>
          <w:p w14:paraId="60B4CC54">
            <w:pPr>
              <w:spacing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（1）废气</w:t>
            </w:r>
          </w:p>
          <w:p w14:paraId="72F23A7F">
            <w:pPr>
              <w:spacing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①施工扬尘执行《施工场界扬尘排放限值》（DB61/1078-2017）标准，具体工场界扬尘（总悬浮颗粒物）浓度标准限值</w:t>
            </w:r>
            <w:r>
              <w:rPr>
                <w:rFonts w:hint="default" w:ascii="Times New Roman" w:hAnsi="Times New Roman" w:cs="Times New Roman"/>
                <w:color w:val="000000" w:themeColor="text1"/>
                <w:kern w:val="0"/>
                <w:sz w:val="24"/>
                <w14:textFill>
                  <w14:solidFill>
                    <w14:schemeClr w14:val="tx1"/>
                  </w14:solidFill>
                </w14:textFill>
              </w:rPr>
              <w:t>见表</w:t>
            </w:r>
            <w:r>
              <w:rPr>
                <w:rFonts w:hint="default" w:ascii="Times New Roman" w:hAnsi="Times New Roman" w:eastAsia="TimesNewRomanPSMT" w:cs="Times New Roman"/>
                <w:color w:val="000000" w:themeColor="text1"/>
                <w:kern w:val="0"/>
                <w:sz w:val="24"/>
                <w14:textFill>
                  <w14:solidFill>
                    <w14:schemeClr w14:val="tx1"/>
                  </w14:solidFill>
                </w14:textFill>
              </w:rPr>
              <w:t>3-</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w:t>
            </w:r>
          </w:p>
          <w:p w14:paraId="27D2F76D">
            <w:pPr>
              <w:widowControl/>
              <w:adjustRightInd w:val="0"/>
              <w:snapToGrid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表3-</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5</w:t>
            </w:r>
            <w:r>
              <w:rPr>
                <w:rFonts w:hint="default" w:ascii="Times New Roman" w:hAnsi="Times New Roman" w:cs="Times New Roman"/>
                <w:b/>
                <w:bCs/>
                <w:color w:val="000000" w:themeColor="text1"/>
                <w:sz w:val="21"/>
                <w:szCs w:val="21"/>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14:textFill>
                  <w14:solidFill>
                    <w14:schemeClr w14:val="tx1"/>
                  </w14:solidFill>
                </w14:textFill>
              </w:rPr>
              <w:t>施工场界扬尘（总悬浮颗粒物）浓度限值</w:t>
            </w:r>
          </w:p>
          <w:tbl>
            <w:tblPr>
              <w:tblStyle w:val="20"/>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4"/>
              <w:gridCol w:w="2486"/>
              <w:gridCol w:w="3676"/>
            </w:tblGrid>
            <w:tr w14:paraId="3A30A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pct"/>
                  <w:noWrap w:val="0"/>
                  <w:vAlign w:val="center"/>
                </w:tcPr>
                <w:p w14:paraId="3759CC43">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w:t>
                  </w:r>
                </w:p>
              </w:tc>
              <w:tc>
                <w:tcPr>
                  <w:tcW w:w="1468" w:type="pct"/>
                  <w:noWrap w:val="0"/>
                  <w:vAlign w:val="center"/>
                </w:tcPr>
                <w:p w14:paraId="71DF95BD">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监控点</w:t>
                  </w:r>
                </w:p>
              </w:tc>
              <w:tc>
                <w:tcPr>
                  <w:tcW w:w="2169" w:type="pct"/>
                  <w:noWrap w:val="0"/>
                  <w:vAlign w:val="center"/>
                </w:tcPr>
                <w:p w14:paraId="26A4A34C">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小时平均浓度限值（mg/m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w:t>
                  </w:r>
                </w:p>
              </w:tc>
            </w:tr>
            <w:tr w14:paraId="2F96E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pct"/>
                  <w:noWrap w:val="0"/>
                  <w:vAlign w:val="center"/>
                </w:tcPr>
                <w:p w14:paraId="6039B296">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施工扬尘（即总悬浮颗粒物TSP）</w:t>
                  </w:r>
                </w:p>
              </w:tc>
              <w:tc>
                <w:tcPr>
                  <w:tcW w:w="1468" w:type="pct"/>
                  <w:noWrap w:val="0"/>
                  <w:vAlign w:val="center"/>
                </w:tcPr>
                <w:p w14:paraId="109338B5">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周界外浓度最高点</w:t>
                  </w:r>
                </w:p>
              </w:tc>
              <w:tc>
                <w:tcPr>
                  <w:tcW w:w="2169" w:type="pct"/>
                  <w:noWrap w:val="0"/>
                  <w:vAlign w:val="center"/>
                </w:tcPr>
                <w:p w14:paraId="4FF0DD4B">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≤0.7</w:t>
                  </w:r>
                </w:p>
              </w:tc>
            </w:tr>
            <w:tr w14:paraId="112D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noWrap w:val="0"/>
                  <w:vAlign w:val="center"/>
                </w:tcPr>
                <w:p w14:paraId="61135136">
                  <w:pP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说明：周界外浓度最高点一般应设置于无组织排放源下风向的单位周界外10m范围内，若预计无组织排放的最大落地浓度点超出10m范围，可将监控点移至该预计浓度最高点附近。</w:t>
                  </w:r>
                </w:p>
              </w:tc>
            </w:tr>
          </w:tbl>
          <w:p w14:paraId="66087E26">
            <w:pPr>
              <w:spacing w:line="360" w:lineRule="auto"/>
              <w:ind w:firstLine="480" w:firstLineChars="200"/>
              <w:jc w:val="both"/>
              <w:rPr>
                <w:rFonts w:hint="default" w:ascii="Times New Roman" w:hAnsi="Times New Roman" w:cs="Times New Roman"/>
                <w:color w:val="000000" w:themeColor="text1"/>
                <w:sz w:val="24"/>
                <w:szCs w:val="24"/>
                <w:lang w:val="en-US"/>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②</w:t>
            </w:r>
            <w:r>
              <w:rPr>
                <w:rFonts w:hint="eastAsia" w:ascii="Times New Roman" w:hAnsi="Times New Roman" w:eastAsia="宋体" w:cs="Times New Roman"/>
                <w:color w:val="000000" w:themeColor="text1"/>
                <w:sz w:val="24"/>
                <w:lang w:val="en-US" w:eastAsia="zh-CN"/>
                <w14:textFill>
                  <w14:solidFill>
                    <w14:schemeClr w14:val="tx1"/>
                  </w14:solidFill>
                </w14:textFill>
              </w:rPr>
              <w:t>钻井工程及</w:t>
            </w:r>
            <w:r>
              <w:rPr>
                <w:rFonts w:hint="default" w:ascii="Times New Roman" w:hAnsi="Times New Roman" w:cs="Times New Roman"/>
                <w:color w:val="000000" w:themeColor="text1"/>
                <w:sz w:val="24"/>
                <w:szCs w:val="24"/>
                <w:lang w:val="en-US" w:eastAsia="zh-CN"/>
                <w14:textFill>
                  <w14:solidFill>
                    <w14:schemeClr w14:val="tx1"/>
                  </w14:solidFill>
                </w14:textFill>
              </w:rPr>
              <w:t>试气阶段无组织逸散的非甲烷总烃执行《陆上石油天然气开采工业大气污染物排放标准》（GB 39728-2020）中无组织排放监控浓度限值标准。</w:t>
            </w:r>
            <w:r>
              <w:rPr>
                <w:rFonts w:hint="default" w:ascii="Times New Roman" w:hAnsi="Times New Roman" w:cs="Times New Roman"/>
                <w:color w:val="000000" w:themeColor="text1"/>
                <w:sz w:val="24"/>
                <w14:textFill>
                  <w14:solidFill>
                    <w14:schemeClr w14:val="tx1"/>
                  </w14:solidFill>
                </w14:textFill>
              </w:rPr>
              <w:t>详见下表3-</w:t>
            </w:r>
            <w:r>
              <w:rPr>
                <w:rFonts w:hint="eastAsia" w:ascii="Times New Roman" w:hAnsi="Times New Roman" w:eastAsia="宋体" w:cs="Times New Roman"/>
                <w:color w:val="000000" w:themeColor="text1"/>
                <w:sz w:val="24"/>
                <w:lang w:val="en-US" w:eastAsia="zh-CN"/>
                <w14:textFill>
                  <w14:solidFill>
                    <w14:schemeClr w14:val="tx1"/>
                  </w14:solidFill>
                </w14:textFill>
              </w:rPr>
              <w:t>6</w:t>
            </w:r>
            <w:r>
              <w:rPr>
                <w:rFonts w:hint="default" w:ascii="Times New Roman" w:hAnsi="Times New Roman" w:cs="Times New Roman"/>
                <w:color w:val="000000" w:themeColor="text1"/>
                <w:sz w:val="24"/>
                <w14:textFill>
                  <w14:solidFill>
                    <w14:schemeClr w14:val="tx1"/>
                  </w14:solidFill>
                </w14:textFill>
              </w:rPr>
              <w:t>。</w:t>
            </w:r>
          </w:p>
          <w:p w14:paraId="55DD2AA6">
            <w:pPr>
              <w:pStyle w:val="6"/>
              <w:keepNext w:val="0"/>
              <w:keepLines w:val="0"/>
              <w:pageBreakBefore w:val="0"/>
              <w:widowControl w:val="0"/>
              <w:kinsoku/>
              <w:wordWrap/>
              <w:overflowPunct/>
              <w:topLinePunct w:val="0"/>
              <w:autoSpaceDE/>
              <w:autoSpaceDN/>
              <w:bidi w:val="0"/>
              <w:adjustRightInd/>
              <w:snapToGrid/>
              <w:spacing w:before="79" w:beforeLines="25"/>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表</w:t>
            </w:r>
            <w:r>
              <w:rPr>
                <w:rFonts w:hint="default" w:ascii="Times New Roman" w:hAnsi="Times New Roman" w:cs="Times New Roman"/>
                <w:color w:val="000000" w:themeColor="text1"/>
                <w:sz w:val="21"/>
                <w:szCs w:val="21"/>
                <w:lang w:val="en-US" w:eastAsia="zh-CN"/>
                <w14:textFill>
                  <w14:solidFill>
                    <w14:schemeClr w14:val="tx1"/>
                  </w14:solidFill>
                </w14:textFill>
              </w:rPr>
              <w:t>3-</w:t>
            </w:r>
            <w:r>
              <w:rPr>
                <w:rFonts w:hint="eastAsia" w:ascii="Times New Roman" w:hAnsi="Times New Roman" w:cs="Times New Roman"/>
                <w:color w:val="000000" w:themeColor="text1"/>
                <w:sz w:val="21"/>
                <w:szCs w:val="21"/>
                <w:lang w:val="en-US" w:eastAsia="zh-CN"/>
                <w14:textFill>
                  <w14:solidFill>
                    <w14:schemeClr w14:val="tx1"/>
                  </w14:solidFill>
                </w14:textFill>
              </w:rPr>
              <w:t>6</w:t>
            </w:r>
            <w:r>
              <w:rPr>
                <w:rFonts w:hint="default" w:ascii="Times New Roman" w:hAnsi="Times New Roman" w:cs="Times New Roman"/>
                <w:color w:val="000000" w:themeColor="text1"/>
                <w:sz w:val="21"/>
                <w:szCs w:val="21"/>
                <w:lang w:eastAsia="zh-CN"/>
                <w14:textFill>
                  <w14:solidFill>
                    <w14:schemeClr w14:val="tx1"/>
                  </w14:solidFill>
                </w14:textFill>
              </w:rPr>
              <w:t xml:space="preserve">  《陆上石油天然气开采工业大气污染物排放标准》（GB 39728-2020）中无组织非甲烷总烃浓度限值</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240"/>
              <w:gridCol w:w="4240"/>
            </w:tblGrid>
            <w:tr w14:paraId="7CD3E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2500" w:type="pct"/>
                  <w:vAlign w:val="center"/>
                </w:tcPr>
                <w:p w14:paraId="4A4BF339">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w:t>
                  </w:r>
                </w:p>
              </w:tc>
              <w:tc>
                <w:tcPr>
                  <w:tcW w:w="2500" w:type="pct"/>
                  <w:vAlign w:val="center"/>
                </w:tcPr>
                <w:p w14:paraId="579E1FE1">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无组织排放监控浓度限值</w:t>
                  </w:r>
                  <w:r>
                    <w:rPr>
                      <w:rFonts w:hint="default" w:ascii="Times New Roman" w:hAnsi="Times New Roman" w:cs="Times New Roman"/>
                      <w:color w:val="000000" w:themeColor="text1"/>
                      <w:sz w:val="21"/>
                      <w:szCs w:val="21"/>
                      <w:lang w:val="en-US" w:eastAsia="zh-CN"/>
                      <w14:textFill>
                        <w14:solidFill>
                          <w14:schemeClr w14:val="tx1"/>
                        </w14:solidFill>
                      </w14:textFill>
                    </w:rPr>
                    <w:t>（mg/m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r>
            <w:tr w14:paraId="12E8B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2500" w:type="pct"/>
                  <w:vAlign w:val="center"/>
                </w:tcPr>
                <w:p w14:paraId="739617BC">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非甲烷总烃</w:t>
                  </w:r>
                </w:p>
              </w:tc>
              <w:tc>
                <w:tcPr>
                  <w:tcW w:w="2500" w:type="pct"/>
                  <w:vAlign w:val="center"/>
                </w:tcPr>
                <w:p w14:paraId="263A31B3">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4.0</w:t>
                  </w:r>
                </w:p>
              </w:tc>
            </w:tr>
          </w:tbl>
          <w:p w14:paraId="7FAEF81A">
            <w:pPr>
              <w:spacing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（2）项目废水不外排。</w:t>
            </w:r>
          </w:p>
          <w:p w14:paraId="4C3F4ECD">
            <w:pPr>
              <w:spacing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（3）施工噪声执行《建筑施工场界环境噪声排放标准》（GB12523-2011）标准，具体施工期噪声执行标准见表3-</w:t>
            </w:r>
            <w:r>
              <w:rPr>
                <w:rFonts w:hint="eastAsia" w:ascii="Times New Roman" w:hAnsi="Times New Roman" w:eastAsia="宋体" w:cs="Times New Roman"/>
                <w:color w:val="000000" w:themeColor="text1"/>
                <w:sz w:val="24"/>
                <w:lang w:val="en-US" w:eastAsia="zh-CN"/>
                <w14:textFill>
                  <w14:solidFill>
                    <w14:schemeClr w14:val="tx1"/>
                  </w14:solidFill>
                </w14:textFill>
              </w:rPr>
              <w:t>7</w:t>
            </w:r>
            <w:r>
              <w:rPr>
                <w:rFonts w:hint="default" w:ascii="Times New Roman" w:hAnsi="Times New Roman" w:cs="Times New Roman"/>
                <w:color w:val="000000" w:themeColor="text1"/>
                <w:sz w:val="24"/>
                <w14:textFill>
                  <w14:solidFill>
                    <w14:schemeClr w14:val="tx1"/>
                  </w14:solidFill>
                </w14:textFill>
              </w:rPr>
              <w:t>。</w:t>
            </w:r>
          </w:p>
          <w:p w14:paraId="22931DA5">
            <w:pPr>
              <w:widowControl/>
              <w:adjustRightInd w:val="0"/>
              <w:snapToGrid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表3-</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7</w:t>
            </w:r>
            <w:r>
              <w:rPr>
                <w:rFonts w:hint="default" w:ascii="Times New Roman" w:hAnsi="Times New Roman" w:cs="Times New Roman"/>
                <w:b/>
                <w:bCs/>
                <w:color w:val="000000" w:themeColor="text1"/>
                <w:sz w:val="21"/>
                <w:szCs w:val="21"/>
                <w14:textFill>
                  <w14:solidFill>
                    <w14:schemeClr w14:val="tx1"/>
                  </w14:solidFill>
                </w14:textFill>
              </w:rPr>
              <w:t xml:space="preserve">  《建筑施工场界环境噪声排放标准》（GB12523-2011）</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9"/>
              <w:gridCol w:w="4421"/>
            </w:tblGrid>
            <w:tr w14:paraId="52B06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3" w:type="pct"/>
                  <w:noWrap w:val="0"/>
                  <w:vAlign w:val="center"/>
                </w:tcPr>
                <w:p w14:paraId="0E5B373B">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昼间</w:t>
                  </w:r>
                </w:p>
              </w:tc>
              <w:tc>
                <w:tcPr>
                  <w:tcW w:w="2607" w:type="pct"/>
                  <w:noWrap w:val="0"/>
                  <w:vAlign w:val="center"/>
                </w:tcPr>
                <w:p w14:paraId="34269FC9">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夜间</w:t>
                  </w:r>
                </w:p>
              </w:tc>
            </w:tr>
            <w:tr w14:paraId="6C15C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3" w:type="pct"/>
                  <w:noWrap w:val="0"/>
                  <w:vAlign w:val="center"/>
                </w:tcPr>
                <w:p w14:paraId="2C3E6740">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70dB（A）</w:t>
                  </w:r>
                </w:p>
              </w:tc>
              <w:tc>
                <w:tcPr>
                  <w:tcW w:w="2607" w:type="pct"/>
                  <w:noWrap w:val="0"/>
                  <w:vAlign w:val="center"/>
                </w:tcPr>
                <w:p w14:paraId="6759E627">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55dB（A）</w:t>
                  </w:r>
                </w:p>
              </w:tc>
            </w:tr>
          </w:tbl>
          <w:p w14:paraId="4D2F72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固体废物执行《一般工业固体废物贮存和填埋污染控制标准》（GB18599-2020）有关要求；生活垃圾排放执行《生活垃圾填埋场污染控制标准》（GB16889-2008）中的相关规定；《危险废物贮存污染控制标准》（GB18597-2023）标准要求和《危险废物识别标志设置技术规范》（HJ1276—2022）。</w:t>
            </w:r>
          </w:p>
        </w:tc>
      </w:tr>
      <w:tr w14:paraId="7B97B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7" w:type="dxa"/>
            <w:vAlign w:val="center"/>
          </w:tcPr>
          <w:p w14:paraId="4C2E8447">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其他</w:t>
            </w:r>
          </w:p>
        </w:tc>
        <w:tc>
          <w:tcPr>
            <w:tcW w:w="8521" w:type="dxa"/>
            <w:vAlign w:val="center"/>
          </w:tcPr>
          <w:p w14:paraId="2E27C0BC">
            <w:pPr>
              <w:spacing w:line="360" w:lineRule="auto"/>
              <w:ind w:firstLine="480" w:firstLineChars="200"/>
              <w:jc w:val="both"/>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本项目钻井属于油气田开发的施工期，时间较短，项目不涉及运营期</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污染物的排放随着施工期的结束而结束，在满足达标排放和环境功能区划达标的前提下，建议不核定总量指标，可以将钻井期间产生的污染物排放总量作为施工期环境管理的依据</w:t>
            </w:r>
            <w:r>
              <w:rPr>
                <w:rFonts w:hint="eastAsia" w:ascii="Times New Roman" w:hAnsi="Times New Roman" w:cs="Times New Roman"/>
                <w:color w:val="000000" w:themeColor="text1"/>
                <w:sz w:val="24"/>
                <w:szCs w:val="24"/>
                <w:lang w:val="en-US" w:eastAsia="zh-CN"/>
                <w14:textFill>
                  <w14:solidFill>
                    <w14:schemeClr w14:val="tx1"/>
                  </w14:solidFill>
                </w14:textFill>
              </w:rPr>
              <w:t>。</w:t>
            </w:r>
          </w:p>
          <w:p w14:paraId="48D484E0">
            <w:pPr>
              <w:spacing w:line="360" w:lineRule="auto"/>
              <w:ind w:firstLine="480" w:firstLineChars="200"/>
              <w:jc w:val="both"/>
              <w:rPr>
                <w:rFonts w:hint="default" w:ascii="Times New Roman" w:hAnsi="Times New Roman" w:cs="Times New Roman"/>
                <w:color w:val="000000" w:themeColor="text1"/>
                <w:sz w:val="24"/>
                <w:szCs w:val="24"/>
                <w:lang w:val="en-US" w:eastAsia="zh-CN"/>
                <w14:textFill>
                  <w14:solidFill>
                    <w14:schemeClr w14:val="tx1"/>
                  </w14:solidFill>
                </w14:textFill>
              </w:rPr>
            </w:pPr>
          </w:p>
          <w:p w14:paraId="04224187">
            <w:pPr>
              <w:spacing w:line="360" w:lineRule="auto"/>
              <w:ind w:firstLine="480" w:firstLineChars="200"/>
              <w:jc w:val="both"/>
              <w:rPr>
                <w:rFonts w:hint="default" w:ascii="Times New Roman" w:hAnsi="Times New Roman" w:cs="Times New Roman"/>
                <w:color w:val="000000" w:themeColor="text1"/>
                <w:sz w:val="24"/>
                <w:szCs w:val="24"/>
                <w:lang w:val="en-US" w:eastAsia="zh-CN"/>
                <w14:textFill>
                  <w14:solidFill>
                    <w14:schemeClr w14:val="tx1"/>
                  </w14:solidFill>
                </w14:textFill>
              </w:rPr>
            </w:pPr>
          </w:p>
          <w:p w14:paraId="41A5673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r>
    </w:tbl>
    <w:p w14:paraId="32683754">
      <w:pPr>
        <w:rPr>
          <w:rFonts w:hint="default" w:ascii="Times New Roman" w:hAnsi="Times New Roman" w:eastAsia="黑体" w:cs="Times New Roman"/>
          <w:b w:val="0"/>
          <w:bCs w:val="0"/>
          <w:color w:val="000000" w:themeColor="text1"/>
          <w:sz w:val="28"/>
          <w:szCs w:val="28"/>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8"/>
          <w:szCs w:val="28"/>
          <w:lang w:val="en-US" w:eastAsia="zh-CN"/>
          <w14:textFill>
            <w14:solidFill>
              <w14:schemeClr w14:val="tx1"/>
            </w14:solidFill>
          </w14:textFill>
        </w:rPr>
        <w:br w:type="page"/>
      </w:r>
    </w:p>
    <w:p w14:paraId="77D1B0BA">
      <w:pPr>
        <w:numPr>
          <w:ilvl w:val="0"/>
          <w:numId w:val="4"/>
        </w:numPr>
        <w:ind w:left="0" w:leftChars="0" w:firstLine="0" w:firstLineChars="0"/>
        <w:jc w:val="center"/>
        <w:rPr>
          <w:rFonts w:hint="default" w:ascii="Times New Roman" w:hAnsi="Times New Roman" w:eastAsia="黑体" w:cs="Times New Roman"/>
          <w:b w:val="0"/>
          <w:bCs w:val="0"/>
          <w:color w:val="000000" w:themeColor="text1"/>
          <w:sz w:val="28"/>
          <w:szCs w:val="28"/>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8"/>
          <w:szCs w:val="28"/>
          <w:lang w:val="en-US" w:eastAsia="zh-CN"/>
          <w14:textFill>
            <w14:solidFill>
              <w14:schemeClr w14:val="tx1"/>
            </w14:solidFill>
          </w14:textFill>
        </w:rPr>
        <w:t>生态环境影响分析</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1"/>
        <w:gridCol w:w="8957"/>
      </w:tblGrid>
      <w:tr w14:paraId="02B1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8" w:type="dxa"/>
            <w:vAlign w:val="center"/>
          </w:tcPr>
          <w:p w14:paraId="22982CDF">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施工期生态环境影响分析</w:t>
            </w:r>
          </w:p>
        </w:tc>
        <w:tc>
          <w:tcPr>
            <w:tcW w:w="8520" w:type="dxa"/>
            <w:vAlign w:val="top"/>
          </w:tcPr>
          <w:p w14:paraId="21186A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一、施工期生态影响</w:t>
            </w:r>
          </w:p>
          <w:p w14:paraId="7BB9F5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本项目钻前工程施工时对</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井场、生活区</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场地进行平整、开挖、施工车辆碾压等活动会对活动范围内的土壤质地和性质以及地表植被造成影响，从而造成一定量的水土流失，随着施工的结束，影响也随之消失。</w:t>
            </w:r>
          </w:p>
          <w:p w14:paraId="1432A5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井场附近以林地、园地为主</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，本项目工程占地改变了原有土地利用现状，土地利用功能也随之改变。项目临时占地结束后可对土地利用进行恢复，因此对周边生态环境影响不明显。项目施工期对生态环境的影响主要表现在以下几个方面：</w:t>
            </w:r>
          </w:p>
          <w:p w14:paraId="2AEBCD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1、土地利用现状的改变</w:t>
            </w:r>
          </w:p>
          <w:p w14:paraId="31F22C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本项目井场占地面积</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42934</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，生活区占地面积</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3518</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，进场道路488m</w:t>
            </w:r>
            <w:r>
              <w:rPr>
                <w:rFonts w:hint="eastAsia"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全部为临时用地，不涉及永久占地。项目建设对生态环境的影响主要表现为项目占地使土地功能发生改变；临时占地会在一定程度上改变土地利用方式，临时性的减小</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林地、园地</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的面积。工程利用挖方回填，同时对土地按照相关要求进行堆放并采取覆盖等措施，尽可能的减小对当地土地资源的影响；临时占地只在短期内改变土地利用性质，钻井工程完成后，对本项目钻井期间施工区域进行植被恢复，若本井产气则进行集输工程，征地工作根据集输工程要求进行。</w:t>
            </w:r>
          </w:p>
          <w:p w14:paraId="79589C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2、水土流失影响分析</w:t>
            </w:r>
          </w:p>
          <w:p w14:paraId="72818B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施工期将损坏施工区域范围原地貌，破坏原有植被，改变其水土保持状况，如遇大风或降雨天气将加剧水土流失。</w:t>
            </w:r>
          </w:p>
          <w:p w14:paraId="6EF651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井场开发建设造成的水土流失主要在施工期，造成水土流失的主要因素有：新建井场、道路、生活区以及钻井及开挖、回填过程中，开挖作业造成土壤结构破坏、微地形改变和植被破坏，使土壤抗蚀性和抗冲性明显降低；工程施工将产生弃土弃渣，弃渣若分散堆置在坡面，极易被水流冲刷，引起水土流失；道路经过陡峻山坡，由于开挖，坡度变陡，失去稳定平衡，为崩塌、滑坡制造了条件，极易引起重力侵蚀。</w:t>
            </w:r>
          </w:p>
          <w:p w14:paraId="232288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本项目严格控制占地范围和施工范围，减少扰动面积；严格控制施工人员、车辆在规定的施工临时占地内活动、行驶，以减少对沿线植被的破坏，凡受到施工人员、车辆破坏的地方，施工结束后立即采取人工措施</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恢复为原有生态类型</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，尽快降低土壤侵蚀，对裸露地表进行植被恢复，增强地表稳定性。</w:t>
            </w:r>
          </w:p>
          <w:p w14:paraId="775CB5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3、动物及植被影响分析</w:t>
            </w:r>
          </w:p>
          <w:p w14:paraId="003166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工程施工期对植被的影响主要为建设过程中的植被剥离、清理和占压，临时占地土方回填后，可以恢复原植被类型。对动物的影响主要为栖息地破坏引起的动物逃离、施工噪声对动物的干扰。</w:t>
            </w:r>
          </w:p>
          <w:p w14:paraId="613388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（1）对植被的影响</w:t>
            </w:r>
          </w:p>
          <w:p w14:paraId="23F7FB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施工期对植被的影响主要有占地范围内原有植物的剥离、清理及占压。在施工过程中，土壤开挖区范围内植物的地上部分与根系均被清除，施工区的植被由于挖掘土石的堆放、人员的践踏、施工车辆和机具的碾压而受到不同程度的破坏，会造成植被破坏甚至死亡。</w:t>
            </w:r>
          </w:p>
          <w:p w14:paraId="64F7C2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工程填挖方均占压和清除一定数量的地表植物，使填挖区被生土覆盖或出露生土，植物恢复须经过较长时间。项目工期较短，建设完毕后即进行植被恢复，长期来看对植被的影响较小。</w:t>
            </w:r>
          </w:p>
          <w:p w14:paraId="559666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（2）对动物的影响</w:t>
            </w:r>
          </w:p>
          <w:p w14:paraId="27B26F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建设期对动物的影响，主要是运输、施工噪声和人为活动，迫使动物离开场站区域，大规模的建设活动，将使建设期内难以见到野生动物。但项目周边无自然保护区，无珍稀濒危动物，野生动物稀少，主要为鼠类和草兔等常见种。工程施工对野生动物的影响较小，随着施工结束这种影响亦结束。</w:t>
            </w:r>
          </w:p>
          <w:p w14:paraId="5EAE53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4、景观生态影响分析</w:t>
            </w:r>
          </w:p>
          <w:p w14:paraId="7B6C46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工程建设期主要是对原有景观的破坏，井场建设破坏其所在地及其附近的原有景观，形成片状人工景观。由于建设期工程占地均为临时占地，施工完采取生态恢复措施后，评价认为项目对评价区景观格局影响有限。</w:t>
            </w:r>
          </w:p>
          <w:p w14:paraId="6FE7C817">
            <w:pPr>
              <w:pStyle w:val="12"/>
              <w:keepNext w:val="0"/>
              <w:keepLines w:val="0"/>
              <w:pageBreakBefore w:val="0"/>
              <w:kinsoku/>
              <w:wordWrap/>
              <w:overflowPunct/>
              <w:topLinePunct w:val="0"/>
              <w:autoSpaceDE/>
              <w:autoSpaceDN/>
              <w:bidi w:val="0"/>
              <w:spacing w:before="0"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4"/>
                <w:szCs w:val="24"/>
                <w:vertAlign w:val="baseline"/>
                <w:lang w:val="en-US" w:eastAsia="zh-CN"/>
                <w14:textFill>
                  <w14:solidFill>
                    <w14:schemeClr w14:val="tx1"/>
                  </w14:solidFill>
                </w14:textFill>
              </w:rPr>
              <w:t>5、对土壤沙化影响分析</w:t>
            </w:r>
          </w:p>
          <w:p w14:paraId="45FCF5F6">
            <w:pPr>
              <w:pStyle w:val="27"/>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陕西省防沙治沙规划（2021-2030年）》，佳县属于黄土（丘陵）覆沙治理区，不涉及沙化土地封禁保护区及沙地。由于施工中土体被剥离、扰动土壤以及破坏地表植物，可能会导致土地沙化。根据现场踏勘，本项目所处区域土地未完全沙化，生态功能较好，且通过采取分段施工、控制施工作业带、及时对植被进行恢复，并加强管理，避免施工乱砍滥发植物资源、避免机械随意行驶等措施，防止因本项目建设导致土地沙化。</w:t>
            </w:r>
          </w:p>
          <w:p w14:paraId="221937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二、大气环境影响</w:t>
            </w:r>
          </w:p>
          <w:p w14:paraId="49FA90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本项目为天然气勘探工程，不涉及运营期，本次评价仅对勘探过程中对环境的影响进行分析，不包括天然气开采、外输管道建设的评价，如需进行天然气开采、外输管道建设，需另行开展环境影响评价。</w:t>
            </w:r>
          </w:p>
          <w:p w14:paraId="65BDAD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施工期废气主要为施工扬尘、施工车辆和机械尾气以及测试放喷和事故放喷天然气燃烧废气。项目施工期施工扬尘、施工车辆和机械尾气产生废物污染物较小，施工期较短，加之当地扩散条件良好，经自然扩散后能达标排放，对周围环境影响较小。</w:t>
            </w:r>
          </w:p>
          <w:p w14:paraId="3002DC0F">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施工扬尘</w:t>
            </w:r>
          </w:p>
          <w:p w14:paraId="504F4B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施工扬尘主要来自场地平整与土方开挖、物料堆放及运输车辆行驶道路扬尘。场地整平过程扬尘的起尘量与许多因素有关，挖土机等在工作时的起尘量与挖坑深度、挖土机抓斗与地面的相对高度、风速、土壤的颗粒度、土壤含水量等有关。在不采取任何防治措施的情况下，不同的风速和稳定度下，挖土的扬尘对环境的浓度贡献都较大。</w:t>
            </w:r>
          </w:p>
          <w:p w14:paraId="706E1DAF">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工程施工阶段土地平整、开挖、回填土方会形成大面积裸露地面，使各种沉降在地表上的气溶胶粒子等成为扬尘的天然来源。在施工过程中，如果管理措施不够完善，粗放式施工，工地料堆遮挡不够完善、严密，不能及时清理和覆盖，在不利气候如大风（风速≥5m/s）条件下，这些颗粒物就会从地表进入空气中。在不利天气条件下，施工扬尘可在150m范围内超过</w:t>
            </w:r>
            <w:r>
              <w:rPr>
                <w:rFonts w:hint="default" w:ascii="Times New Roman" w:hAnsi="Times New Roman" w:cs="Times New Roman"/>
                <w:color w:val="000000" w:themeColor="text1"/>
                <w:sz w:val="24"/>
                <w14:textFill>
                  <w14:solidFill>
                    <w14:schemeClr w14:val="tx1"/>
                  </w14:solidFill>
                </w14:textFill>
              </w:rPr>
              <w:t>《施工场界扬尘排放限值》（DB61/1078-2017）标准</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，对大气环境可造成不利影响，150m范围外一般不会有大的影响</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各井场周边150m范围内无环境保护目标，井场钻井过程中需增加洒水频次，区域主导风向为西北风，次主导风向为东南风，敏感目标位于井场的侧风向，通过增加洒水频次，大风天气停止作业等措施能够有效降低项目对周边环境的影响。</w:t>
            </w:r>
          </w:p>
          <w:p w14:paraId="0CFB66C6">
            <w:pPr>
              <w:pStyle w:val="27"/>
              <w:bidi w:val="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2、机械废气</w:t>
            </w:r>
            <w:r>
              <w:rPr>
                <w:rFonts w:hint="eastAsia" w:ascii="Times New Roman" w:hAnsi="Times New Roman" w:cs="Times New Roman"/>
                <w:b/>
                <w:bCs/>
                <w:color w:val="000000" w:themeColor="text1"/>
                <w:sz w:val="24"/>
                <w:szCs w:val="24"/>
                <w:lang w:val="en-US" w:eastAsia="zh-CN"/>
                <w14:textFill>
                  <w14:solidFill>
                    <w14:schemeClr w14:val="tx1"/>
                  </w14:solidFill>
                </w14:textFill>
              </w:rPr>
              <w:t>及车辆尾气</w:t>
            </w:r>
          </w:p>
          <w:p w14:paraId="5BD40F96">
            <w:pPr>
              <w:pStyle w:val="27"/>
              <w:bidi w:val="0"/>
              <w:rPr>
                <w:rFonts w:hint="eastAsia"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机械废气包括施工机械废气和运输车辆废气，</w:t>
            </w:r>
            <w:r>
              <w:rPr>
                <w:rFonts w:hint="eastAsia" w:ascii="Times New Roman" w:hAnsi="Times New Roman" w:cs="Times New Roman"/>
                <w:color w:val="000000" w:themeColor="text1"/>
                <w:lang w:val="en-US" w:eastAsia="zh-CN"/>
                <w14:textFill>
                  <w14:solidFill>
                    <w14:schemeClr w14:val="tx1"/>
                  </w14:solidFill>
                </w14:textFill>
              </w:rPr>
              <w:t>本项目各类施工机械均使用电驱动，不会产生废气。</w:t>
            </w:r>
          </w:p>
          <w:p w14:paraId="770FBA54">
            <w:pPr>
              <w:pStyle w:val="2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本项目运输车辆使用低硫燃料（含硫量低于10ppm），定期对车辆维修保养，减少废气的排放量。由于本项目施工期较短，运输车辆产生的废气量较少，项目周边扩散条件较好，对周边环境影响较小。</w:t>
            </w:r>
          </w:p>
          <w:p w14:paraId="251D34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、测试放喷天然气燃烧废气</w:t>
            </w:r>
          </w:p>
          <w:p w14:paraId="1D88C7C7">
            <w:pPr>
              <w:pStyle w:val="27"/>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为了准确了解和进一步核定气井的产气量，在完井后，通常需进行测试放喷，单井测试时间约1-2天，依据测试气量间歇放喷，每次持续时间约4～6h，属短时间歇排放，测试的天然气经专用管线引至</w:t>
            </w:r>
            <w:r>
              <w:rPr>
                <w:rFonts w:hint="eastAsia" w:ascii="Times New Roman" w:hAnsi="Times New Roman" w:cs="Times New Roman"/>
                <w:color w:val="000000" w:themeColor="text1"/>
                <w:lang w:val="en-US" w:eastAsia="zh-CN"/>
                <w14:textFill>
                  <w14:solidFill>
                    <w14:schemeClr w14:val="tx1"/>
                  </w14:solidFill>
                </w14:textFill>
              </w:rPr>
              <w:t>放喷池</w:t>
            </w:r>
            <w:r>
              <w:rPr>
                <w:rFonts w:hint="default" w:ascii="Times New Roman" w:hAnsi="Times New Roman" w:cs="Times New Roman"/>
                <w:color w:val="000000" w:themeColor="text1"/>
                <w:lang w:val="en-US" w:eastAsia="zh-CN"/>
                <w14:textFill>
                  <w14:solidFill>
                    <w14:schemeClr w14:val="tx1"/>
                  </w14:solidFill>
                </w14:textFill>
              </w:rPr>
              <w:t>进行点火放喷，废气产生量较小。类比周围探井的天然气组分，排放的气体主要含颗粒物、H</w:t>
            </w:r>
            <w:r>
              <w:rPr>
                <w:rFonts w:hint="default" w:ascii="Times New Roman" w:hAnsi="Times New Roman" w:cs="Times New Roman"/>
                <w:color w:val="000000" w:themeColor="text1"/>
                <w:vertAlign w:val="sub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O、CO</w:t>
            </w:r>
            <w:r>
              <w:rPr>
                <w:rFonts w:hint="default" w:ascii="Times New Roman" w:hAnsi="Times New Roman" w:cs="Times New Roman"/>
                <w:color w:val="000000" w:themeColor="text1"/>
                <w:vertAlign w:val="sub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、NOx</w:t>
            </w:r>
            <w:r>
              <w:rPr>
                <w:rFonts w:hint="eastAsia" w:ascii="Times New Roman" w:hAnsi="Times New Roman" w:cs="Times New Roman"/>
                <w:color w:val="000000" w:themeColor="text1"/>
                <w:lang w:val="en-US" w:eastAsia="zh-CN"/>
                <w14:textFill>
                  <w14:solidFill>
                    <w14:schemeClr w14:val="tx1"/>
                  </w14:solidFill>
                </w14:textFill>
              </w:rPr>
              <w:t>、SO</w:t>
            </w:r>
            <w:r>
              <w:rPr>
                <w:rFonts w:hint="eastAsia" w:ascii="Times New Roman" w:hAnsi="Times New Roman" w:cs="Times New Roman"/>
                <w:color w:val="000000" w:themeColor="text1"/>
                <w:vertAlign w:val="subscript"/>
                <w:lang w:val="en-US" w:eastAsia="zh-CN"/>
                <w14:textFill>
                  <w14:solidFill>
                    <w14:schemeClr w14:val="tx1"/>
                  </w14:solidFill>
                </w14:textFill>
              </w:rPr>
              <w:t>2</w:t>
            </w:r>
            <w:r>
              <w:rPr>
                <w:rFonts w:hint="eastAsia" w:ascii="Times New Roman" w:hAnsi="Times New Roman" w:cs="Times New Roman"/>
                <w:color w:val="000000" w:themeColor="text1"/>
                <w:vertAlign w:val="baseline"/>
                <w:lang w:val="en-US" w:eastAsia="zh-CN"/>
                <w14:textFill>
                  <w14:solidFill>
                    <w14:schemeClr w14:val="tx1"/>
                  </w14:solidFill>
                </w14:textFill>
              </w:rPr>
              <w:t>（可能含有）</w:t>
            </w:r>
            <w:r>
              <w:rPr>
                <w:rFonts w:hint="default" w:ascii="Times New Roman" w:hAnsi="Times New Roman" w:cs="Times New Roman"/>
                <w:color w:val="000000" w:themeColor="text1"/>
                <w:lang w:val="en-US" w:eastAsia="zh-CN"/>
                <w14:textFill>
                  <w14:solidFill>
                    <w14:schemeClr w14:val="tx1"/>
                  </w14:solidFill>
                </w14:textFill>
              </w:rPr>
              <w:t>以及未完全燃烧的少量非甲烷总烃。</w:t>
            </w:r>
          </w:p>
          <w:p w14:paraId="19E96B54">
            <w:pPr>
              <w:pStyle w:val="27"/>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根据相关设计资料，钻井试压作业中约有1×10</w:t>
            </w:r>
            <w:r>
              <w:rPr>
                <w:rFonts w:hint="default" w:ascii="Times New Roman" w:hAnsi="Times New Roman" w:cs="Times New Roman"/>
                <w:color w:val="000000" w:themeColor="text1"/>
                <w:vertAlign w:val="superscript"/>
                <w:lang w:val="en-US" w:eastAsia="zh-CN"/>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的天然气通过井场</w:t>
            </w:r>
            <w:r>
              <w:rPr>
                <w:rFonts w:hint="eastAsia" w:ascii="Times New Roman" w:hAnsi="Times New Roman" w:cs="Times New Roman"/>
                <w:color w:val="000000" w:themeColor="text1"/>
                <w:lang w:val="en-US" w:eastAsia="zh-CN"/>
                <w14:textFill>
                  <w14:solidFill>
                    <w14:schemeClr w14:val="tx1"/>
                  </w14:solidFill>
                </w14:textFill>
              </w:rPr>
              <w:t>放喷池</w:t>
            </w:r>
            <w:r>
              <w:rPr>
                <w:rFonts w:hint="default" w:ascii="Times New Roman" w:hAnsi="Times New Roman" w:cs="Times New Roman"/>
                <w:color w:val="000000" w:themeColor="text1"/>
                <w:lang w:val="en-US" w:eastAsia="zh-CN"/>
                <w14:textFill>
                  <w14:solidFill>
                    <w14:schemeClr w14:val="tx1"/>
                  </w14:solidFill>
                </w14:textFill>
              </w:rPr>
              <w:t>燃烧排放，废气中的主要污染物为颗粒物和NOx</w:t>
            </w:r>
            <w:r>
              <w:rPr>
                <w:rFonts w:hint="eastAsia" w:ascii="Times New Roman" w:hAnsi="Times New Roman" w:cs="Times New Roman"/>
                <w:color w:val="000000" w:themeColor="text1"/>
                <w:lang w:val="en-US" w:eastAsia="zh-CN"/>
                <w14:textFill>
                  <w14:solidFill>
                    <w14:schemeClr w14:val="tx1"/>
                  </w14:solidFill>
                </w14:textFill>
              </w:rPr>
              <w:t>、SO</w:t>
            </w:r>
            <w:r>
              <w:rPr>
                <w:rFonts w:hint="eastAsia" w:ascii="Times New Roman" w:hAnsi="Times New Roman" w:cs="Times New Roman"/>
                <w:color w:val="000000" w:themeColor="text1"/>
                <w:vertAlign w:val="sub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，以及未完全燃烧的少量非甲烷总烃。参照《排放源统计调查产排污核算方法和系数手册》（生态环境部办公厅2021年6月11日印发）中“4430 工业锅炉（热力生产和供应行业）产污系数表-燃气工业锅炉”的排放系数进行源强估算，颗粒物排放系数为1.039kg/万m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天然气，NOx排放系数为18.71kg/万m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天然气，经计算，烟尘排放量为1.039kg，NOx排放量为18.71kg。排放废气中非甲烷总烃为不完全燃烧产生，其排放量非常少不再进行定量计算</w:t>
            </w:r>
            <w:r>
              <w:rPr>
                <w:rFonts w:hint="eastAsia" w:ascii="Times New Roman" w:hAnsi="Times New Roman" w:cs="Times New Roman"/>
                <w:color w:val="000000" w:themeColor="text1"/>
                <w:lang w:val="en-US" w:eastAsia="zh-CN"/>
                <w14:textFill>
                  <w14:solidFill>
                    <w14:schemeClr w14:val="tx1"/>
                  </w14:solidFill>
                </w14:textFill>
              </w:rPr>
              <w:t>；由于本项目属于新层位勘探，因此暂无天然气成分表，无法确定天然气中硫含量，因此环评要求项目钻探期间发现天然气后立即进行成分分析并且对井场H</w:t>
            </w:r>
            <w:r>
              <w:rPr>
                <w:rFonts w:hint="eastAsia" w:ascii="Times New Roman" w:hAnsi="Times New Roman" w:cs="Times New Roman"/>
                <w:color w:val="000000" w:themeColor="text1"/>
                <w:vertAlign w:val="subscript"/>
                <w:lang w:val="en-US" w:eastAsia="zh-CN"/>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S含量进行检测，避免对钻井人员身体健康造成危害。</w:t>
            </w:r>
          </w:p>
          <w:p w14:paraId="7E1B8B19">
            <w:pPr>
              <w:pStyle w:val="27"/>
              <w:keepNext/>
              <w:keepLines/>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w:t>
            </w:r>
            <w:r>
              <w:rPr>
                <w:rFonts w:hint="eastAsia" w:ascii="Times New Roman" w:hAnsi="Times New Roman" w:cs="Times New Roman"/>
                <w:color w:val="000000" w:themeColor="text1"/>
                <w:lang w:val="en-US" w:eastAsia="zh-CN"/>
                <w14:textFill>
                  <w14:solidFill>
                    <w14:schemeClr w14:val="tx1"/>
                  </w14:solidFill>
                </w14:textFill>
              </w:rPr>
              <w:t>放喷池</w:t>
            </w:r>
            <w:r>
              <w:rPr>
                <w:rFonts w:hint="default" w:ascii="Times New Roman" w:hAnsi="Times New Roman" w:cs="Times New Roman"/>
                <w:color w:val="000000" w:themeColor="text1"/>
                <w:lang w:val="en-US" w:eastAsia="zh-CN"/>
                <w14:textFill>
                  <w14:solidFill>
                    <w14:schemeClr w14:val="tx1"/>
                  </w14:solidFill>
                </w14:textFill>
              </w:rPr>
              <w:t>选址位于距离井口100m外的厂地上，周边50m范围植被以草地为主，无高大林木，地势空旷便于废气扩散，且</w:t>
            </w:r>
            <w:r>
              <w:rPr>
                <w:rFonts w:hint="eastAsia" w:ascii="Times New Roman" w:hAnsi="Times New Roman" w:cs="Times New Roman"/>
                <w:color w:val="000000" w:themeColor="text1"/>
                <w:lang w:val="en-US" w:eastAsia="zh-CN"/>
                <w14:textFill>
                  <w14:solidFill>
                    <w14:schemeClr w14:val="tx1"/>
                  </w14:solidFill>
                </w14:textFill>
              </w:rPr>
              <w:t>放喷池</w:t>
            </w:r>
            <w:r>
              <w:rPr>
                <w:rFonts w:hint="default" w:ascii="Times New Roman" w:hAnsi="Times New Roman" w:cs="Times New Roman"/>
                <w:color w:val="000000" w:themeColor="text1"/>
                <w:lang w:val="en-US" w:eastAsia="zh-CN"/>
                <w14:textFill>
                  <w14:solidFill>
                    <w14:schemeClr w14:val="tx1"/>
                  </w14:solidFill>
                </w14:textFill>
              </w:rPr>
              <w:t>位于</w:t>
            </w:r>
            <w:r>
              <w:rPr>
                <w:rFonts w:hint="eastAsia" w:ascii="Times New Roman" w:hAnsi="Times New Roman" w:cs="Times New Roman"/>
                <w:color w:val="000000" w:themeColor="text1"/>
                <w:lang w:val="en-US" w:eastAsia="zh-CN"/>
                <w14:textFill>
                  <w14:solidFill>
                    <w14:schemeClr w14:val="tx1"/>
                  </w14:solidFill>
                </w14:textFill>
              </w:rPr>
              <w:t>井口下风向处</w:t>
            </w:r>
            <w:r>
              <w:rPr>
                <w:rFonts w:hint="default" w:ascii="Times New Roman" w:hAnsi="Times New Roman" w:cs="Times New Roman"/>
                <w:color w:val="000000" w:themeColor="text1"/>
                <w:lang w:val="en-US" w:eastAsia="zh-CN"/>
                <w14:textFill>
                  <w14:solidFill>
                    <w14:schemeClr w14:val="tx1"/>
                  </w14:solidFill>
                </w14:textFill>
              </w:rPr>
              <w:t>。</w:t>
            </w:r>
          </w:p>
          <w:p w14:paraId="7958D87D">
            <w:pPr>
              <w:pStyle w:val="27"/>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虽然产生的废气对环境影响微小，但为了最大程度降低测试放喷废气对环境的影响，测试放喷时，要选择合适的时间，在天气晴朗，且风较大的天气进行，便于废气扩散；加之测试放喷时间短，对大气环境的影响较短，测试完毕，影响很快消除，因此对环境影响较小。</w:t>
            </w:r>
          </w:p>
          <w:p w14:paraId="2019E5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、事故放喷天然气燃烧废气</w:t>
            </w:r>
          </w:p>
          <w:p w14:paraId="346310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事故放喷是由于地层高压异常导致的，在石油天然气行业是低概率事件。事故放喷时间持续较短，且通过专用的放喷管线将天然气引至</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放喷池</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进行点火放喷，事故放喷时间段属临时排放，放喷完毕，影响很快消除，环评要求建设单位在发生事故时对周边居民实施临时疏散，因此事故放喷对周边人群健康基本无影响，对环境影响也较小。</w:t>
            </w:r>
          </w:p>
          <w:p w14:paraId="1B6264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、临时道路扬尘</w:t>
            </w:r>
          </w:p>
          <w:p w14:paraId="24249A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项目组出入井场时，在临时道路行驶，应控制车速，以减少道路扬尘污染，临时道路两侧应根据情况设置排水渠，减少水土流失，施工结束后，根据需求，对临时道路进行生态恢复。</w:t>
            </w:r>
          </w:p>
          <w:p w14:paraId="419AFC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综上所述，工程废气对周边大气环境和环境保护目标的影响可接受。</w:t>
            </w:r>
          </w:p>
          <w:p w14:paraId="50BD5B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三、地表水环境影响</w:t>
            </w:r>
          </w:p>
          <w:p w14:paraId="08572B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项目用水主要为施工人员的生活用水和钻井生产用水，生产用水由水罐车运送，生活用水采用桶装水；废水主要为施工废水、钻井废水、洗井废水、返排液以及生活污水。</w:t>
            </w:r>
          </w:p>
          <w:p w14:paraId="29FA02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（1）钻井废水</w:t>
            </w:r>
          </w:p>
          <w:p w14:paraId="1FE7A47E">
            <w:pPr>
              <w:pStyle w:val="27"/>
              <w:keepNext/>
              <w:keepLines/>
              <w:pageBreakBefore w:val="0"/>
              <w:widowControl w:val="0"/>
              <w:kinsoku/>
              <w:wordWrap/>
              <w:overflowPunct/>
              <w:topLinePunct w:val="0"/>
              <w:autoSpaceDE/>
              <w:autoSpaceDN/>
              <w:bidi w:val="0"/>
              <w:rPr>
                <w:rFonts w:hint="eastAsia"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项目通过对中国石油天然气股份有限公司长庆油田分公司已勘探的天然气井资料调查，每钻进1m平均产生钻井废水0.2m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本项目钻井废水产生量为2285m</w:t>
            </w:r>
            <w:r>
              <w:rPr>
                <w:rFonts w:hint="eastAsia" w:ascii="Times New Roman" w:hAnsi="Times New Roman" w:cs="Times New Roman"/>
                <w:color w:val="000000" w:themeColor="text1"/>
                <w:vertAlign w:val="superscript"/>
                <w:lang w:val="en-US"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，根据项目水平衡，单口井钻进结束后钻井废水用于下一口井钻井液配置，钻井废水最终产生量为1139m</w:t>
            </w:r>
            <w:r>
              <w:rPr>
                <w:rFonts w:hint="eastAsia" w:ascii="Times New Roman" w:hAnsi="Times New Roman" w:cs="Times New Roman"/>
                <w:color w:val="000000" w:themeColor="text1"/>
                <w:vertAlign w:val="superscript"/>
                <w:lang w:val="en-US"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钻井结束后，不能回用的钻井废水委托</w:t>
            </w:r>
            <w:r>
              <w:rPr>
                <w:rFonts w:hint="eastAsia"/>
                <w:color w:val="000000" w:themeColor="text1"/>
                <w:lang w:val="en-US" w:eastAsia="zh-CN"/>
                <w14:textFill>
                  <w14:solidFill>
                    <w14:schemeClr w14:val="tx1"/>
                  </w14:solidFill>
                </w14:textFill>
              </w:rPr>
              <w:t>陕西榆佳环保科技有限公司</w:t>
            </w:r>
            <w:r>
              <w:rPr>
                <w:rFonts w:hint="default" w:ascii="Times New Roman" w:hAnsi="Times New Roman" w:cs="Times New Roman"/>
                <w:color w:val="000000" w:themeColor="text1"/>
                <w:lang w:val="en-US" w:eastAsia="zh-CN"/>
                <w14:textFill>
                  <w14:solidFill>
                    <w14:schemeClr w14:val="tx1"/>
                  </w14:solidFill>
                </w14:textFill>
              </w:rPr>
              <w:t>采用</w:t>
            </w:r>
            <w:r>
              <w:rPr>
                <w:rFonts w:hint="default" w:ascii="Times New Roman" w:hAnsi="Times New Roman" w:cs="Times New Roman"/>
                <w:color w:val="000000" w:themeColor="text1"/>
                <w:sz w:val="24"/>
                <w14:textFill>
                  <w14:solidFill>
                    <w14:schemeClr w14:val="tx1"/>
                  </w14:solidFill>
                </w14:textFill>
              </w:rPr>
              <w:t>防渗漏、防溢流的罐车</w:t>
            </w:r>
            <w:r>
              <w:rPr>
                <w:rFonts w:hint="default" w:ascii="Times New Roman" w:hAnsi="Times New Roman" w:cs="Times New Roman"/>
                <w:color w:val="000000" w:themeColor="text1"/>
                <w:lang w:val="en-US" w:eastAsia="zh-CN"/>
                <w14:textFill>
                  <w14:solidFill>
                    <w14:schemeClr w14:val="tx1"/>
                  </w14:solidFill>
                </w14:textFill>
              </w:rPr>
              <w:t>外运处置。</w:t>
            </w:r>
            <w:r>
              <w:rPr>
                <w:rFonts w:hint="eastAsia" w:ascii="Times New Roman" w:hAnsi="Times New Roman" w:cs="Times New Roman"/>
                <w:color w:val="000000" w:themeColor="text1"/>
                <w:lang w:val="en-US" w:eastAsia="zh-CN"/>
                <w14:textFill>
                  <w14:solidFill>
                    <w14:schemeClr w14:val="tx1"/>
                  </w14:solidFill>
                </w14:textFill>
              </w:rPr>
              <w:t>钻井废水主要水质指标见下表：</w:t>
            </w:r>
          </w:p>
          <w:p w14:paraId="64DEFCC8">
            <w:pPr>
              <w:pStyle w:val="27"/>
              <w:keepNext/>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表4-1   钻井废水水质指标</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950"/>
              <w:gridCol w:w="1175"/>
              <w:gridCol w:w="1172"/>
              <w:gridCol w:w="1357"/>
              <w:gridCol w:w="1581"/>
              <w:gridCol w:w="1247"/>
            </w:tblGrid>
            <w:tr w14:paraId="3D056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2" w:type="pct"/>
                  <w:vAlign w:val="center"/>
                </w:tcPr>
                <w:p w14:paraId="598044E4">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废液类型</w:t>
                  </w:r>
                </w:p>
              </w:tc>
              <w:tc>
                <w:tcPr>
                  <w:tcW w:w="544" w:type="pct"/>
                  <w:vAlign w:val="center"/>
                </w:tcPr>
                <w:p w14:paraId="618F1792">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pH</w:t>
                  </w:r>
                </w:p>
              </w:tc>
              <w:tc>
                <w:tcPr>
                  <w:tcW w:w="673" w:type="pct"/>
                  <w:vAlign w:val="center"/>
                </w:tcPr>
                <w:p w14:paraId="1EE92E41">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悬浮物（mg/L）</w:t>
                  </w:r>
                </w:p>
              </w:tc>
              <w:tc>
                <w:tcPr>
                  <w:tcW w:w="671" w:type="pct"/>
                  <w:vAlign w:val="center"/>
                </w:tcPr>
                <w:p w14:paraId="6328A74B">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石油类（mg/L）</w:t>
                  </w:r>
                </w:p>
              </w:tc>
              <w:tc>
                <w:tcPr>
                  <w:tcW w:w="777" w:type="pct"/>
                  <w:vAlign w:val="center"/>
                </w:tcPr>
                <w:p w14:paraId="57AEFC42">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COD（mg/L）</w:t>
                  </w:r>
                </w:p>
              </w:tc>
              <w:tc>
                <w:tcPr>
                  <w:tcW w:w="905" w:type="pct"/>
                  <w:vAlign w:val="center"/>
                </w:tcPr>
                <w:p w14:paraId="042C0F5B">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氯化物（mg/L）</w:t>
                  </w:r>
                </w:p>
              </w:tc>
              <w:tc>
                <w:tcPr>
                  <w:tcW w:w="714" w:type="pct"/>
                  <w:vAlign w:val="center"/>
                </w:tcPr>
                <w:p w14:paraId="59E5796C">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溶解性总固体（mg/L）</w:t>
                  </w:r>
                </w:p>
              </w:tc>
            </w:tr>
            <w:tr w14:paraId="5C096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pct"/>
                  <w:vAlign w:val="center"/>
                </w:tcPr>
                <w:p w14:paraId="45289085">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钻井废水</w:t>
                  </w:r>
                </w:p>
              </w:tc>
              <w:tc>
                <w:tcPr>
                  <w:tcW w:w="544" w:type="pct"/>
                  <w:vAlign w:val="center"/>
                </w:tcPr>
                <w:p w14:paraId="4D77CC8F">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7-8</w:t>
                  </w:r>
                </w:p>
              </w:tc>
              <w:tc>
                <w:tcPr>
                  <w:tcW w:w="673" w:type="pct"/>
                  <w:vAlign w:val="center"/>
                </w:tcPr>
                <w:p w14:paraId="4B780C10">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vertAlign w:val="baseline"/>
                      <w:lang w:val="en-US" w:eastAsia="zh-CN"/>
                      <w14:textFill>
                        <w14:solidFill>
                          <w14:schemeClr w14:val="tx1"/>
                        </w14:solidFill>
                      </w14:textFill>
                    </w:rPr>
                    <w:t>≦</w:t>
                  </w:r>
                  <w:r>
                    <w:rPr>
                      <w:rFonts w:hint="default" w:ascii="Times New Roman" w:hAnsi="Times New Roman" w:cs="Times New Roman"/>
                      <w:color w:val="000000" w:themeColor="text1"/>
                      <w:vertAlign w:val="baseline"/>
                      <w:lang w:val="en-US" w:eastAsia="zh-CN"/>
                      <w14:textFill>
                        <w14:solidFill>
                          <w14:schemeClr w14:val="tx1"/>
                        </w14:solidFill>
                      </w14:textFill>
                    </w:rPr>
                    <w:t>500</w:t>
                  </w:r>
                </w:p>
              </w:tc>
              <w:tc>
                <w:tcPr>
                  <w:tcW w:w="671" w:type="pct"/>
                  <w:vAlign w:val="center"/>
                </w:tcPr>
                <w:p w14:paraId="5D1CD1BB">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vertAlign w:val="baseline"/>
                      <w:lang w:val="en-US" w:eastAsia="zh-CN"/>
                      <w14:textFill>
                        <w14:solidFill>
                          <w14:schemeClr w14:val="tx1"/>
                        </w14:solidFill>
                      </w14:textFill>
                    </w:rPr>
                    <w:t>≦20</w:t>
                  </w:r>
                </w:p>
              </w:tc>
              <w:tc>
                <w:tcPr>
                  <w:tcW w:w="777" w:type="pct"/>
                  <w:vAlign w:val="center"/>
                </w:tcPr>
                <w:p w14:paraId="16186534">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vertAlign w:val="baseline"/>
                      <w:lang w:val="en-US" w:eastAsia="zh-CN"/>
                      <w14:textFill>
                        <w14:solidFill>
                          <w14:schemeClr w14:val="tx1"/>
                        </w14:solidFill>
                      </w14:textFill>
                    </w:rPr>
                    <w:t>≦3000</w:t>
                  </w:r>
                </w:p>
              </w:tc>
              <w:tc>
                <w:tcPr>
                  <w:tcW w:w="905" w:type="pct"/>
                  <w:vAlign w:val="center"/>
                </w:tcPr>
                <w:p w14:paraId="7FB8FE9D">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vertAlign w:val="baseline"/>
                      <w:lang w:val="en-US" w:eastAsia="zh-CN"/>
                      <w14:textFill>
                        <w14:solidFill>
                          <w14:schemeClr w14:val="tx1"/>
                        </w14:solidFill>
                      </w14:textFill>
                    </w:rPr>
                    <w:t>≦800</w:t>
                  </w:r>
                </w:p>
              </w:tc>
              <w:tc>
                <w:tcPr>
                  <w:tcW w:w="714" w:type="pct"/>
                  <w:vAlign w:val="center"/>
                </w:tcPr>
                <w:p w14:paraId="49EEB39B">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vertAlign w:val="baseline"/>
                      <w:lang w:val="en-US" w:eastAsia="zh-CN"/>
                      <w14:textFill>
                        <w14:solidFill>
                          <w14:schemeClr w14:val="tx1"/>
                        </w14:solidFill>
                      </w14:textFill>
                    </w:rPr>
                    <w:t>≦4000</w:t>
                  </w:r>
                </w:p>
              </w:tc>
            </w:tr>
          </w:tbl>
          <w:p w14:paraId="776C06CF">
            <w:pPr>
              <w:pStyle w:val="27"/>
              <w:keepNext/>
              <w:keepLines/>
              <w:pageBreakBefore w:val="0"/>
              <w:widowControl w:val="0"/>
              <w:kinsoku/>
              <w:wordWrap/>
              <w:overflowPunct/>
              <w:topLinePunct w:val="0"/>
              <w:autoSpaceDE/>
              <w:autoSpaceDN/>
              <w:bidi w:val="0"/>
              <w:rPr>
                <w:rFonts w:hint="eastAsia"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钻井废水除含有以上污染物外，另含有挥发酚等，矿化度较高。</w:t>
            </w:r>
          </w:p>
          <w:p w14:paraId="04E2D195">
            <w:pPr>
              <w:pStyle w:val="2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非正常状况下，应立即停止钻井减少钻井泥浆产生量，将钻井泥浆暂存至洗井废水罐，确保钻井废水在井场内不落地、不外排。因此，钻井废水不会对地表水体产生影响。</w:t>
            </w:r>
          </w:p>
          <w:p w14:paraId="5E1640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（2）洗井废水</w:t>
            </w:r>
          </w:p>
          <w:p w14:paraId="230D32CC">
            <w:pPr>
              <w:pStyle w:val="27"/>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本项目施工期较短，洗井废水属于水基矿物质悬浊液，主要由清水、氯化钾、重晶石、碳酸钠、膨润土、盐、石灰、石膏、腐殖酸等多种物质组成，回返地面时携带大量来自地下的泥土、矿物等</w:t>
            </w:r>
            <w:r>
              <w:rPr>
                <w:rFonts w:hint="eastAsia" w:ascii="Times New Roman" w:hAnsi="Times New Roman" w:cs="Times New Roman"/>
                <w:color w:val="000000" w:themeColor="text1"/>
                <w:lang w:val="en-US" w:eastAsia="zh-CN"/>
                <w14:textFill>
                  <w14:solidFill>
                    <w14:schemeClr w14:val="tx1"/>
                  </w14:solidFill>
                </w14:textFill>
              </w:rPr>
              <w:t>。</w:t>
            </w:r>
          </w:p>
          <w:p w14:paraId="4BEA32C3">
            <w:pPr>
              <w:pStyle w:val="27"/>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洗井废水主要包括钻井过程中冲洗钻台、钻具和钻井井筒的清洗废水，污染物种类主要为</w:t>
            </w:r>
            <w:r>
              <w:rPr>
                <w:rFonts w:hint="default" w:ascii="Times New Roman" w:hAnsi="Times New Roman" w:cs="Times New Roman"/>
                <w:color w:val="000000" w:themeColor="text1"/>
                <w14:textFill>
                  <w14:solidFill>
                    <w14:schemeClr w14:val="tx1"/>
                  </w14:solidFill>
                </w14:textFill>
              </w:rPr>
              <w:t>SS、COD</w:t>
            </w:r>
            <w:r>
              <w:rPr>
                <w:rFonts w:hint="eastAsia"/>
                <w:color w:val="000000" w:themeColor="text1"/>
                <w14:textFill>
                  <w14:solidFill>
                    <w14:schemeClr w14:val="tx1"/>
                  </w14:solidFill>
                </w14:textFill>
              </w:rPr>
              <w:t>和石油类</w:t>
            </w:r>
            <w:r>
              <w:rPr>
                <w:rFonts w:hint="default" w:ascii="Times New Roman" w:hAnsi="Times New Roman" w:cs="Times New Roman"/>
                <w:color w:val="000000" w:themeColor="text1"/>
                <w:lang w:val="en-US" w:eastAsia="zh-CN"/>
                <w14:textFill>
                  <w14:solidFill>
                    <w14:schemeClr w14:val="tx1"/>
                  </w14:solidFill>
                </w14:textFill>
              </w:rPr>
              <w:t>。洗井废水在井场内不落地、不外排</w:t>
            </w:r>
            <w:r>
              <w:rPr>
                <w:rFonts w:hint="eastAsia" w:ascii="Times New Roman" w:hAnsi="Times New Roman" w:cs="Times New Roman"/>
                <w:color w:val="000000" w:themeColor="text1"/>
                <w:lang w:val="en-US" w:eastAsia="zh-CN"/>
                <w14:textFill>
                  <w14:solidFill>
                    <w14:schemeClr w14:val="tx1"/>
                  </w14:solidFill>
                </w14:textFill>
              </w:rPr>
              <w:t>，钻井结束后交陕西榆佳环保科技有限公司处置。洗井废水主要污染物及浓度见下表：</w:t>
            </w:r>
          </w:p>
          <w:p w14:paraId="5B299710">
            <w:pPr>
              <w:pStyle w:val="27"/>
              <w:keepNext/>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bCs/>
                <w:color w:val="000000" w:themeColor="text1"/>
                <w:lang w:val="en-US" w:eastAsia="zh-CN"/>
                <w14:textFill>
                  <w14:solidFill>
                    <w14:schemeClr w14:val="tx1"/>
                  </w14:solidFill>
                </w14:textFill>
              </w:rPr>
            </w:pPr>
          </w:p>
          <w:p w14:paraId="509ABC21">
            <w:pPr>
              <w:pStyle w:val="27"/>
              <w:keepNext/>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bCs/>
                <w:color w:val="000000" w:themeColor="text1"/>
                <w:lang w:val="en-US" w:eastAsia="zh-CN"/>
                <w14:textFill>
                  <w14:solidFill>
                    <w14:schemeClr w14:val="tx1"/>
                  </w14:solidFill>
                </w14:textFill>
              </w:rPr>
            </w:pPr>
          </w:p>
          <w:p w14:paraId="5319E972">
            <w:pPr>
              <w:pStyle w:val="27"/>
              <w:keepNext/>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表4-2   洗井废水水质指标</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5"/>
              <w:gridCol w:w="1409"/>
              <w:gridCol w:w="1741"/>
              <w:gridCol w:w="1723"/>
              <w:gridCol w:w="2010"/>
            </w:tblGrid>
            <w:tr w14:paraId="3526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pct"/>
                  <w:vAlign w:val="center"/>
                </w:tcPr>
                <w:p w14:paraId="17C76D8E">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废液类型</w:t>
                  </w:r>
                </w:p>
              </w:tc>
              <w:tc>
                <w:tcPr>
                  <w:tcW w:w="807" w:type="pct"/>
                  <w:vAlign w:val="center"/>
                </w:tcPr>
                <w:p w14:paraId="14DEA685">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pH</w:t>
                  </w:r>
                </w:p>
              </w:tc>
              <w:tc>
                <w:tcPr>
                  <w:tcW w:w="997" w:type="pct"/>
                  <w:vAlign w:val="center"/>
                </w:tcPr>
                <w:p w14:paraId="56F6D64B">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悬浮物（mg/L）</w:t>
                  </w:r>
                </w:p>
              </w:tc>
              <w:tc>
                <w:tcPr>
                  <w:tcW w:w="987" w:type="pct"/>
                  <w:vAlign w:val="center"/>
                </w:tcPr>
                <w:p w14:paraId="7675FF01">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石油类（mg/L）</w:t>
                  </w:r>
                </w:p>
              </w:tc>
              <w:tc>
                <w:tcPr>
                  <w:tcW w:w="1151" w:type="pct"/>
                  <w:vAlign w:val="center"/>
                </w:tcPr>
                <w:p w14:paraId="72C2AF09">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COD（mg/L）</w:t>
                  </w:r>
                </w:p>
              </w:tc>
            </w:tr>
            <w:tr w14:paraId="6BDED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pct"/>
                  <w:vAlign w:val="center"/>
                </w:tcPr>
                <w:p w14:paraId="21076D33">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eastAsia" w:ascii="Times New Roman" w:hAnsi="Times New Roman" w:cs="Times New Roman"/>
                      <w:color w:val="000000" w:themeColor="text1"/>
                      <w:vertAlign w:val="baseline"/>
                      <w:lang w:val="en-US" w:eastAsia="zh-CN"/>
                      <w14:textFill>
                        <w14:solidFill>
                          <w14:schemeClr w14:val="tx1"/>
                        </w14:solidFill>
                      </w14:textFill>
                    </w:rPr>
                    <w:t>洗井</w:t>
                  </w:r>
                  <w:r>
                    <w:rPr>
                      <w:rFonts w:hint="default" w:ascii="Times New Roman" w:hAnsi="Times New Roman" w:cs="Times New Roman"/>
                      <w:color w:val="000000" w:themeColor="text1"/>
                      <w:vertAlign w:val="baseline"/>
                      <w:lang w:val="en-US" w:eastAsia="zh-CN"/>
                      <w14:textFill>
                        <w14:solidFill>
                          <w14:schemeClr w14:val="tx1"/>
                        </w14:solidFill>
                      </w14:textFill>
                    </w:rPr>
                    <w:t>废水</w:t>
                  </w:r>
                </w:p>
              </w:tc>
              <w:tc>
                <w:tcPr>
                  <w:tcW w:w="807" w:type="pct"/>
                  <w:vAlign w:val="center"/>
                </w:tcPr>
                <w:p w14:paraId="1D78B686">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7-8</w:t>
                  </w:r>
                </w:p>
              </w:tc>
              <w:tc>
                <w:tcPr>
                  <w:tcW w:w="997" w:type="pct"/>
                  <w:vAlign w:val="center"/>
                </w:tcPr>
                <w:p w14:paraId="7DDD21F8">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t>2</w:t>
                  </w:r>
                  <w:r>
                    <w:rPr>
                      <w:rFonts w:hint="default" w:ascii="Times New Roman" w:hAnsi="Times New Roman" w:cs="Times New Roman"/>
                      <w:color w:val="000000" w:themeColor="text1"/>
                      <w:vertAlign w:val="baseline"/>
                      <w:lang w:val="en-US" w:eastAsia="zh-CN"/>
                      <w14:textFill>
                        <w14:solidFill>
                          <w14:schemeClr w14:val="tx1"/>
                        </w14:solidFill>
                      </w14:textFill>
                    </w:rPr>
                    <w:t>500</w:t>
                  </w:r>
                </w:p>
              </w:tc>
              <w:tc>
                <w:tcPr>
                  <w:tcW w:w="987" w:type="pct"/>
                  <w:vAlign w:val="center"/>
                </w:tcPr>
                <w:p w14:paraId="554D4DF2">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t>80</w:t>
                  </w:r>
                </w:p>
              </w:tc>
              <w:tc>
                <w:tcPr>
                  <w:tcW w:w="1151" w:type="pct"/>
                  <w:vAlign w:val="center"/>
                </w:tcPr>
                <w:p w14:paraId="69F10E19">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vertAlign w:val="baseline"/>
                      <w:lang w:val="en-US" w:eastAsia="zh-CN"/>
                      <w14:textFill>
                        <w14:solidFill>
                          <w14:schemeClr w14:val="tx1"/>
                        </w14:solidFill>
                      </w14:textFill>
                    </w:rPr>
                    <w:t>4500</w:t>
                  </w:r>
                </w:p>
              </w:tc>
            </w:tr>
          </w:tbl>
          <w:p w14:paraId="2B6200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（3）压裂返排液</w:t>
            </w:r>
          </w:p>
          <w:p w14:paraId="3FDAC594">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根据勘探项目组多年勘探经验，每次注入压裂液量约</w:t>
            </w:r>
            <w:r>
              <w:rPr>
                <w:rFonts w:hint="eastAsia" w:ascii="Times New Roman" w:hAnsi="Times New Roman" w:cs="Times New Roman"/>
                <w:color w:val="000000" w:themeColor="text1"/>
                <w:lang w:val="en-US" w:eastAsia="zh-CN"/>
                <w14:textFill>
                  <w14:solidFill>
                    <w14:schemeClr w14:val="tx1"/>
                  </w14:solidFill>
                </w14:textFill>
              </w:rPr>
              <w:t>150</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（通过泵注入，每次注入时间约2-3h），共注入2次，</w:t>
            </w:r>
            <w:r>
              <w:rPr>
                <w:rFonts w:hint="eastAsia" w:ascii="Times New Roman" w:hAnsi="Times New Roman" w:cs="Times New Roman"/>
                <w:color w:val="000000" w:themeColor="text1"/>
                <w:lang w:val="en-US" w:eastAsia="zh-CN"/>
                <w14:textFill>
                  <w14:solidFill>
                    <w14:schemeClr w14:val="tx1"/>
                  </w14:solidFill>
                </w14:textFill>
              </w:rPr>
              <w:t>单井</w:t>
            </w:r>
            <w:r>
              <w:rPr>
                <w:rFonts w:hint="default" w:ascii="Times New Roman" w:hAnsi="Times New Roman" w:cs="Times New Roman"/>
                <w:color w:val="000000" w:themeColor="text1"/>
                <w:lang w:val="en-US" w:eastAsia="zh-CN"/>
                <w14:textFill>
                  <w14:solidFill>
                    <w14:schemeClr w14:val="tx1"/>
                  </w14:solidFill>
                </w14:textFill>
              </w:rPr>
              <w:t>注入压裂液总量约</w:t>
            </w:r>
            <w:r>
              <w:rPr>
                <w:rFonts w:hint="eastAsia" w:ascii="Times New Roman" w:hAnsi="Times New Roman" w:cs="Times New Roman"/>
                <w:color w:val="000000" w:themeColor="text1"/>
                <w:lang w:val="en-US" w:eastAsia="zh-CN"/>
                <w14:textFill>
                  <w14:solidFill>
                    <w14:schemeClr w14:val="tx1"/>
                  </w14:solidFill>
                </w14:textFill>
              </w:rPr>
              <w:t>300</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。受地层压力作用，压裂后会产生压裂返排液，返排时间约为6-10天，每天返排压裂废水量约15-25m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，本项目</w:t>
            </w:r>
            <w:r>
              <w:rPr>
                <w:rFonts w:hint="eastAsia" w:ascii="Times New Roman" w:hAnsi="Times New Roman" w:cs="Times New Roman"/>
                <w:color w:val="000000" w:themeColor="text1"/>
                <w:lang w:val="en-US" w:eastAsia="zh-CN"/>
                <w14:textFill>
                  <w14:solidFill>
                    <w14:schemeClr w14:val="tx1"/>
                  </w14:solidFill>
                </w14:textFill>
              </w:rPr>
              <w:t>单井</w:t>
            </w:r>
            <w:r>
              <w:rPr>
                <w:rFonts w:hint="default" w:ascii="Times New Roman" w:hAnsi="Times New Roman" w:cs="Times New Roman"/>
                <w:color w:val="000000" w:themeColor="text1"/>
                <w:lang w:val="en-US" w:eastAsia="zh-CN"/>
                <w14:textFill>
                  <w14:solidFill>
                    <w14:schemeClr w14:val="tx1"/>
                  </w14:solidFill>
                </w14:textFill>
              </w:rPr>
              <w:t>压裂废水产生量约为</w:t>
            </w:r>
            <w:r>
              <w:rPr>
                <w:rFonts w:hint="eastAsia" w:ascii="Times New Roman" w:hAnsi="Times New Roman" w:cs="Times New Roman"/>
                <w:color w:val="000000" w:themeColor="text1"/>
                <w:lang w:val="en-US" w:eastAsia="zh-CN"/>
                <w14:textFill>
                  <w14:solidFill>
                    <w14:schemeClr w14:val="tx1"/>
                  </w14:solidFill>
                </w14:textFill>
              </w:rPr>
              <w:t>240</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则共产生</w:t>
            </w:r>
            <w:r>
              <w:rPr>
                <w:rFonts w:hint="default" w:ascii="Times New Roman" w:hAnsi="Times New Roman" w:cs="Times New Roman"/>
                <w:color w:val="000000" w:themeColor="text1"/>
                <w:lang w:val="en-US" w:eastAsia="zh-CN"/>
                <w14:textFill>
                  <w14:solidFill>
                    <w14:schemeClr w14:val="tx1"/>
                  </w14:solidFill>
                </w14:textFill>
              </w:rPr>
              <w:t>压裂废水产生量约为</w:t>
            </w:r>
            <w:r>
              <w:rPr>
                <w:rFonts w:hint="eastAsia" w:ascii="Times New Roman" w:hAnsi="Times New Roman" w:cs="Times New Roman"/>
                <w:color w:val="000000" w:themeColor="text1"/>
                <w:lang w:val="en-US" w:eastAsia="zh-CN"/>
                <w14:textFill>
                  <w14:solidFill>
                    <w14:schemeClr w14:val="tx1"/>
                  </w14:solidFill>
                </w14:textFill>
              </w:rPr>
              <w:t>960</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eastAsia" w:ascii="Times New Roman" w:hAnsi="Times New Roman" w:cs="Times New Roman"/>
                <w:color w:val="000000" w:themeColor="text1"/>
                <w:vertAlign w:val="baseline"/>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其余压裂液在压裂过程中进入</w:t>
            </w:r>
            <w:r>
              <w:rPr>
                <w:rFonts w:hint="eastAsia" w:ascii="Times New Roman" w:hAnsi="Times New Roman" w:cs="Times New Roman"/>
                <w:color w:val="000000" w:themeColor="text1"/>
                <w:lang w:val="en-US" w:eastAsia="zh-CN"/>
                <w14:textFill>
                  <w14:solidFill>
                    <w14:schemeClr w14:val="tx1"/>
                  </w14:solidFill>
                </w14:textFill>
              </w:rPr>
              <w:t>压裂层</w:t>
            </w:r>
            <w:r>
              <w:rPr>
                <w:rFonts w:hint="default" w:ascii="Times New Roman" w:hAnsi="Times New Roman" w:cs="Times New Roman"/>
                <w:color w:val="000000" w:themeColor="text1"/>
                <w:lang w:val="en-US" w:eastAsia="zh-CN"/>
                <w14:textFill>
                  <w14:solidFill>
                    <w14:schemeClr w14:val="tx1"/>
                  </w14:solidFill>
                </w14:textFill>
              </w:rPr>
              <w:t>。</w:t>
            </w:r>
          </w:p>
          <w:p w14:paraId="4DE1D867">
            <w:pPr>
              <w:pStyle w:val="27"/>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依据《长庆油田</w:t>
            </w:r>
            <w:r>
              <w:rPr>
                <w:rFonts w:hint="default" w:ascii="Times New Roman" w:hAnsi="Times New Roman" w:cs="Times New Roman"/>
                <w:color w:val="000000" w:themeColor="text1"/>
                <w:lang w:val="en-US" w:eastAsia="zh-CN"/>
                <w14:textFill>
                  <w14:solidFill>
                    <w14:schemeClr w14:val="tx1"/>
                  </w14:solidFill>
                </w14:textFill>
              </w:rPr>
              <w:t>2019</w:t>
            </w:r>
            <w:r>
              <w:rPr>
                <w:rFonts w:hint="eastAsia" w:ascii="Times New Roman" w:hAnsi="Times New Roman" w:cs="Times New Roman"/>
                <w:color w:val="000000" w:themeColor="text1"/>
                <w:lang w:val="en-US" w:eastAsia="zh-CN"/>
                <w14:textFill>
                  <w14:solidFill>
                    <w14:schemeClr w14:val="tx1"/>
                  </w14:solidFill>
                </w14:textFill>
              </w:rPr>
              <w:t>年措施返排液处理站实施方案（第一批）》（西安长庆科技工程有限责任公司）对各采气厂运行过程中产生的各类措施返排液成分进行了实测分析，以作为措施返排液处理站设计进水水质指标，根据该普测统计数据，水质指标见下表：</w:t>
            </w:r>
          </w:p>
          <w:p w14:paraId="77F05148">
            <w:pPr>
              <w:pStyle w:val="27"/>
              <w:keepNext/>
              <w:keepLines/>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表4-3   压裂返排液水质指标</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938"/>
              <w:gridCol w:w="1163"/>
              <w:gridCol w:w="1161"/>
              <w:gridCol w:w="1427"/>
              <w:gridCol w:w="1570"/>
              <w:gridCol w:w="1236"/>
            </w:tblGrid>
            <w:tr w14:paraId="1FC20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pct"/>
                  <w:vAlign w:val="center"/>
                </w:tcPr>
                <w:p w14:paraId="42801F15">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废液类型</w:t>
                  </w:r>
                </w:p>
              </w:tc>
              <w:tc>
                <w:tcPr>
                  <w:tcW w:w="537" w:type="pct"/>
                  <w:vAlign w:val="center"/>
                </w:tcPr>
                <w:p w14:paraId="063F818B">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pH</w:t>
                  </w:r>
                </w:p>
              </w:tc>
              <w:tc>
                <w:tcPr>
                  <w:tcW w:w="666" w:type="pct"/>
                  <w:vAlign w:val="center"/>
                </w:tcPr>
                <w:p w14:paraId="1391F5A4">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含油量</w:t>
                  </w: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（mg/L）</w:t>
                  </w:r>
                </w:p>
              </w:tc>
              <w:tc>
                <w:tcPr>
                  <w:tcW w:w="665" w:type="pct"/>
                  <w:vAlign w:val="center"/>
                </w:tcPr>
                <w:p w14:paraId="230FCED6">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悬浮物</w:t>
                  </w: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（mg/L）</w:t>
                  </w:r>
                </w:p>
              </w:tc>
              <w:tc>
                <w:tcPr>
                  <w:tcW w:w="817" w:type="pct"/>
                  <w:vAlign w:val="center"/>
                </w:tcPr>
                <w:p w14:paraId="4CB11B9A">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矿化度</w:t>
                  </w: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（mg/L）</w:t>
                  </w:r>
                </w:p>
              </w:tc>
              <w:tc>
                <w:tcPr>
                  <w:tcW w:w="899" w:type="pct"/>
                  <w:vAlign w:val="center"/>
                </w:tcPr>
                <w:p w14:paraId="546CCB71">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总硬度</w:t>
                  </w: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（mg/L）</w:t>
                  </w:r>
                </w:p>
              </w:tc>
              <w:tc>
                <w:tcPr>
                  <w:tcW w:w="708" w:type="pct"/>
                  <w:vAlign w:val="center"/>
                </w:tcPr>
                <w:p w14:paraId="330B2CAF">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溶解氧</w:t>
                  </w: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（mg/L）</w:t>
                  </w:r>
                </w:p>
              </w:tc>
            </w:tr>
            <w:tr w14:paraId="40D83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pct"/>
                  <w:vAlign w:val="center"/>
                </w:tcPr>
                <w:p w14:paraId="57E71222">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压裂返排液</w:t>
                  </w:r>
                </w:p>
              </w:tc>
              <w:tc>
                <w:tcPr>
                  <w:tcW w:w="537" w:type="pct"/>
                  <w:vAlign w:val="center"/>
                </w:tcPr>
                <w:p w14:paraId="2FDA9EDA">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6-9</w:t>
                  </w:r>
                </w:p>
              </w:tc>
              <w:tc>
                <w:tcPr>
                  <w:tcW w:w="666" w:type="pct"/>
                  <w:vAlign w:val="center"/>
                </w:tcPr>
                <w:p w14:paraId="59C66ACB">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20~50</w:t>
                  </w:r>
                </w:p>
              </w:tc>
              <w:tc>
                <w:tcPr>
                  <w:tcW w:w="665" w:type="pct"/>
                  <w:vAlign w:val="center"/>
                </w:tcPr>
                <w:p w14:paraId="0084B9ED">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100~300</w:t>
                  </w:r>
                </w:p>
              </w:tc>
              <w:tc>
                <w:tcPr>
                  <w:tcW w:w="817" w:type="pct"/>
                  <w:vAlign w:val="center"/>
                </w:tcPr>
                <w:p w14:paraId="28C263C6">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5000~10000</w:t>
                  </w:r>
                </w:p>
              </w:tc>
              <w:tc>
                <w:tcPr>
                  <w:tcW w:w="899" w:type="pct"/>
                  <w:vAlign w:val="center"/>
                </w:tcPr>
                <w:p w14:paraId="712429FF">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1000~2500</w:t>
                  </w:r>
                </w:p>
              </w:tc>
              <w:tc>
                <w:tcPr>
                  <w:tcW w:w="708" w:type="pct"/>
                  <w:vAlign w:val="center"/>
                </w:tcPr>
                <w:p w14:paraId="5580A2BE">
                  <w:pPr>
                    <w:pStyle w:val="27"/>
                    <w:keepNext/>
                    <w:keepLines/>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1~3</w:t>
                  </w:r>
                </w:p>
              </w:tc>
            </w:tr>
          </w:tbl>
          <w:p w14:paraId="40A22FE0">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根据榆林市生态环境局《关于印发榆林市油气开发压裂反排液处置管理规定的通知》（榆政环发</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2023</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71号）规定：油（气）井场要在压裂及其它井下作业前配备废水地上收集罐，对压裂返排液及其它废水进行统一收集；未配备废水收集罐的井场不得开展相关作业。</w:t>
            </w:r>
          </w:p>
          <w:p w14:paraId="4B3B6E63">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本项目压裂返排液临时收集贮存于专用收集罐，委托</w:t>
            </w:r>
            <w:r>
              <w:rPr>
                <w:rFonts w:hint="default"/>
                <w:color w:val="000000" w:themeColor="text1"/>
                <w:lang w:val="en-US" w:eastAsia="zh-CN"/>
                <w14:textFill>
                  <w14:solidFill>
                    <w14:schemeClr w14:val="tx1"/>
                  </w14:solidFill>
                </w14:textFill>
              </w:rPr>
              <w:t>陕西</w:t>
            </w:r>
            <w:r>
              <w:rPr>
                <w:rFonts w:hint="eastAsia"/>
                <w:color w:val="000000" w:themeColor="text1"/>
                <w:lang w:val="en-US" w:eastAsia="zh-CN"/>
                <w14:textFill>
                  <w14:solidFill>
                    <w14:schemeClr w14:val="tx1"/>
                  </w14:solidFill>
                </w14:textFill>
              </w:rPr>
              <w:t>榆佳环保科技有限公司</w:t>
            </w:r>
            <w:r>
              <w:rPr>
                <w:rFonts w:hint="default" w:ascii="Times New Roman" w:hAnsi="Times New Roman" w:cs="Times New Roman"/>
                <w:color w:val="000000" w:themeColor="text1"/>
                <w:lang w:val="en-US" w:eastAsia="zh-CN"/>
                <w14:textFill>
                  <w14:solidFill>
                    <w14:schemeClr w14:val="tx1"/>
                  </w14:solidFill>
                </w14:textFill>
              </w:rPr>
              <w:t>采用</w:t>
            </w:r>
            <w:r>
              <w:rPr>
                <w:rFonts w:hint="default" w:ascii="Times New Roman" w:hAnsi="Times New Roman" w:cs="Times New Roman"/>
                <w:color w:val="000000" w:themeColor="text1"/>
                <w:sz w:val="24"/>
                <w14:textFill>
                  <w14:solidFill>
                    <w14:schemeClr w14:val="tx1"/>
                  </w14:solidFill>
                </w14:textFill>
              </w:rPr>
              <w:t>防渗漏、防溢流的罐车</w:t>
            </w:r>
            <w:r>
              <w:rPr>
                <w:rFonts w:hint="default" w:ascii="Times New Roman" w:hAnsi="Times New Roman" w:cs="Times New Roman"/>
                <w:color w:val="000000" w:themeColor="text1"/>
                <w:sz w:val="24"/>
                <w:lang w:val="en-US" w:eastAsia="zh-CN"/>
                <w14:textFill>
                  <w14:solidFill>
                    <w14:schemeClr w14:val="tx1"/>
                  </w14:solidFill>
                </w14:textFill>
              </w:rPr>
              <w:t>外运</w:t>
            </w:r>
            <w:r>
              <w:rPr>
                <w:rFonts w:hint="default" w:ascii="Times New Roman" w:hAnsi="Times New Roman" w:cs="Times New Roman"/>
                <w:color w:val="000000" w:themeColor="text1"/>
                <w:lang w:val="en-US" w:eastAsia="zh-CN"/>
                <w14:textFill>
                  <w14:solidFill>
                    <w14:schemeClr w14:val="tx1"/>
                  </w14:solidFill>
                </w14:textFill>
              </w:rPr>
              <w:t>处置。符合《榆林市油气开采废弃物不落地集中处置推广项目建设管理指南（试行）》的管理规定。</w:t>
            </w:r>
          </w:p>
          <w:p w14:paraId="31DFB2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（4）放喷废水</w:t>
            </w:r>
          </w:p>
          <w:p w14:paraId="1DB20F56">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试气过程中，天然气通过井场</w:t>
            </w:r>
            <w:r>
              <w:rPr>
                <w:rFonts w:hint="eastAsia" w:ascii="Times New Roman" w:hAnsi="Times New Roman" w:cs="Times New Roman"/>
                <w:color w:val="000000" w:themeColor="text1"/>
                <w:lang w:val="en-US" w:eastAsia="zh-CN"/>
                <w14:textFill>
                  <w14:solidFill>
                    <w14:schemeClr w14:val="tx1"/>
                  </w14:solidFill>
                </w14:textFill>
              </w:rPr>
              <w:t>放喷池</w:t>
            </w:r>
            <w:r>
              <w:rPr>
                <w:rFonts w:hint="default" w:ascii="Times New Roman" w:hAnsi="Times New Roman" w:cs="Times New Roman"/>
                <w:color w:val="000000" w:themeColor="text1"/>
                <w:lang w:val="en-US" w:eastAsia="zh-CN"/>
                <w14:textFill>
                  <w14:solidFill>
                    <w14:schemeClr w14:val="tx1"/>
                  </w14:solidFill>
                </w14:textFill>
              </w:rPr>
              <w:t>燃烧排放，燃烧产生少量的冷凝水，收集至井场</w:t>
            </w:r>
            <w:r>
              <w:rPr>
                <w:rFonts w:hint="eastAsia" w:ascii="Times New Roman" w:hAnsi="Times New Roman" w:cs="Times New Roman"/>
                <w:color w:val="000000" w:themeColor="text1"/>
                <w:lang w:val="en-US" w:eastAsia="zh-CN"/>
                <w14:textFill>
                  <w14:solidFill>
                    <w14:schemeClr w14:val="tx1"/>
                  </w14:solidFill>
                </w14:textFill>
              </w:rPr>
              <w:t>放喷池</w:t>
            </w:r>
            <w:r>
              <w:rPr>
                <w:rFonts w:hint="default" w:ascii="Times New Roman" w:hAnsi="Times New Roman" w:cs="Times New Roman"/>
                <w:color w:val="000000" w:themeColor="text1"/>
                <w:lang w:val="en-US" w:eastAsia="zh-CN"/>
                <w14:textFill>
                  <w14:solidFill>
                    <w14:schemeClr w14:val="tx1"/>
                  </w14:solidFill>
                </w14:textFill>
              </w:rPr>
              <w:t>内暂存，根据同类型项目资料显示，</w:t>
            </w:r>
            <w:r>
              <w:rPr>
                <w:rFonts w:hint="eastAsia" w:ascii="Times New Roman" w:hAnsi="Times New Roman" w:cs="Times New Roman"/>
                <w:color w:val="000000" w:themeColor="text1"/>
                <w:lang w:val="en-US" w:eastAsia="zh-CN"/>
                <w14:textFill>
                  <w14:solidFill>
                    <w14:schemeClr w14:val="tx1"/>
                  </w14:solidFill>
                </w14:textFill>
              </w:rPr>
              <w:t>单井</w:t>
            </w:r>
            <w:r>
              <w:rPr>
                <w:rFonts w:hint="default" w:ascii="Times New Roman" w:hAnsi="Times New Roman" w:cs="Times New Roman"/>
                <w:color w:val="000000" w:themeColor="text1"/>
                <w:lang w:val="en-US" w:eastAsia="zh-CN"/>
                <w14:textFill>
                  <w14:solidFill>
                    <w14:schemeClr w14:val="tx1"/>
                  </w14:solidFill>
                </w14:textFill>
              </w:rPr>
              <w:t>产生放喷废水的量约为2m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则共</w:t>
            </w:r>
            <w:r>
              <w:rPr>
                <w:rFonts w:hint="default" w:ascii="Times New Roman" w:hAnsi="Times New Roman" w:cs="Times New Roman"/>
                <w:color w:val="000000" w:themeColor="text1"/>
                <w:lang w:val="en-US" w:eastAsia="zh-CN"/>
                <w14:textFill>
                  <w14:solidFill>
                    <w14:schemeClr w14:val="tx1"/>
                  </w14:solidFill>
                </w14:textFill>
              </w:rPr>
              <w:t>产生放喷废水的量约为</w:t>
            </w:r>
            <w:r>
              <w:rPr>
                <w:rFonts w:hint="eastAsia"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。待钻井结束后，委托</w:t>
            </w:r>
            <w:r>
              <w:rPr>
                <w:rFonts w:hint="default"/>
                <w:color w:val="000000" w:themeColor="text1"/>
                <w:lang w:val="en-US" w:eastAsia="zh-CN"/>
                <w14:textFill>
                  <w14:solidFill>
                    <w14:schemeClr w14:val="tx1"/>
                  </w14:solidFill>
                </w14:textFill>
              </w:rPr>
              <w:t>陕西</w:t>
            </w:r>
            <w:r>
              <w:rPr>
                <w:rFonts w:hint="eastAsia"/>
                <w:color w:val="000000" w:themeColor="text1"/>
                <w:lang w:val="en-US" w:eastAsia="zh-CN"/>
                <w14:textFill>
                  <w14:solidFill>
                    <w14:schemeClr w14:val="tx1"/>
                  </w14:solidFill>
                </w14:textFill>
              </w:rPr>
              <w:t>榆佳环保科技有限公司</w:t>
            </w:r>
            <w:r>
              <w:rPr>
                <w:rFonts w:hint="default" w:ascii="Times New Roman" w:hAnsi="Times New Roman" w:cs="Times New Roman"/>
                <w:color w:val="000000" w:themeColor="text1"/>
                <w:lang w:val="en-US" w:eastAsia="zh-CN"/>
                <w14:textFill>
                  <w14:solidFill>
                    <w14:schemeClr w14:val="tx1"/>
                  </w14:solidFill>
                </w14:textFill>
              </w:rPr>
              <w:t>外运处理。放喷废水在井场内不落地、不外排。</w:t>
            </w:r>
          </w:p>
          <w:p w14:paraId="5A2835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（5）生活污水</w:t>
            </w:r>
          </w:p>
          <w:p w14:paraId="0C1A3F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本项目生活污水产生量为</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364</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单井</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井场区</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均</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设置</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环保卫生</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旱厕1座，</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环保</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旱厕定期清掏用于施肥，</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盥洗废水设置15m</w:t>
            </w:r>
            <w:r>
              <w:rPr>
                <w:rFonts w:hint="eastAsia"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沉淀罐，沉淀后的废水全部用于井场洒水抑尘，不外排</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p>
          <w:p w14:paraId="7E2AC7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此外，井场采用雨污分流制。在暴雨季节，加强对井场内废水储存设施巡查，防止场地内废水溢出井场污染环境。</w:t>
            </w:r>
          </w:p>
          <w:p w14:paraId="0D06FC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综上所述，本项目钻井废水、洗井废水、压裂返排液及生活污水采取的水污染控制和水环境影响减缓措施有效，能够确保废水不外排，因此对地表水环境影响可以接受。</w:t>
            </w:r>
          </w:p>
          <w:p w14:paraId="1A3AE65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四、地下水</w:t>
            </w:r>
          </w:p>
          <w:p w14:paraId="76C61C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（1）钻井过程对地下水的影响</w:t>
            </w:r>
          </w:p>
          <w:p w14:paraId="490512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由于各地层岩性、孔隙度不同，对于孔隙度大的地层，在钻井过程中可能会发生钻井液漏失的现象，若漏失地层与含水层之间存在较多的断裂或裂隙，漏失的钻井液就有可能顺着岩层断裂、裂隙进入地下水，造成地下水污染。另外，固井过程中固井液的漏失对地下水也有一定的影响。</w:t>
            </w:r>
          </w:p>
          <w:p w14:paraId="731A63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整个钻井作业按照规章操作，尽量避免因压力激增和开泵过猛使泥浆泵入地层污染地下水；钻井过程中采取泥浆监测，一旦发现漏失采取及时堵漏等措施，既能满足工程要求，又可减少对地下水的影响。项目钻井时采用膨润土浆钻井，固井技术完善，在套管的保护下能有效地保护浅层地下水，对地下水影响较小。</w:t>
            </w:r>
          </w:p>
          <w:p w14:paraId="6544D0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（2）井场污染物入渗对地下水的影响</w:t>
            </w:r>
          </w:p>
          <w:p w14:paraId="0153E5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井场污染物收集、存储措施不到位，容易造成地表污染物入渗，对浅层地下水造成一定的污染。造成地表污染物入渗的主要因素有：洗井废水罐和压裂返排液罐基础防渗措施不到位，运行中出现渗漏；井口作业区、泥浆循环系统区散落的泥浆、废水渗入地下。本项目对洗井废水罐、压裂返排液罐、泥浆循环罐区、岩屑收集箱等位置进行地面防渗和设置围堰，可有效阻断井场污染物入渗地下。</w:t>
            </w:r>
          </w:p>
          <w:p w14:paraId="6A0BCE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（3）地下水串层影响</w:t>
            </w:r>
          </w:p>
          <w:p w14:paraId="200973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本项目位于陕西省榆林市方塌镇，根据图4-1，本项目涉及的地下水为石炭系—侏罗系与上覆松散层水流系统。</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在自然状态下，由于存在隔水层，浅层水与深层水很难相互沟通混合。如果隔水层被人为破坏形成孔洞，浅层污染水就会下渗污染深层水，造成地下水串层污染。因此，项目钻至隔水层，采用速凝水泥迅速封堵隔水层孔洞，防止地下水串层污染。</w:t>
            </w:r>
          </w:p>
          <w:p w14:paraId="6DD0B25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color w:val="000000" w:themeColor="text1"/>
                <w:sz w:val="22"/>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3018155</wp:posOffset>
                      </wp:positionH>
                      <wp:positionV relativeFrom="paragraph">
                        <wp:posOffset>3333750</wp:posOffset>
                      </wp:positionV>
                      <wp:extent cx="914400" cy="366395"/>
                      <wp:effectExtent l="193675" t="80645" r="15875" b="10160"/>
                      <wp:wrapNone/>
                      <wp:docPr id="12" name="圆角矩形标注 12"/>
                      <wp:cNvGraphicFramePr/>
                      <a:graphic xmlns:a="http://schemas.openxmlformats.org/drawingml/2006/main">
                        <a:graphicData uri="http://schemas.microsoft.com/office/word/2010/wordprocessingShape">
                          <wps:wsp>
                            <wps:cNvSpPr/>
                            <wps:spPr>
                              <a:xfrm>
                                <a:off x="4332605" y="8820150"/>
                                <a:ext cx="914400" cy="366395"/>
                              </a:xfrm>
                              <a:prstGeom prst="wedgeRoundRectCallout">
                                <a:avLst>
                                  <a:gd name="adj1" fmla="val -67708"/>
                                  <a:gd name="adj2" fmla="val -63864"/>
                                  <a:gd name="adj3" fmla="val 1666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4E51E71">
                                  <w:pPr>
                                    <w:jc w:val="center"/>
                                    <w:rPr>
                                      <w:rFonts w:hint="default" w:eastAsia="宋体"/>
                                      <w:b/>
                                      <w:bCs/>
                                      <w:color w:val="FF0000"/>
                                      <w:lang w:val="en-US" w:eastAsia="zh-CN"/>
                                    </w:rPr>
                                  </w:pPr>
                                  <w:r>
                                    <w:rPr>
                                      <w:rFonts w:hint="eastAsia" w:eastAsia="宋体"/>
                                      <w:b/>
                                      <w:bCs/>
                                      <w:color w:val="FF0000"/>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37.65pt;margin-top:262.5pt;height:28.85pt;width:72pt;z-index:251666432;v-text-anchor:middle;mso-width-relative:page;mso-height-relative:page;" filled="f" stroked="t" coordsize="21600,21600" o:gfxdata="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NC2ZCTY&#10;AAAACwEAAA8AAAAAAAAAAQAgAAAAIgAAAGRycy9kb3ducmV2LnhtbFBLAQIUABQAAAAIAIdO4kDk&#10;pF4cywIAAHcFAAAOAAAAAAAAAAEAIAAAACcBAABkcnMvZTJvRG9jLnhtbFBLBQYAAAAABgAGAFkB&#10;AABkBgAAAAA=&#10;" adj="-3825,-2995,14400">
                      <v:fill on="f" focussize="0,0"/>
                      <v:stroke weight="1pt" color="#FF0000 [2404]" miterlimit="8" joinstyle="miter"/>
                      <v:imagedata o:title=""/>
                      <o:lock v:ext="edit" aspectratio="f"/>
                      <v:textbox>
                        <w:txbxContent>
                          <w:p w14:paraId="24E51E71">
                            <w:pPr>
                              <w:jc w:val="center"/>
                              <w:rPr>
                                <w:rFonts w:hint="default" w:eastAsia="宋体"/>
                                <w:b/>
                                <w:bCs/>
                                <w:color w:val="FF0000"/>
                                <w:lang w:val="en-US" w:eastAsia="zh-CN"/>
                              </w:rPr>
                            </w:pPr>
                            <w:r>
                              <w:rPr>
                                <w:rFonts w:hint="eastAsia" w:eastAsia="宋体"/>
                                <w:b/>
                                <w:bCs/>
                                <w:color w:val="FF0000"/>
                                <w:lang w:val="en-US" w:eastAsia="zh-CN"/>
                              </w:rPr>
                              <w:t>项目位置</w:t>
                            </w:r>
                          </w:p>
                        </w:txbxContent>
                      </v:textbox>
                    </v:shape>
                  </w:pict>
                </mc:Fallback>
              </mc:AlternateContent>
            </w:r>
            <w:r>
              <w:rPr>
                <w:color w:val="000000" w:themeColor="text1"/>
                <w:sz w:val="22"/>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2740660</wp:posOffset>
                      </wp:positionH>
                      <wp:positionV relativeFrom="paragraph">
                        <wp:posOffset>3171825</wp:posOffset>
                      </wp:positionV>
                      <wp:extent cx="198755" cy="234315"/>
                      <wp:effectExtent l="16510" t="24765" r="32385" b="26670"/>
                      <wp:wrapNone/>
                      <wp:docPr id="11" name="五角星 11"/>
                      <wp:cNvGraphicFramePr/>
                      <a:graphic xmlns:a="http://schemas.openxmlformats.org/drawingml/2006/main">
                        <a:graphicData uri="http://schemas.microsoft.com/office/word/2010/wordprocessingShape">
                          <wps:wsp>
                            <wps:cNvSpPr/>
                            <wps:spPr>
                              <a:xfrm>
                                <a:off x="3922395" y="8350250"/>
                                <a:ext cx="198755" cy="234315"/>
                              </a:xfrm>
                              <a:prstGeom prst="star5">
                                <a:avLst/>
                              </a:prstGeom>
                              <a:solidFill>
                                <a:srgbClr val="FF00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15.8pt;margin-top:249.75pt;height:18.45pt;width:15.65pt;z-index:251665408;v-text-anchor:middle;mso-width-relative:page;mso-height-relative:page;" fillcolor="#FF0000" filled="t" stroked="t" coordsize="198755,234315" o:gfxdata="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DzXxLjZAAAACwEAAA8AAAAAAAAA&#10;AQAgAAAAIgAAAGRycy9kb3ducmV2LnhtbFBLAQIUABQAAAAIAIdO4kBo3uzoggIAAAUFAAAOAAAA&#10;AAAAAAEAIAAAACgBAABkcnMvZTJvRG9jLnhtbFBLBQYAAAAABgAGAFkBAAAcBgAAAAA=&#10;" path="m0,89500l75918,89500,99377,0,122836,89500,198754,89500,137335,144814,160796,234314,99377,178999,37958,234314,61419,144814xe">
                      <v:path o:connectlocs="99377,0;0,89500;37958,234314;160796,234314;198754,89500" o:connectangles="247,164,82,82,0"/>
                      <v:fill on="t" focussize="0,0"/>
                      <v:stroke weight="1pt" color="#000000 [3213]" miterlimit="8" joinstyle="miter"/>
                      <v:imagedata o:title=""/>
                      <o:lock v:ext="edit" aspectratio="f"/>
                    </v:shape>
                  </w:pict>
                </mc:Fallback>
              </mc:AlternateContent>
            </w:r>
            <w:r>
              <w:rPr>
                <w:b/>
                <w:color w:val="000000" w:themeColor="text1"/>
                <w:szCs w:val="21"/>
                <w14:textFill>
                  <w14:solidFill>
                    <w14:schemeClr w14:val="tx1"/>
                  </w14:solidFill>
                </w14:textFill>
              </w:rPr>
              <w:drawing>
                <wp:inline distT="0" distB="0" distL="114300" distR="114300">
                  <wp:extent cx="4631690" cy="4166870"/>
                  <wp:effectExtent l="0" t="0" r="16510" b="5080"/>
                  <wp:docPr id="8" name="图片 5" descr="K:\其他\2023\佳县措施返排液处理\水文地质图\图4.1.3-2   地下水流系统划分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K:\其他\2023\佳县措施返排液处理\水文地质图\图4.1.3-2   地下水流系统划分图.jpg"/>
                          <pic:cNvPicPr>
                            <a:picLocks noChangeAspect="1"/>
                          </pic:cNvPicPr>
                        </pic:nvPicPr>
                        <pic:blipFill>
                          <a:blip r:embed="rId17"/>
                          <a:srcRect l="14571" t="3009" r="13882" b="6018"/>
                          <a:stretch>
                            <a:fillRect/>
                          </a:stretch>
                        </pic:blipFill>
                        <pic:spPr>
                          <a:xfrm>
                            <a:off x="0" y="0"/>
                            <a:ext cx="4631690" cy="4166870"/>
                          </a:xfrm>
                          <a:prstGeom prst="rect">
                            <a:avLst/>
                          </a:prstGeom>
                          <a:noFill/>
                          <a:ln>
                            <a:noFill/>
                          </a:ln>
                        </pic:spPr>
                      </pic:pic>
                    </a:graphicData>
                  </a:graphic>
                </wp:inline>
              </w:drawing>
            </w:r>
          </w:p>
          <w:p w14:paraId="1AFD7C33">
            <w:pPr>
              <w:adjustRightInd w:val="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图</w:t>
            </w:r>
            <w:r>
              <w:rPr>
                <w:rFonts w:hint="default" w:ascii="Times New Roman" w:hAnsi="Times New Roman" w:eastAsia="宋体" w:cs="Times New Roman"/>
                <w:b/>
                <w:color w:val="000000" w:themeColor="text1"/>
                <w:szCs w:val="21"/>
                <w:lang w:val="en-US" w:eastAsia="zh-CN"/>
                <w14:textFill>
                  <w14:solidFill>
                    <w14:schemeClr w14:val="tx1"/>
                  </w14:solidFill>
                </w14:textFill>
              </w:rPr>
              <w:t>4-1</w:t>
            </w:r>
            <w:r>
              <w:rPr>
                <w:rFonts w:hint="default" w:ascii="Times New Roman" w:hAnsi="Times New Roman" w:cs="Times New Roman"/>
                <w:b/>
                <w:color w:val="000000" w:themeColor="text1"/>
                <w:szCs w:val="21"/>
                <w14:textFill>
                  <w14:solidFill>
                    <w14:schemeClr w14:val="tx1"/>
                  </w14:solidFill>
                </w14:textFill>
              </w:rPr>
              <w:t xml:space="preserve">   地下水流系统划分图</w:t>
            </w:r>
          </w:p>
          <w:p w14:paraId="76825B13">
            <w:pPr>
              <w:adjustRightInd w:val="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1.寒武—奥陶系岩溶水流系统；2.白垩系水流系统；3.第四系萨拉乌苏组水流系统；4.第四系河谷冲积层水流系统；5.石炭系—侏罗系与上覆松散层水流系统；6.含水层系统界线；7.水流系统界线；8.水流子系统界线</w:t>
            </w:r>
          </w:p>
          <w:p w14:paraId="12F902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综上，废液储存罐渗滤液下渗污染地下水的可能性较小；钻井滤失泥浆污染地下水可以及时发现并采取堵漏措施，污染排放量较小；总体来讲，项目建设对地下水的影响较小。</w:t>
            </w:r>
          </w:p>
          <w:p w14:paraId="38CE35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五、声环境影响</w:t>
            </w:r>
          </w:p>
          <w:p w14:paraId="53C581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噪声源</w:t>
            </w:r>
          </w:p>
          <w:p w14:paraId="291471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由于本项目钻井过程为24小时连续运行，对声环境影响大的主要为钻井过程中钻机、泵类等设备运行产生的连续性噪声。拟建工程</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钻井前设备主要包括推土机、装载机、翻斗车等，主要用于场地平整，施工时间在3-5天之间，施工噪声值较小，对周边环境影响较小。钻井工程</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主要噪声源及源强见表4-</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，主要施工机械噪声不同距离处的噪声级见表4-</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p>
          <w:p w14:paraId="476FA2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p w14:paraId="014B2B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p w14:paraId="300D8C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 xml:space="preserve">   拟建工程钻井工程主要噪声源统计表 单位：dB（A）</w:t>
            </w:r>
          </w:p>
          <w:tbl>
            <w:tblPr>
              <w:tblStyle w:val="20"/>
              <w:tblW w:w="4994"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57"/>
              <w:gridCol w:w="1422"/>
              <w:gridCol w:w="776"/>
              <w:gridCol w:w="1009"/>
              <w:gridCol w:w="933"/>
              <w:gridCol w:w="765"/>
              <w:gridCol w:w="1225"/>
              <w:gridCol w:w="1332"/>
              <w:gridCol w:w="797"/>
            </w:tblGrid>
            <w:tr w14:paraId="3F94D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trPr>
              <w:tc>
                <w:tcPr>
                  <w:tcW w:w="262" w:type="pct"/>
                  <w:vMerge w:val="restart"/>
                  <w:noWrap w:val="0"/>
                  <w:vAlign w:val="center"/>
                </w:tcPr>
                <w:p w14:paraId="5868183A">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816" w:type="pct"/>
                  <w:vMerge w:val="restart"/>
                  <w:noWrap w:val="0"/>
                  <w:vAlign w:val="center"/>
                </w:tcPr>
                <w:p w14:paraId="7F379773">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声源名称</w:t>
                  </w:r>
                </w:p>
              </w:tc>
              <w:tc>
                <w:tcPr>
                  <w:tcW w:w="445" w:type="pct"/>
                  <w:vMerge w:val="restart"/>
                  <w:noWrap w:val="0"/>
                  <w:vAlign w:val="center"/>
                </w:tcPr>
                <w:p w14:paraId="40CF717C">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型号</w:t>
                  </w:r>
                </w:p>
              </w:tc>
              <w:tc>
                <w:tcPr>
                  <w:tcW w:w="1553" w:type="pct"/>
                  <w:gridSpan w:val="3"/>
                  <w:noWrap w:val="0"/>
                  <w:vAlign w:val="center"/>
                </w:tcPr>
                <w:p w14:paraId="31D9D446">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空间相对位置/m</w:t>
                  </w:r>
                </w:p>
              </w:tc>
              <w:tc>
                <w:tcPr>
                  <w:tcW w:w="703" w:type="pct"/>
                  <w:noWrap w:val="0"/>
                  <w:vAlign w:val="center"/>
                </w:tcPr>
                <w:p w14:paraId="02AF956C">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声源源强</w:t>
                  </w:r>
                </w:p>
              </w:tc>
              <w:tc>
                <w:tcPr>
                  <w:tcW w:w="764" w:type="pct"/>
                  <w:vMerge w:val="restart"/>
                  <w:noWrap w:val="0"/>
                  <w:vAlign w:val="center"/>
                </w:tcPr>
                <w:p w14:paraId="345BDEAA">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声源控制措施</w:t>
                  </w:r>
                </w:p>
              </w:tc>
              <w:tc>
                <w:tcPr>
                  <w:tcW w:w="454" w:type="pct"/>
                  <w:vMerge w:val="restart"/>
                  <w:noWrap w:val="0"/>
                  <w:vAlign w:val="center"/>
                </w:tcPr>
                <w:p w14:paraId="26822EF5">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运行时段</w:t>
                  </w:r>
                </w:p>
              </w:tc>
            </w:tr>
            <w:tr w14:paraId="02649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2" w:hRule="atLeast"/>
              </w:trPr>
              <w:tc>
                <w:tcPr>
                  <w:tcW w:w="262" w:type="pct"/>
                  <w:vMerge w:val="continue"/>
                  <w:noWrap w:val="0"/>
                  <w:vAlign w:val="center"/>
                </w:tcPr>
                <w:p w14:paraId="02931720">
                  <w:pPr>
                    <w:jc w:val="center"/>
                    <w:rPr>
                      <w:rFonts w:hint="default" w:ascii="Times New Roman" w:hAnsi="Times New Roman" w:cs="Times New Roman"/>
                      <w:b/>
                      <w:bCs/>
                      <w:color w:val="000000" w:themeColor="text1"/>
                      <w:sz w:val="21"/>
                      <w:szCs w:val="21"/>
                      <w14:textFill>
                        <w14:solidFill>
                          <w14:schemeClr w14:val="tx1"/>
                        </w14:solidFill>
                      </w14:textFill>
                    </w:rPr>
                  </w:pPr>
                </w:p>
              </w:tc>
              <w:tc>
                <w:tcPr>
                  <w:tcW w:w="816" w:type="pct"/>
                  <w:vMerge w:val="continue"/>
                  <w:noWrap w:val="0"/>
                  <w:vAlign w:val="center"/>
                </w:tcPr>
                <w:p w14:paraId="2140BFDC">
                  <w:pPr>
                    <w:jc w:val="center"/>
                    <w:rPr>
                      <w:rFonts w:hint="default" w:ascii="Times New Roman" w:hAnsi="Times New Roman" w:cs="Times New Roman"/>
                      <w:b/>
                      <w:bCs/>
                      <w:color w:val="000000" w:themeColor="text1"/>
                      <w:sz w:val="21"/>
                      <w:szCs w:val="21"/>
                      <w14:textFill>
                        <w14:solidFill>
                          <w14:schemeClr w14:val="tx1"/>
                        </w14:solidFill>
                      </w14:textFill>
                    </w:rPr>
                  </w:pPr>
                </w:p>
              </w:tc>
              <w:tc>
                <w:tcPr>
                  <w:tcW w:w="445" w:type="pct"/>
                  <w:vMerge w:val="continue"/>
                  <w:noWrap w:val="0"/>
                  <w:vAlign w:val="center"/>
                </w:tcPr>
                <w:p w14:paraId="1B2FAE7E">
                  <w:pPr>
                    <w:jc w:val="center"/>
                    <w:rPr>
                      <w:rFonts w:hint="default" w:ascii="Times New Roman" w:hAnsi="Times New Roman" w:cs="Times New Roman"/>
                      <w:b/>
                      <w:bCs/>
                      <w:color w:val="000000" w:themeColor="text1"/>
                      <w:sz w:val="21"/>
                      <w:szCs w:val="21"/>
                      <w14:textFill>
                        <w14:solidFill>
                          <w14:schemeClr w14:val="tx1"/>
                        </w14:solidFill>
                      </w14:textFill>
                    </w:rPr>
                  </w:pPr>
                </w:p>
              </w:tc>
              <w:tc>
                <w:tcPr>
                  <w:tcW w:w="579" w:type="pct"/>
                  <w:noWrap w:val="0"/>
                  <w:vAlign w:val="center"/>
                </w:tcPr>
                <w:p w14:paraId="1299CCCA">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X</w:t>
                  </w:r>
                </w:p>
              </w:tc>
              <w:tc>
                <w:tcPr>
                  <w:tcW w:w="535" w:type="pct"/>
                  <w:noWrap w:val="0"/>
                  <w:vAlign w:val="center"/>
                </w:tcPr>
                <w:p w14:paraId="72B90A9C">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Y</w:t>
                  </w:r>
                </w:p>
              </w:tc>
              <w:tc>
                <w:tcPr>
                  <w:tcW w:w="438" w:type="pct"/>
                  <w:noWrap w:val="0"/>
                  <w:vAlign w:val="center"/>
                </w:tcPr>
                <w:p w14:paraId="293915CF">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Z</w:t>
                  </w:r>
                </w:p>
              </w:tc>
              <w:tc>
                <w:tcPr>
                  <w:tcW w:w="703" w:type="pct"/>
                  <w:noWrap w:val="0"/>
                  <w:vAlign w:val="center"/>
                </w:tcPr>
                <w:p w14:paraId="2879DA41">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声功率级dB(A)</w:t>
                  </w:r>
                </w:p>
              </w:tc>
              <w:tc>
                <w:tcPr>
                  <w:tcW w:w="764" w:type="pct"/>
                  <w:vMerge w:val="continue"/>
                  <w:noWrap w:val="0"/>
                  <w:vAlign w:val="center"/>
                </w:tcPr>
                <w:p w14:paraId="4DE86179">
                  <w:pPr>
                    <w:jc w:val="center"/>
                    <w:rPr>
                      <w:rFonts w:hint="default" w:ascii="Times New Roman" w:hAnsi="Times New Roman" w:cs="Times New Roman"/>
                      <w:color w:val="000000" w:themeColor="text1"/>
                      <w:sz w:val="21"/>
                      <w:szCs w:val="21"/>
                      <w14:textFill>
                        <w14:solidFill>
                          <w14:schemeClr w14:val="tx1"/>
                        </w14:solidFill>
                      </w14:textFill>
                    </w:rPr>
                  </w:pPr>
                </w:p>
              </w:tc>
              <w:tc>
                <w:tcPr>
                  <w:tcW w:w="454" w:type="pct"/>
                  <w:vMerge w:val="continue"/>
                  <w:noWrap w:val="0"/>
                  <w:vAlign w:val="center"/>
                </w:tcPr>
                <w:p w14:paraId="561C43D9">
                  <w:pPr>
                    <w:jc w:val="center"/>
                    <w:rPr>
                      <w:rFonts w:hint="default" w:ascii="Times New Roman" w:hAnsi="Times New Roman" w:cs="Times New Roman"/>
                      <w:color w:val="000000" w:themeColor="text1"/>
                      <w:sz w:val="21"/>
                      <w:szCs w:val="21"/>
                      <w14:textFill>
                        <w14:solidFill>
                          <w14:schemeClr w14:val="tx1"/>
                        </w14:solidFill>
                      </w14:textFill>
                    </w:rPr>
                  </w:pPr>
                </w:p>
              </w:tc>
            </w:tr>
            <w:tr w14:paraId="7FB3A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2" w:hRule="atLeast"/>
              </w:trPr>
              <w:tc>
                <w:tcPr>
                  <w:tcW w:w="5000" w:type="pct"/>
                  <w:gridSpan w:val="9"/>
                  <w:noWrap w:val="0"/>
                  <w:vAlign w:val="center"/>
                </w:tcPr>
                <w:p w14:paraId="3B60AA60">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米</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172-08</w:t>
                  </w:r>
                </w:p>
              </w:tc>
            </w:tr>
            <w:tr w14:paraId="1831F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noWrap w:val="0"/>
                  <w:vAlign w:val="center"/>
                </w:tcPr>
                <w:p w14:paraId="314364FD">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816" w:type="pct"/>
                  <w:noWrap w:val="0"/>
                  <w:vAlign w:val="center"/>
                </w:tcPr>
                <w:p w14:paraId="7353563F">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钻机</w:t>
                  </w:r>
                </w:p>
              </w:tc>
              <w:tc>
                <w:tcPr>
                  <w:tcW w:w="445" w:type="pct"/>
                  <w:noWrap w:val="0"/>
                  <w:vAlign w:val="center"/>
                </w:tcPr>
                <w:p w14:paraId="790C80CB">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7CE02977">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114.8</w:t>
                  </w:r>
                </w:p>
              </w:tc>
              <w:tc>
                <w:tcPr>
                  <w:tcW w:w="535" w:type="pct"/>
                  <w:noWrap w:val="0"/>
                  <w:vAlign w:val="center"/>
                </w:tcPr>
                <w:p w14:paraId="1C4251CD">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-4.92</w:t>
                  </w:r>
                </w:p>
              </w:tc>
              <w:tc>
                <w:tcPr>
                  <w:tcW w:w="438" w:type="pct"/>
                  <w:noWrap w:val="0"/>
                  <w:vAlign w:val="center"/>
                </w:tcPr>
                <w:p w14:paraId="3F6F9976">
                  <w:pPr>
                    <w:pStyle w:val="11"/>
                    <w:spacing w:after="0" w:line="240" w:lineRule="auto"/>
                    <w:ind w:left="0" w:left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703" w:type="pct"/>
                  <w:noWrap w:val="0"/>
                  <w:vAlign w:val="center"/>
                </w:tcPr>
                <w:p w14:paraId="1C9F69C6">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90</w:t>
                  </w:r>
                </w:p>
              </w:tc>
              <w:tc>
                <w:tcPr>
                  <w:tcW w:w="764" w:type="pct"/>
                  <w:vMerge w:val="restart"/>
                  <w:noWrap w:val="0"/>
                  <w:vAlign w:val="center"/>
                </w:tcPr>
                <w:p w14:paraId="23190A22">
                  <w:pPr>
                    <w:pStyle w:val="11"/>
                    <w:spacing w:after="0" w:line="240" w:lineRule="auto"/>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选用低噪声型号</w:t>
                  </w:r>
                  <w:r>
                    <w:rPr>
                      <w:rFonts w:hint="eastAsia" w:ascii="Times New Roman" w:hAnsi="Times New Roman" w:eastAsia="宋体" w:cs="Times New Roman"/>
                      <w:color w:val="000000" w:themeColor="text1"/>
                      <w:szCs w:val="21"/>
                      <w:lang w:val="en-US" w:eastAsia="zh-CN"/>
                      <w14:textFill>
                        <w14:solidFill>
                          <w14:schemeClr w14:val="tx1"/>
                        </w14:solidFill>
                      </w14:textFill>
                    </w:rPr>
                    <w:t>设备</w:t>
                  </w:r>
                  <w:r>
                    <w:rPr>
                      <w:rFonts w:hint="default" w:ascii="Times New Roman" w:hAnsi="Times New Roman" w:cs="Times New Roman"/>
                      <w:color w:val="000000" w:themeColor="text1"/>
                      <w:szCs w:val="21"/>
                      <w14:textFill>
                        <w14:solidFill>
                          <w14:schemeClr w14:val="tx1"/>
                        </w14:solidFill>
                      </w14:textFill>
                    </w:rPr>
                    <w:t>、基础减振、管道软连接等降噪</w:t>
                  </w:r>
                </w:p>
              </w:tc>
              <w:tc>
                <w:tcPr>
                  <w:tcW w:w="454" w:type="pct"/>
                  <w:vMerge w:val="restart"/>
                  <w:noWrap w:val="0"/>
                  <w:vAlign w:val="center"/>
                </w:tcPr>
                <w:p w14:paraId="336C9800">
                  <w:pPr>
                    <w:pStyle w:val="11"/>
                    <w:spacing w:after="0" w:line="240" w:lineRule="auto"/>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昼间、夜间</w:t>
                  </w:r>
                </w:p>
              </w:tc>
            </w:tr>
            <w:tr w14:paraId="07C66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noWrap w:val="0"/>
                  <w:vAlign w:val="center"/>
                </w:tcPr>
                <w:p w14:paraId="7EEF3646">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816" w:type="pct"/>
                  <w:noWrap w:val="0"/>
                  <w:vAlign w:val="center"/>
                </w:tcPr>
                <w:p w14:paraId="6C86613B">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泥浆泵（2台）</w:t>
                  </w:r>
                </w:p>
              </w:tc>
              <w:tc>
                <w:tcPr>
                  <w:tcW w:w="445" w:type="pct"/>
                  <w:noWrap w:val="0"/>
                  <w:vAlign w:val="center"/>
                </w:tcPr>
                <w:p w14:paraId="1692D0FD">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2C7AA43A">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49.97</w:t>
                  </w:r>
                </w:p>
              </w:tc>
              <w:tc>
                <w:tcPr>
                  <w:tcW w:w="535" w:type="pct"/>
                  <w:noWrap w:val="0"/>
                  <w:vAlign w:val="center"/>
                </w:tcPr>
                <w:p w14:paraId="3DF58266">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49.23</w:t>
                  </w:r>
                </w:p>
              </w:tc>
              <w:tc>
                <w:tcPr>
                  <w:tcW w:w="438" w:type="pct"/>
                  <w:noWrap w:val="0"/>
                  <w:vAlign w:val="center"/>
                </w:tcPr>
                <w:p w14:paraId="7DA2BCED">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noWrap w:val="0"/>
                  <w:vAlign w:val="center"/>
                </w:tcPr>
                <w:p w14:paraId="69D610CE">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73</w:t>
                  </w:r>
                </w:p>
              </w:tc>
              <w:tc>
                <w:tcPr>
                  <w:tcW w:w="764" w:type="pct"/>
                  <w:vMerge w:val="continue"/>
                  <w:noWrap w:val="0"/>
                  <w:vAlign w:val="center"/>
                </w:tcPr>
                <w:p w14:paraId="5C01312F">
                  <w:pPr>
                    <w:pStyle w:val="11"/>
                    <w:spacing w:after="0" w:line="240" w:lineRule="auto"/>
                    <w:ind w:left="0" w:leftChars="0"/>
                    <w:jc w:val="center"/>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2DF89F08">
                  <w:pPr>
                    <w:pStyle w:val="11"/>
                    <w:spacing w:after="0" w:line="240" w:lineRule="auto"/>
                    <w:ind w:left="0" w:leftChars="0"/>
                    <w:jc w:val="center"/>
                    <w:rPr>
                      <w:rFonts w:hint="default" w:ascii="Times New Roman" w:hAnsi="Times New Roman" w:cs="Times New Roman"/>
                      <w:color w:val="000000" w:themeColor="text1"/>
                      <w:szCs w:val="21"/>
                      <w14:textFill>
                        <w14:solidFill>
                          <w14:schemeClr w14:val="tx1"/>
                        </w14:solidFill>
                      </w14:textFill>
                    </w:rPr>
                  </w:pPr>
                </w:p>
              </w:tc>
            </w:tr>
            <w:tr w14:paraId="31AA1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262" w:type="pct"/>
                  <w:noWrap w:val="0"/>
                  <w:vAlign w:val="center"/>
                </w:tcPr>
                <w:p w14:paraId="1D38FDAF">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816" w:type="pct"/>
                  <w:noWrap w:val="0"/>
                  <w:vAlign w:val="center"/>
                </w:tcPr>
                <w:p w14:paraId="3F1FAF32">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除泥器</w:t>
                  </w:r>
                </w:p>
              </w:tc>
              <w:tc>
                <w:tcPr>
                  <w:tcW w:w="445" w:type="pct"/>
                  <w:noWrap w:val="0"/>
                  <w:vAlign w:val="center"/>
                </w:tcPr>
                <w:p w14:paraId="596039E0">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0D34238F">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38.54</w:t>
                  </w:r>
                </w:p>
              </w:tc>
              <w:tc>
                <w:tcPr>
                  <w:tcW w:w="535" w:type="pct"/>
                  <w:noWrap w:val="0"/>
                  <w:vAlign w:val="center"/>
                </w:tcPr>
                <w:p w14:paraId="776D06D6">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29.22</w:t>
                  </w:r>
                </w:p>
              </w:tc>
              <w:tc>
                <w:tcPr>
                  <w:tcW w:w="438" w:type="pct"/>
                  <w:noWrap w:val="0"/>
                  <w:vAlign w:val="center"/>
                </w:tcPr>
                <w:p w14:paraId="19E36A13">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noWrap w:val="0"/>
                  <w:vAlign w:val="center"/>
                </w:tcPr>
                <w:p w14:paraId="1402A398">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65</w:t>
                  </w:r>
                </w:p>
              </w:tc>
              <w:tc>
                <w:tcPr>
                  <w:tcW w:w="764" w:type="pct"/>
                  <w:vMerge w:val="continue"/>
                  <w:noWrap w:val="0"/>
                  <w:vAlign w:val="center"/>
                </w:tcPr>
                <w:p w14:paraId="17496CDC">
                  <w:pPr>
                    <w:pStyle w:val="11"/>
                    <w:spacing w:after="0" w:line="240" w:lineRule="auto"/>
                    <w:ind w:left="0" w:leftChars="0"/>
                    <w:jc w:val="center"/>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60694704">
                  <w:pPr>
                    <w:pStyle w:val="11"/>
                    <w:spacing w:after="0" w:line="240" w:lineRule="auto"/>
                    <w:ind w:left="0" w:leftChars="0"/>
                    <w:jc w:val="center"/>
                    <w:rPr>
                      <w:rFonts w:hint="default" w:ascii="Times New Roman" w:hAnsi="Times New Roman" w:cs="Times New Roman"/>
                      <w:color w:val="000000" w:themeColor="text1"/>
                      <w:szCs w:val="21"/>
                      <w14:textFill>
                        <w14:solidFill>
                          <w14:schemeClr w14:val="tx1"/>
                        </w14:solidFill>
                      </w14:textFill>
                    </w:rPr>
                  </w:pPr>
                </w:p>
              </w:tc>
            </w:tr>
            <w:tr w14:paraId="0A406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noWrap w:val="0"/>
                  <w:vAlign w:val="center"/>
                </w:tcPr>
                <w:p w14:paraId="18CE132C">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816" w:type="pct"/>
                  <w:noWrap w:val="0"/>
                  <w:vAlign w:val="center"/>
                </w:tcPr>
                <w:p w14:paraId="36895659">
                  <w:pPr>
                    <w:tabs>
                      <w:tab w:val="left" w:pos="600"/>
                    </w:tabs>
                    <w:adjustRightInd w:val="0"/>
                    <w:snapToGrid w:val="0"/>
                    <w:spacing w:line="240" w:lineRule="exact"/>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除砂器</w:t>
                  </w:r>
                </w:p>
              </w:tc>
              <w:tc>
                <w:tcPr>
                  <w:tcW w:w="445" w:type="pct"/>
                  <w:noWrap w:val="0"/>
                  <w:vAlign w:val="center"/>
                </w:tcPr>
                <w:p w14:paraId="7EB47638">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1CF19D66">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29.96</w:t>
                  </w:r>
                </w:p>
              </w:tc>
              <w:tc>
                <w:tcPr>
                  <w:tcW w:w="535" w:type="pct"/>
                  <w:noWrap w:val="0"/>
                  <w:vAlign w:val="center"/>
                </w:tcPr>
                <w:p w14:paraId="3A322AD5">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8.07</w:t>
                  </w:r>
                </w:p>
              </w:tc>
              <w:tc>
                <w:tcPr>
                  <w:tcW w:w="438" w:type="pct"/>
                  <w:noWrap w:val="0"/>
                  <w:vAlign w:val="center"/>
                </w:tcPr>
                <w:p w14:paraId="14553C2B">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noWrap w:val="0"/>
                  <w:vAlign w:val="center"/>
                </w:tcPr>
                <w:p w14:paraId="0F8B1F43">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65</w:t>
                  </w:r>
                </w:p>
              </w:tc>
              <w:tc>
                <w:tcPr>
                  <w:tcW w:w="764" w:type="pct"/>
                  <w:vMerge w:val="continue"/>
                  <w:noWrap w:val="0"/>
                  <w:vAlign w:val="center"/>
                </w:tcPr>
                <w:p w14:paraId="6BFD7749">
                  <w:pPr>
                    <w:pStyle w:val="11"/>
                    <w:spacing w:after="0" w:line="240" w:lineRule="auto"/>
                    <w:ind w:left="0" w:leftChars="0"/>
                    <w:jc w:val="center"/>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67EF0700">
                  <w:pPr>
                    <w:pStyle w:val="11"/>
                    <w:spacing w:after="0" w:line="240" w:lineRule="auto"/>
                    <w:ind w:left="0" w:leftChars="0"/>
                    <w:jc w:val="center"/>
                    <w:rPr>
                      <w:rFonts w:hint="default" w:ascii="Times New Roman" w:hAnsi="Times New Roman" w:cs="Times New Roman"/>
                      <w:color w:val="000000" w:themeColor="text1"/>
                      <w:szCs w:val="21"/>
                      <w14:textFill>
                        <w14:solidFill>
                          <w14:schemeClr w14:val="tx1"/>
                        </w14:solidFill>
                      </w14:textFill>
                    </w:rPr>
                  </w:pPr>
                </w:p>
              </w:tc>
            </w:tr>
            <w:tr w14:paraId="4EEDE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noWrap w:val="0"/>
                  <w:vAlign w:val="center"/>
                </w:tcPr>
                <w:p w14:paraId="70470F3E">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816" w:type="pct"/>
                  <w:noWrap w:val="0"/>
                  <w:vAlign w:val="center"/>
                </w:tcPr>
                <w:p w14:paraId="7D50895A">
                  <w:pPr>
                    <w:tabs>
                      <w:tab w:val="left" w:pos="600"/>
                    </w:tabs>
                    <w:adjustRightInd w:val="0"/>
                    <w:snapToGrid w:val="0"/>
                    <w:spacing w:line="240" w:lineRule="exact"/>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振动筛（3台）</w:t>
                  </w:r>
                </w:p>
              </w:tc>
              <w:tc>
                <w:tcPr>
                  <w:tcW w:w="445" w:type="pct"/>
                  <w:noWrap w:val="0"/>
                  <w:vAlign w:val="center"/>
                </w:tcPr>
                <w:p w14:paraId="54DF591C">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1770DEEB">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48.83</w:t>
                  </w:r>
                </w:p>
              </w:tc>
              <w:tc>
                <w:tcPr>
                  <w:tcW w:w="535" w:type="pct"/>
                  <w:noWrap w:val="0"/>
                  <w:vAlign w:val="center"/>
                </w:tcPr>
                <w:p w14:paraId="028A6F7C">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5.21</w:t>
                  </w:r>
                </w:p>
              </w:tc>
              <w:tc>
                <w:tcPr>
                  <w:tcW w:w="438" w:type="pct"/>
                  <w:noWrap w:val="0"/>
                  <w:vAlign w:val="center"/>
                </w:tcPr>
                <w:p w14:paraId="0589994F">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noWrap w:val="0"/>
                  <w:vAlign w:val="center"/>
                </w:tcPr>
                <w:p w14:paraId="652F0EB1">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69.7</w:t>
                  </w:r>
                </w:p>
              </w:tc>
              <w:tc>
                <w:tcPr>
                  <w:tcW w:w="764" w:type="pct"/>
                  <w:vMerge w:val="continue"/>
                  <w:noWrap w:val="0"/>
                  <w:vAlign w:val="center"/>
                </w:tcPr>
                <w:p w14:paraId="780E4E7F">
                  <w:pPr>
                    <w:pStyle w:val="11"/>
                    <w:spacing w:after="0" w:line="240" w:lineRule="auto"/>
                    <w:ind w:left="0" w:leftChars="0"/>
                    <w:jc w:val="center"/>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12B5D476">
                  <w:pPr>
                    <w:pStyle w:val="11"/>
                    <w:spacing w:after="0" w:line="240" w:lineRule="auto"/>
                    <w:ind w:left="0" w:leftChars="0"/>
                    <w:jc w:val="center"/>
                    <w:rPr>
                      <w:rFonts w:hint="default" w:ascii="Times New Roman" w:hAnsi="Times New Roman" w:cs="Times New Roman"/>
                      <w:color w:val="000000" w:themeColor="text1"/>
                      <w:szCs w:val="21"/>
                      <w14:textFill>
                        <w14:solidFill>
                          <w14:schemeClr w14:val="tx1"/>
                        </w14:solidFill>
                      </w14:textFill>
                    </w:rPr>
                  </w:pPr>
                </w:p>
              </w:tc>
            </w:tr>
            <w:tr w14:paraId="3E806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noWrap w:val="0"/>
                  <w:vAlign w:val="center"/>
                </w:tcPr>
                <w:p w14:paraId="3EE52063">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p>
              </w:tc>
              <w:tc>
                <w:tcPr>
                  <w:tcW w:w="816" w:type="pct"/>
                  <w:noWrap w:val="0"/>
                  <w:vAlign w:val="center"/>
                </w:tcPr>
                <w:p w14:paraId="6621489A">
                  <w:pPr>
                    <w:tabs>
                      <w:tab w:val="left" w:pos="600"/>
                    </w:tabs>
                    <w:adjustRightInd w:val="0"/>
                    <w:snapToGrid w:val="0"/>
                    <w:spacing w:line="240" w:lineRule="exact"/>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离心机（2台）</w:t>
                  </w:r>
                </w:p>
              </w:tc>
              <w:tc>
                <w:tcPr>
                  <w:tcW w:w="445" w:type="pct"/>
                  <w:noWrap w:val="0"/>
                  <w:vAlign w:val="center"/>
                </w:tcPr>
                <w:p w14:paraId="18407492">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6D082A86">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56.26</w:t>
                  </w:r>
                </w:p>
              </w:tc>
              <w:tc>
                <w:tcPr>
                  <w:tcW w:w="535" w:type="pct"/>
                  <w:noWrap w:val="0"/>
                  <w:vAlign w:val="center"/>
                </w:tcPr>
                <w:p w14:paraId="4CCC58C8">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23.51</w:t>
                  </w:r>
                </w:p>
              </w:tc>
              <w:tc>
                <w:tcPr>
                  <w:tcW w:w="438" w:type="pct"/>
                  <w:noWrap w:val="0"/>
                  <w:vAlign w:val="center"/>
                </w:tcPr>
                <w:p w14:paraId="33E19CC6">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noWrap w:val="0"/>
                  <w:vAlign w:val="center"/>
                </w:tcPr>
                <w:p w14:paraId="55C6B722">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73</w:t>
                  </w:r>
                </w:p>
              </w:tc>
              <w:tc>
                <w:tcPr>
                  <w:tcW w:w="764" w:type="pct"/>
                  <w:vMerge w:val="continue"/>
                  <w:noWrap w:val="0"/>
                  <w:vAlign w:val="center"/>
                </w:tcPr>
                <w:p w14:paraId="38A5EA40">
                  <w:pPr>
                    <w:pStyle w:val="11"/>
                    <w:spacing w:after="0" w:line="240" w:lineRule="auto"/>
                    <w:ind w:left="0" w:leftChars="0"/>
                    <w:jc w:val="center"/>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308361EE">
                  <w:pPr>
                    <w:pStyle w:val="11"/>
                    <w:spacing w:after="0" w:line="240" w:lineRule="auto"/>
                    <w:ind w:left="0" w:leftChars="0"/>
                    <w:jc w:val="center"/>
                    <w:rPr>
                      <w:rFonts w:hint="default" w:ascii="Times New Roman" w:hAnsi="Times New Roman" w:cs="Times New Roman"/>
                      <w:color w:val="000000" w:themeColor="text1"/>
                      <w:szCs w:val="21"/>
                      <w14:textFill>
                        <w14:solidFill>
                          <w14:schemeClr w14:val="tx1"/>
                        </w14:solidFill>
                      </w14:textFill>
                    </w:rPr>
                  </w:pPr>
                </w:p>
              </w:tc>
            </w:tr>
            <w:tr w14:paraId="34DAE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noWrap w:val="0"/>
                  <w:vAlign w:val="center"/>
                </w:tcPr>
                <w:p w14:paraId="6724622A">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w:t>
                  </w:r>
                </w:p>
              </w:tc>
              <w:tc>
                <w:tcPr>
                  <w:tcW w:w="816" w:type="pct"/>
                  <w:noWrap w:val="0"/>
                  <w:vAlign w:val="center"/>
                </w:tcPr>
                <w:p w14:paraId="7100A5FB">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自动压风机</w:t>
                  </w:r>
                </w:p>
              </w:tc>
              <w:tc>
                <w:tcPr>
                  <w:tcW w:w="445" w:type="pct"/>
                  <w:noWrap w:val="0"/>
                  <w:vAlign w:val="center"/>
                </w:tcPr>
                <w:p w14:paraId="48771A50">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28A23B92">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67.69</w:t>
                  </w:r>
                </w:p>
              </w:tc>
              <w:tc>
                <w:tcPr>
                  <w:tcW w:w="535" w:type="pct"/>
                  <w:noWrap w:val="0"/>
                  <w:vAlign w:val="center"/>
                </w:tcPr>
                <w:p w14:paraId="415E6AF7">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37.23</w:t>
                  </w:r>
                </w:p>
              </w:tc>
              <w:tc>
                <w:tcPr>
                  <w:tcW w:w="438" w:type="pct"/>
                  <w:noWrap w:val="0"/>
                  <w:vAlign w:val="center"/>
                </w:tcPr>
                <w:p w14:paraId="62E231F3">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noWrap w:val="0"/>
                  <w:vAlign w:val="center"/>
                </w:tcPr>
                <w:p w14:paraId="7C3B47A6">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71</w:t>
                  </w:r>
                </w:p>
              </w:tc>
              <w:tc>
                <w:tcPr>
                  <w:tcW w:w="764" w:type="pct"/>
                  <w:vMerge w:val="continue"/>
                  <w:noWrap w:val="0"/>
                  <w:vAlign w:val="center"/>
                </w:tcPr>
                <w:p w14:paraId="08777648">
                  <w:pPr>
                    <w:pStyle w:val="11"/>
                    <w:spacing w:after="0" w:line="240" w:lineRule="auto"/>
                    <w:ind w:left="0" w:leftChars="0"/>
                    <w:jc w:val="center"/>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61A61BA3">
                  <w:pPr>
                    <w:pStyle w:val="11"/>
                    <w:spacing w:after="0" w:line="240" w:lineRule="auto"/>
                    <w:ind w:left="0" w:leftChars="0"/>
                    <w:jc w:val="center"/>
                    <w:rPr>
                      <w:rFonts w:hint="default" w:ascii="Times New Roman" w:hAnsi="Times New Roman" w:cs="Times New Roman"/>
                      <w:color w:val="000000" w:themeColor="text1"/>
                      <w:szCs w:val="21"/>
                      <w14:textFill>
                        <w14:solidFill>
                          <w14:schemeClr w14:val="tx1"/>
                        </w14:solidFill>
                      </w14:textFill>
                    </w:rPr>
                  </w:pPr>
                </w:p>
              </w:tc>
            </w:tr>
            <w:tr w14:paraId="78D21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noWrap w:val="0"/>
                  <w:vAlign w:val="center"/>
                </w:tcPr>
                <w:p w14:paraId="40769023">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816" w:type="pct"/>
                  <w:noWrap w:val="0"/>
                  <w:vAlign w:val="center"/>
                </w:tcPr>
                <w:p w14:paraId="1C63D424">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电动压风机</w:t>
                  </w:r>
                </w:p>
              </w:tc>
              <w:tc>
                <w:tcPr>
                  <w:tcW w:w="445" w:type="pct"/>
                  <w:noWrap w:val="0"/>
                  <w:vAlign w:val="center"/>
                </w:tcPr>
                <w:p w14:paraId="24892C3A">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268DBC0E">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71.23</w:t>
                  </w:r>
                </w:p>
              </w:tc>
              <w:tc>
                <w:tcPr>
                  <w:tcW w:w="535" w:type="pct"/>
                  <w:noWrap w:val="0"/>
                  <w:vAlign w:val="center"/>
                </w:tcPr>
                <w:p w14:paraId="0BD5384D">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45</w:t>
                  </w:r>
                </w:p>
              </w:tc>
              <w:tc>
                <w:tcPr>
                  <w:tcW w:w="438" w:type="pct"/>
                  <w:noWrap w:val="0"/>
                  <w:vAlign w:val="center"/>
                </w:tcPr>
                <w:p w14:paraId="1F5973F7">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noWrap w:val="0"/>
                  <w:vAlign w:val="center"/>
                </w:tcPr>
                <w:p w14:paraId="1C19BD95">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70</w:t>
                  </w:r>
                </w:p>
              </w:tc>
              <w:tc>
                <w:tcPr>
                  <w:tcW w:w="764" w:type="pct"/>
                  <w:vMerge w:val="continue"/>
                  <w:noWrap w:val="0"/>
                  <w:vAlign w:val="center"/>
                </w:tcPr>
                <w:p w14:paraId="35325C35">
                  <w:pPr>
                    <w:pStyle w:val="11"/>
                    <w:spacing w:after="0" w:line="240" w:lineRule="auto"/>
                    <w:ind w:left="0" w:leftChars="0"/>
                    <w:jc w:val="center"/>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511B6A70">
                  <w:pPr>
                    <w:pStyle w:val="11"/>
                    <w:spacing w:after="0" w:line="240" w:lineRule="auto"/>
                    <w:ind w:left="0" w:leftChars="0"/>
                    <w:jc w:val="center"/>
                    <w:rPr>
                      <w:rFonts w:hint="default" w:ascii="Times New Roman" w:hAnsi="Times New Roman" w:cs="Times New Roman"/>
                      <w:color w:val="000000" w:themeColor="text1"/>
                      <w:szCs w:val="21"/>
                      <w14:textFill>
                        <w14:solidFill>
                          <w14:schemeClr w14:val="tx1"/>
                        </w14:solidFill>
                      </w14:textFill>
                    </w:rPr>
                  </w:pPr>
                </w:p>
              </w:tc>
            </w:tr>
            <w:tr w14:paraId="10D37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noWrap w:val="0"/>
                  <w:vAlign w:val="center"/>
                </w:tcPr>
                <w:p w14:paraId="0D9E1BE9">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p>
              </w:tc>
              <w:tc>
                <w:tcPr>
                  <w:tcW w:w="816" w:type="pct"/>
                  <w:noWrap w:val="0"/>
                  <w:vAlign w:val="center"/>
                </w:tcPr>
                <w:p w14:paraId="062C4956">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钻井泵（2台）</w:t>
                  </w:r>
                </w:p>
              </w:tc>
              <w:tc>
                <w:tcPr>
                  <w:tcW w:w="445" w:type="pct"/>
                  <w:noWrap w:val="0"/>
                  <w:vAlign w:val="center"/>
                </w:tcPr>
                <w:p w14:paraId="2060A772">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2CBE06B9">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106.99</w:t>
                  </w:r>
                </w:p>
              </w:tc>
              <w:tc>
                <w:tcPr>
                  <w:tcW w:w="535" w:type="pct"/>
                  <w:noWrap w:val="0"/>
                  <w:vAlign w:val="center"/>
                </w:tcPr>
                <w:p w14:paraId="5ED81A79">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-1.94</w:t>
                  </w:r>
                </w:p>
              </w:tc>
              <w:tc>
                <w:tcPr>
                  <w:tcW w:w="438" w:type="pct"/>
                  <w:noWrap w:val="0"/>
                  <w:vAlign w:val="center"/>
                </w:tcPr>
                <w:p w14:paraId="0B901C74">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noWrap w:val="0"/>
                  <w:vAlign w:val="center"/>
                </w:tcPr>
                <w:p w14:paraId="0084D895">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73</w:t>
                  </w:r>
                </w:p>
              </w:tc>
              <w:tc>
                <w:tcPr>
                  <w:tcW w:w="764" w:type="pct"/>
                  <w:vMerge w:val="continue"/>
                  <w:noWrap w:val="0"/>
                  <w:vAlign w:val="center"/>
                </w:tcPr>
                <w:p w14:paraId="07C3DA20">
                  <w:pPr>
                    <w:pStyle w:val="11"/>
                    <w:spacing w:after="0" w:line="240" w:lineRule="auto"/>
                    <w:ind w:left="0" w:leftChars="0"/>
                    <w:jc w:val="center"/>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7AF0786D">
                  <w:pPr>
                    <w:pStyle w:val="11"/>
                    <w:spacing w:after="0" w:line="240" w:lineRule="auto"/>
                    <w:ind w:left="0" w:leftChars="0"/>
                    <w:jc w:val="center"/>
                    <w:rPr>
                      <w:rFonts w:hint="default" w:ascii="Times New Roman" w:hAnsi="Times New Roman" w:cs="Times New Roman"/>
                      <w:color w:val="000000" w:themeColor="text1"/>
                      <w:szCs w:val="21"/>
                      <w14:textFill>
                        <w14:solidFill>
                          <w14:schemeClr w14:val="tx1"/>
                        </w14:solidFill>
                      </w14:textFill>
                    </w:rPr>
                  </w:pPr>
                </w:p>
              </w:tc>
            </w:tr>
            <w:tr w14:paraId="038AB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noWrap w:val="0"/>
                  <w:vAlign w:val="center"/>
                </w:tcPr>
                <w:p w14:paraId="4E281652">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816" w:type="pct"/>
                  <w:noWrap w:val="0"/>
                  <w:vAlign w:val="center"/>
                </w:tcPr>
                <w:p w14:paraId="0161CD77">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加重泵（2台）</w:t>
                  </w:r>
                </w:p>
              </w:tc>
              <w:tc>
                <w:tcPr>
                  <w:tcW w:w="445" w:type="pct"/>
                  <w:noWrap w:val="0"/>
                  <w:vAlign w:val="center"/>
                </w:tcPr>
                <w:p w14:paraId="193A3ADB">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2441DF06">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99.2</w:t>
                  </w:r>
                </w:p>
              </w:tc>
              <w:tc>
                <w:tcPr>
                  <w:tcW w:w="535" w:type="pct"/>
                  <w:noWrap w:val="0"/>
                  <w:vAlign w:val="center"/>
                </w:tcPr>
                <w:p w14:paraId="471F2309">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0.98</w:t>
                  </w:r>
                </w:p>
              </w:tc>
              <w:tc>
                <w:tcPr>
                  <w:tcW w:w="438" w:type="pct"/>
                  <w:noWrap w:val="0"/>
                  <w:vAlign w:val="center"/>
                </w:tcPr>
                <w:p w14:paraId="6ED1E54C">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noWrap w:val="0"/>
                  <w:vAlign w:val="center"/>
                </w:tcPr>
                <w:p w14:paraId="78084D77">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73</w:t>
                  </w:r>
                </w:p>
              </w:tc>
              <w:tc>
                <w:tcPr>
                  <w:tcW w:w="764" w:type="pct"/>
                  <w:vMerge w:val="continue"/>
                  <w:noWrap w:val="0"/>
                  <w:vAlign w:val="center"/>
                </w:tcPr>
                <w:p w14:paraId="239F366A">
                  <w:pPr>
                    <w:pStyle w:val="11"/>
                    <w:spacing w:after="0" w:line="240" w:lineRule="auto"/>
                    <w:ind w:left="0" w:leftChars="0"/>
                    <w:jc w:val="center"/>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32AC7471">
                  <w:pPr>
                    <w:pStyle w:val="11"/>
                    <w:spacing w:after="0" w:line="240" w:lineRule="auto"/>
                    <w:ind w:left="0" w:leftChars="0"/>
                    <w:jc w:val="center"/>
                    <w:rPr>
                      <w:rFonts w:hint="default" w:ascii="Times New Roman" w:hAnsi="Times New Roman" w:cs="Times New Roman"/>
                      <w:color w:val="000000" w:themeColor="text1"/>
                      <w:szCs w:val="21"/>
                      <w14:textFill>
                        <w14:solidFill>
                          <w14:schemeClr w14:val="tx1"/>
                        </w14:solidFill>
                      </w14:textFill>
                    </w:rPr>
                  </w:pPr>
                </w:p>
              </w:tc>
            </w:tr>
            <w:tr w14:paraId="71F79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noWrap w:val="0"/>
                  <w:vAlign w:val="center"/>
                </w:tcPr>
                <w:p w14:paraId="58385504">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816" w:type="pct"/>
                  <w:noWrap w:val="0"/>
                  <w:vAlign w:val="center"/>
                </w:tcPr>
                <w:p w14:paraId="2480102D">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压滤机</w:t>
                  </w:r>
                </w:p>
              </w:tc>
              <w:tc>
                <w:tcPr>
                  <w:tcW w:w="445" w:type="pct"/>
                  <w:noWrap w:val="0"/>
                  <w:vAlign w:val="center"/>
                </w:tcPr>
                <w:p w14:paraId="6AEA7D11">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5F490D62">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58.59</w:t>
                  </w:r>
                </w:p>
              </w:tc>
              <w:tc>
                <w:tcPr>
                  <w:tcW w:w="535" w:type="pct"/>
                  <w:noWrap w:val="0"/>
                  <w:vAlign w:val="center"/>
                </w:tcPr>
                <w:p w14:paraId="0E54CE24">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27.73</w:t>
                  </w:r>
                </w:p>
              </w:tc>
              <w:tc>
                <w:tcPr>
                  <w:tcW w:w="438" w:type="pct"/>
                  <w:noWrap w:val="0"/>
                  <w:vAlign w:val="center"/>
                </w:tcPr>
                <w:p w14:paraId="3EE4B9F8">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noWrap w:val="0"/>
                  <w:vAlign w:val="center"/>
                </w:tcPr>
                <w:p w14:paraId="1886329D">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75</w:t>
                  </w:r>
                </w:p>
              </w:tc>
              <w:tc>
                <w:tcPr>
                  <w:tcW w:w="764" w:type="pct"/>
                  <w:vMerge w:val="continue"/>
                  <w:noWrap w:val="0"/>
                  <w:vAlign w:val="center"/>
                </w:tcPr>
                <w:p w14:paraId="4D4E23C2">
                  <w:pPr>
                    <w:pStyle w:val="11"/>
                    <w:spacing w:after="0" w:line="240" w:lineRule="auto"/>
                    <w:ind w:left="0" w:leftChars="0"/>
                    <w:jc w:val="center"/>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6E747A16">
                  <w:pPr>
                    <w:pStyle w:val="11"/>
                    <w:spacing w:after="0" w:line="240" w:lineRule="auto"/>
                    <w:ind w:left="0" w:leftChars="0"/>
                    <w:jc w:val="center"/>
                    <w:rPr>
                      <w:rFonts w:hint="default" w:ascii="Times New Roman" w:hAnsi="Times New Roman" w:cs="Times New Roman"/>
                      <w:color w:val="000000" w:themeColor="text1"/>
                      <w:szCs w:val="21"/>
                      <w14:textFill>
                        <w14:solidFill>
                          <w14:schemeClr w14:val="tx1"/>
                        </w14:solidFill>
                      </w14:textFill>
                    </w:rPr>
                  </w:pPr>
                </w:p>
              </w:tc>
            </w:tr>
            <w:tr w14:paraId="6E1D1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9"/>
                  <w:noWrap w:val="0"/>
                  <w:vAlign w:val="center"/>
                </w:tcPr>
                <w:p w14:paraId="438C8981">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备注：基准点选取为</w:t>
                  </w:r>
                  <w:r>
                    <w:rPr>
                      <w:rFonts w:hint="eastAsia" w:ascii="Times New Roman" w:hAnsi="Times New Roman" w:eastAsia="宋体" w:cs="Times New Roman"/>
                      <w:color w:val="000000" w:themeColor="text1"/>
                      <w:szCs w:val="21"/>
                      <w:lang w:val="en-US" w:eastAsia="zh-CN"/>
                      <w14:textFill>
                        <w14:solidFill>
                          <w14:schemeClr w14:val="tx1"/>
                        </w14:solidFill>
                      </w14:textFill>
                    </w:rPr>
                    <w:t>井场西侧</w:t>
                  </w:r>
                  <w:r>
                    <w:rPr>
                      <w:rFonts w:hint="default" w:ascii="Times New Roman" w:hAnsi="Times New Roman" w:cs="Times New Roman"/>
                      <w:color w:val="000000" w:themeColor="text1"/>
                      <w:szCs w:val="21"/>
                      <w14:textFill>
                        <w14:solidFill>
                          <w14:schemeClr w14:val="tx1"/>
                        </w14:solidFill>
                      </w14:textFill>
                    </w:rPr>
                    <w:t>边界</w:t>
                  </w:r>
                  <w:r>
                    <w:rPr>
                      <w:rFonts w:hint="eastAsia" w:ascii="Times New Roman" w:hAnsi="Times New Roman" w:eastAsia="宋体" w:cs="Times New Roman"/>
                      <w:color w:val="000000" w:themeColor="text1"/>
                      <w:szCs w:val="21"/>
                      <w:lang w:val="en-US" w:eastAsia="zh-CN"/>
                      <w14:textFill>
                        <w14:solidFill>
                          <w14:schemeClr w14:val="tx1"/>
                        </w14:solidFill>
                      </w14:textFill>
                    </w:rPr>
                    <w:t>点</w:t>
                  </w:r>
                  <w:r>
                    <w:rPr>
                      <w:rFonts w:hint="default" w:ascii="Times New Roman" w:hAnsi="Times New Roman" w:cs="Times New Roman"/>
                      <w:color w:val="000000" w:themeColor="text1"/>
                      <w:szCs w:val="21"/>
                      <w14:textFill>
                        <w14:solidFill>
                          <w14:schemeClr w14:val="tx1"/>
                        </w14:solidFill>
                      </w14:textFill>
                    </w:rPr>
                    <w:t>。</w:t>
                  </w:r>
                </w:p>
              </w:tc>
            </w:tr>
            <w:tr w14:paraId="19772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9"/>
                  <w:noWrap w:val="0"/>
                  <w:vAlign w:val="center"/>
                </w:tcPr>
                <w:p w14:paraId="0F8831D1">
                  <w:pPr>
                    <w:pStyle w:val="11"/>
                    <w:spacing w:after="0" w:line="240" w:lineRule="auto"/>
                    <w:ind w:left="0" w:leftChars="0"/>
                    <w:jc w:val="center"/>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米</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37-14M</w:t>
                  </w:r>
                </w:p>
              </w:tc>
            </w:tr>
            <w:tr w14:paraId="59B99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51D89A55">
                  <w:pPr>
                    <w:jc w:val="center"/>
                    <w:rPr>
                      <w:rFonts w:hint="default" w:ascii="Times New Roman" w:hAnsi="Times New Roman" w:cs="Times New Roman" w:eastAsiaTheme="minorHAnsi"/>
                      <w:color w:val="000000" w:themeColor="text1"/>
                      <w:sz w:val="21"/>
                      <w:szCs w:val="21"/>
                      <w:lang w:val="en-US" w:eastAsia="en-US"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816" w:type="pct"/>
                  <w:shd w:val="clear" w:color="auto" w:fill="auto"/>
                  <w:noWrap w:val="0"/>
                  <w:vAlign w:val="center"/>
                </w:tcPr>
                <w:p w14:paraId="716D7607">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钻机</w:t>
                  </w:r>
                </w:p>
              </w:tc>
              <w:tc>
                <w:tcPr>
                  <w:tcW w:w="445" w:type="pct"/>
                  <w:shd w:val="clear" w:color="auto" w:fill="auto"/>
                  <w:noWrap w:val="0"/>
                  <w:vAlign w:val="center"/>
                </w:tcPr>
                <w:p w14:paraId="7C19E568">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31661DE3">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77.5</w:t>
                  </w:r>
                </w:p>
              </w:tc>
              <w:tc>
                <w:tcPr>
                  <w:tcW w:w="535" w:type="pct"/>
                  <w:noWrap w:val="0"/>
                  <w:vAlign w:val="center"/>
                </w:tcPr>
                <w:p w14:paraId="0401CB84">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-16.64</w:t>
                  </w:r>
                </w:p>
              </w:tc>
              <w:tc>
                <w:tcPr>
                  <w:tcW w:w="438" w:type="pct"/>
                  <w:noWrap w:val="0"/>
                  <w:vAlign w:val="center"/>
                </w:tcPr>
                <w:p w14:paraId="60C42B1D">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703" w:type="pct"/>
                  <w:shd w:val="clear" w:color="auto" w:fill="auto"/>
                  <w:noWrap w:val="0"/>
                  <w:vAlign w:val="center"/>
                </w:tcPr>
                <w:p w14:paraId="753BB00D">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90</w:t>
                  </w:r>
                </w:p>
              </w:tc>
              <w:tc>
                <w:tcPr>
                  <w:tcW w:w="764" w:type="pct"/>
                  <w:vMerge w:val="restart"/>
                  <w:noWrap w:val="0"/>
                  <w:vAlign w:val="center"/>
                </w:tcPr>
                <w:p w14:paraId="1F476347">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选用低噪声型号</w:t>
                  </w:r>
                  <w:r>
                    <w:rPr>
                      <w:rFonts w:hint="eastAsia" w:ascii="Times New Roman" w:hAnsi="Times New Roman" w:eastAsia="宋体" w:cs="Times New Roman"/>
                      <w:color w:val="000000" w:themeColor="text1"/>
                      <w:szCs w:val="21"/>
                      <w:lang w:val="en-US" w:eastAsia="zh-CN"/>
                      <w14:textFill>
                        <w14:solidFill>
                          <w14:schemeClr w14:val="tx1"/>
                        </w14:solidFill>
                      </w14:textFill>
                    </w:rPr>
                    <w:t>设备</w:t>
                  </w:r>
                  <w:r>
                    <w:rPr>
                      <w:rFonts w:hint="default" w:ascii="Times New Roman" w:hAnsi="Times New Roman" w:cs="Times New Roman"/>
                      <w:color w:val="000000" w:themeColor="text1"/>
                      <w:szCs w:val="21"/>
                      <w14:textFill>
                        <w14:solidFill>
                          <w14:schemeClr w14:val="tx1"/>
                        </w14:solidFill>
                      </w14:textFill>
                    </w:rPr>
                    <w:t>、基础减振、管道软连接等降噪</w:t>
                  </w:r>
                </w:p>
              </w:tc>
              <w:tc>
                <w:tcPr>
                  <w:tcW w:w="454" w:type="pct"/>
                  <w:vMerge w:val="restart"/>
                  <w:noWrap w:val="0"/>
                  <w:vAlign w:val="center"/>
                </w:tcPr>
                <w:p w14:paraId="149C2824">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昼间、夜间</w:t>
                  </w:r>
                </w:p>
              </w:tc>
            </w:tr>
            <w:tr w14:paraId="39E2B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65B2F3FF">
                  <w:pPr>
                    <w:jc w:val="center"/>
                    <w:rPr>
                      <w:rFonts w:hint="default" w:ascii="Times New Roman" w:hAnsi="Times New Roman" w:cs="Times New Roman" w:eastAsiaTheme="minorHAnsi"/>
                      <w:color w:val="000000" w:themeColor="text1"/>
                      <w:sz w:val="21"/>
                      <w:szCs w:val="21"/>
                      <w:lang w:val="en-US" w:eastAsia="en-US"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816" w:type="pct"/>
                  <w:shd w:val="clear" w:color="auto" w:fill="auto"/>
                  <w:noWrap w:val="0"/>
                  <w:vAlign w:val="center"/>
                </w:tcPr>
                <w:p w14:paraId="44B23EC7">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泥浆泵（2台）</w:t>
                  </w:r>
                </w:p>
              </w:tc>
              <w:tc>
                <w:tcPr>
                  <w:tcW w:w="445" w:type="pct"/>
                  <w:shd w:val="clear" w:color="auto" w:fill="auto"/>
                  <w:noWrap w:val="0"/>
                  <w:vAlign w:val="center"/>
                </w:tcPr>
                <w:p w14:paraId="17C7A9EF">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67596A8B">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115.98</w:t>
                  </w:r>
                </w:p>
              </w:tc>
              <w:tc>
                <w:tcPr>
                  <w:tcW w:w="535" w:type="pct"/>
                  <w:noWrap w:val="0"/>
                  <w:vAlign w:val="center"/>
                </w:tcPr>
                <w:p w14:paraId="3E196F93">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-10.88</w:t>
                  </w:r>
                </w:p>
              </w:tc>
              <w:tc>
                <w:tcPr>
                  <w:tcW w:w="438" w:type="pct"/>
                  <w:noWrap w:val="0"/>
                  <w:vAlign w:val="center"/>
                </w:tcPr>
                <w:p w14:paraId="1499F9D6">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shd w:val="clear" w:color="auto" w:fill="auto"/>
                  <w:noWrap w:val="0"/>
                  <w:vAlign w:val="center"/>
                </w:tcPr>
                <w:p w14:paraId="1284E16F">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73</w:t>
                  </w:r>
                </w:p>
              </w:tc>
              <w:tc>
                <w:tcPr>
                  <w:tcW w:w="764" w:type="pct"/>
                  <w:vMerge w:val="continue"/>
                  <w:noWrap w:val="0"/>
                  <w:vAlign w:val="center"/>
                </w:tcPr>
                <w:p w14:paraId="495CB7AD">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11B8CD67">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r>
            <w:tr w14:paraId="28B87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23A89A32">
                  <w:pPr>
                    <w:jc w:val="center"/>
                    <w:rPr>
                      <w:rFonts w:hint="default" w:ascii="Times New Roman" w:hAnsi="Times New Roman" w:cs="Times New Roman" w:eastAsiaTheme="minorHAnsi"/>
                      <w:color w:val="000000" w:themeColor="text1"/>
                      <w:sz w:val="21"/>
                      <w:szCs w:val="21"/>
                      <w:lang w:val="en-US" w:eastAsia="en-US"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816" w:type="pct"/>
                  <w:shd w:val="clear" w:color="auto" w:fill="auto"/>
                  <w:noWrap w:val="0"/>
                  <w:vAlign w:val="center"/>
                </w:tcPr>
                <w:p w14:paraId="6C533557">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除泥器</w:t>
                  </w:r>
                </w:p>
              </w:tc>
              <w:tc>
                <w:tcPr>
                  <w:tcW w:w="445" w:type="pct"/>
                  <w:shd w:val="clear" w:color="auto" w:fill="auto"/>
                  <w:noWrap w:val="0"/>
                  <w:vAlign w:val="center"/>
                </w:tcPr>
                <w:p w14:paraId="317A63FB">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35F2C9E8">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120.85</w:t>
                  </w:r>
                </w:p>
              </w:tc>
              <w:tc>
                <w:tcPr>
                  <w:tcW w:w="535" w:type="pct"/>
                  <w:noWrap w:val="0"/>
                  <w:vAlign w:val="center"/>
                </w:tcPr>
                <w:p w14:paraId="55F54DE5">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-22.56</w:t>
                  </w:r>
                </w:p>
              </w:tc>
              <w:tc>
                <w:tcPr>
                  <w:tcW w:w="438" w:type="pct"/>
                  <w:noWrap w:val="0"/>
                  <w:vAlign w:val="center"/>
                </w:tcPr>
                <w:p w14:paraId="06F0991D">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shd w:val="clear" w:color="auto" w:fill="auto"/>
                  <w:noWrap w:val="0"/>
                  <w:vAlign w:val="center"/>
                </w:tcPr>
                <w:p w14:paraId="17BCF919">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65</w:t>
                  </w:r>
                </w:p>
              </w:tc>
              <w:tc>
                <w:tcPr>
                  <w:tcW w:w="764" w:type="pct"/>
                  <w:vMerge w:val="continue"/>
                  <w:noWrap w:val="0"/>
                  <w:vAlign w:val="center"/>
                </w:tcPr>
                <w:p w14:paraId="63EFBF1C">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2BE4BB30">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r>
            <w:tr w14:paraId="2C1FF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6A9E9F82">
                  <w:pPr>
                    <w:jc w:val="center"/>
                    <w:rPr>
                      <w:rFonts w:hint="default" w:ascii="Times New Roman" w:hAnsi="Times New Roman" w:cs="Times New Roman" w:eastAsiaTheme="minorHAnsi"/>
                      <w:color w:val="000000" w:themeColor="text1"/>
                      <w:sz w:val="21"/>
                      <w:szCs w:val="21"/>
                      <w:lang w:val="en-US" w:eastAsia="en-US"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816" w:type="pct"/>
                  <w:shd w:val="clear" w:color="auto" w:fill="auto"/>
                  <w:noWrap w:val="0"/>
                  <w:vAlign w:val="center"/>
                </w:tcPr>
                <w:p w14:paraId="2507D931">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除砂器</w:t>
                  </w:r>
                </w:p>
              </w:tc>
              <w:tc>
                <w:tcPr>
                  <w:tcW w:w="445" w:type="pct"/>
                  <w:shd w:val="clear" w:color="auto" w:fill="auto"/>
                  <w:noWrap w:val="0"/>
                  <w:vAlign w:val="center"/>
                </w:tcPr>
                <w:p w14:paraId="343A7CBB">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31ECC0AA">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127.66</w:t>
                  </w:r>
                </w:p>
              </w:tc>
              <w:tc>
                <w:tcPr>
                  <w:tcW w:w="535" w:type="pct"/>
                  <w:noWrap w:val="0"/>
                  <w:vAlign w:val="center"/>
                </w:tcPr>
                <w:p w14:paraId="20F520E2">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-33.51</w:t>
                  </w:r>
                </w:p>
              </w:tc>
              <w:tc>
                <w:tcPr>
                  <w:tcW w:w="438" w:type="pct"/>
                  <w:noWrap w:val="0"/>
                  <w:vAlign w:val="center"/>
                </w:tcPr>
                <w:p w14:paraId="0900864F">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shd w:val="clear" w:color="auto" w:fill="auto"/>
                  <w:noWrap w:val="0"/>
                  <w:vAlign w:val="center"/>
                </w:tcPr>
                <w:p w14:paraId="31AA4FB9">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65</w:t>
                  </w:r>
                </w:p>
              </w:tc>
              <w:tc>
                <w:tcPr>
                  <w:tcW w:w="764" w:type="pct"/>
                  <w:vMerge w:val="continue"/>
                  <w:noWrap w:val="0"/>
                  <w:vAlign w:val="center"/>
                </w:tcPr>
                <w:p w14:paraId="24927959">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2A37A1C8">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r>
            <w:tr w14:paraId="22C82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71CF7BE9">
                  <w:pPr>
                    <w:jc w:val="center"/>
                    <w:rPr>
                      <w:rFonts w:hint="default" w:ascii="Times New Roman" w:hAnsi="Times New Roman" w:cs="Times New Roman" w:eastAsiaTheme="minorHAnsi"/>
                      <w:color w:val="000000" w:themeColor="text1"/>
                      <w:sz w:val="21"/>
                      <w:szCs w:val="21"/>
                      <w:lang w:val="en-US" w:eastAsia="en-US"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816" w:type="pct"/>
                  <w:shd w:val="clear" w:color="auto" w:fill="auto"/>
                  <w:noWrap w:val="0"/>
                  <w:vAlign w:val="center"/>
                </w:tcPr>
                <w:p w14:paraId="0BFC0EE3">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振动筛（3台）</w:t>
                  </w:r>
                </w:p>
              </w:tc>
              <w:tc>
                <w:tcPr>
                  <w:tcW w:w="445" w:type="pct"/>
                  <w:shd w:val="clear" w:color="auto" w:fill="auto"/>
                  <w:noWrap w:val="0"/>
                  <w:vAlign w:val="center"/>
                </w:tcPr>
                <w:p w14:paraId="371419D0">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2568418E">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141.05</w:t>
                  </w:r>
                </w:p>
              </w:tc>
              <w:tc>
                <w:tcPr>
                  <w:tcW w:w="535" w:type="pct"/>
                  <w:noWrap w:val="0"/>
                  <w:vAlign w:val="center"/>
                </w:tcPr>
                <w:p w14:paraId="0A876240">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-34.49</w:t>
                  </w:r>
                </w:p>
              </w:tc>
              <w:tc>
                <w:tcPr>
                  <w:tcW w:w="438" w:type="pct"/>
                  <w:noWrap w:val="0"/>
                  <w:vAlign w:val="center"/>
                </w:tcPr>
                <w:p w14:paraId="4439EAA7">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shd w:val="clear" w:color="auto" w:fill="auto"/>
                  <w:noWrap w:val="0"/>
                  <w:vAlign w:val="center"/>
                </w:tcPr>
                <w:p w14:paraId="0EB903B6">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69.7</w:t>
                  </w:r>
                </w:p>
              </w:tc>
              <w:tc>
                <w:tcPr>
                  <w:tcW w:w="764" w:type="pct"/>
                  <w:vMerge w:val="continue"/>
                  <w:noWrap w:val="0"/>
                  <w:vAlign w:val="center"/>
                </w:tcPr>
                <w:p w14:paraId="372D5C22">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5DDE5877">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r>
            <w:tr w14:paraId="13EEF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5F1E5CC6">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p>
              </w:tc>
              <w:tc>
                <w:tcPr>
                  <w:tcW w:w="816" w:type="pct"/>
                  <w:shd w:val="clear" w:color="auto" w:fill="auto"/>
                  <w:noWrap w:val="0"/>
                  <w:vAlign w:val="center"/>
                </w:tcPr>
                <w:p w14:paraId="1FA54EA7">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离心机（2台）</w:t>
                  </w:r>
                </w:p>
              </w:tc>
              <w:tc>
                <w:tcPr>
                  <w:tcW w:w="445" w:type="pct"/>
                  <w:shd w:val="clear" w:color="auto" w:fill="auto"/>
                  <w:noWrap w:val="0"/>
                  <w:vAlign w:val="center"/>
                </w:tcPr>
                <w:p w14:paraId="1E912493">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440F5B38">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135.45</w:t>
                  </w:r>
                </w:p>
              </w:tc>
              <w:tc>
                <w:tcPr>
                  <w:tcW w:w="535" w:type="pct"/>
                  <w:noWrap w:val="0"/>
                  <w:vAlign w:val="center"/>
                </w:tcPr>
                <w:p w14:paraId="77D92CBE">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-43.49</w:t>
                  </w:r>
                </w:p>
              </w:tc>
              <w:tc>
                <w:tcPr>
                  <w:tcW w:w="438" w:type="pct"/>
                  <w:noWrap w:val="0"/>
                  <w:vAlign w:val="center"/>
                </w:tcPr>
                <w:p w14:paraId="20B6631A">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shd w:val="clear" w:color="auto" w:fill="auto"/>
                  <w:noWrap w:val="0"/>
                  <w:vAlign w:val="center"/>
                </w:tcPr>
                <w:p w14:paraId="5831F9CA">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73</w:t>
                  </w:r>
                </w:p>
              </w:tc>
              <w:tc>
                <w:tcPr>
                  <w:tcW w:w="764" w:type="pct"/>
                  <w:vMerge w:val="continue"/>
                  <w:noWrap w:val="0"/>
                  <w:vAlign w:val="center"/>
                </w:tcPr>
                <w:p w14:paraId="356687FB">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4D92AA4F">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r>
            <w:tr w14:paraId="48593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5B91FA90">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w:t>
                  </w:r>
                </w:p>
              </w:tc>
              <w:tc>
                <w:tcPr>
                  <w:tcW w:w="816" w:type="pct"/>
                  <w:shd w:val="clear" w:color="auto" w:fill="auto"/>
                  <w:noWrap w:val="0"/>
                  <w:vAlign w:val="center"/>
                </w:tcPr>
                <w:p w14:paraId="79DA9F62">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自动压风机</w:t>
                  </w:r>
                </w:p>
              </w:tc>
              <w:tc>
                <w:tcPr>
                  <w:tcW w:w="445" w:type="pct"/>
                  <w:shd w:val="clear" w:color="auto" w:fill="auto"/>
                  <w:noWrap w:val="0"/>
                  <w:vAlign w:val="center"/>
                </w:tcPr>
                <w:p w14:paraId="51EC57B5">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28C21CFD">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128.57</w:t>
                  </w:r>
                </w:p>
              </w:tc>
              <w:tc>
                <w:tcPr>
                  <w:tcW w:w="535" w:type="pct"/>
                  <w:noWrap w:val="0"/>
                  <w:vAlign w:val="center"/>
                </w:tcPr>
                <w:p w14:paraId="344AF232">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-47.64</w:t>
                  </w:r>
                </w:p>
              </w:tc>
              <w:tc>
                <w:tcPr>
                  <w:tcW w:w="438" w:type="pct"/>
                  <w:noWrap w:val="0"/>
                  <w:vAlign w:val="center"/>
                </w:tcPr>
                <w:p w14:paraId="2E50E9F0">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shd w:val="clear" w:color="auto" w:fill="auto"/>
                  <w:noWrap w:val="0"/>
                  <w:vAlign w:val="center"/>
                </w:tcPr>
                <w:p w14:paraId="4D814378">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71</w:t>
                  </w:r>
                </w:p>
              </w:tc>
              <w:tc>
                <w:tcPr>
                  <w:tcW w:w="764" w:type="pct"/>
                  <w:vMerge w:val="continue"/>
                  <w:noWrap w:val="0"/>
                  <w:vAlign w:val="center"/>
                </w:tcPr>
                <w:p w14:paraId="2042AD45">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6B790270">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r>
            <w:tr w14:paraId="0573B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4B2C7673">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816" w:type="pct"/>
                  <w:shd w:val="clear" w:color="auto" w:fill="auto"/>
                  <w:noWrap w:val="0"/>
                  <w:vAlign w:val="center"/>
                </w:tcPr>
                <w:p w14:paraId="4E367AF3">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电动压风机</w:t>
                  </w:r>
                </w:p>
              </w:tc>
              <w:tc>
                <w:tcPr>
                  <w:tcW w:w="445" w:type="pct"/>
                  <w:shd w:val="clear" w:color="auto" w:fill="auto"/>
                  <w:noWrap w:val="0"/>
                  <w:vAlign w:val="center"/>
                </w:tcPr>
                <w:p w14:paraId="5B26736F">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4BF023FA">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124.67</w:t>
                  </w:r>
                </w:p>
              </w:tc>
              <w:tc>
                <w:tcPr>
                  <w:tcW w:w="535" w:type="pct"/>
                  <w:noWrap w:val="0"/>
                  <w:vAlign w:val="center"/>
                </w:tcPr>
                <w:p w14:paraId="2D888EBF">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-51.78</w:t>
                  </w:r>
                </w:p>
              </w:tc>
              <w:tc>
                <w:tcPr>
                  <w:tcW w:w="438" w:type="pct"/>
                  <w:noWrap w:val="0"/>
                  <w:vAlign w:val="center"/>
                </w:tcPr>
                <w:p w14:paraId="34E5A454">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shd w:val="clear" w:color="auto" w:fill="auto"/>
                  <w:noWrap w:val="0"/>
                  <w:vAlign w:val="center"/>
                </w:tcPr>
                <w:p w14:paraId="5EC9B276">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70</w:t>
                  </w:r>
                </w:p>
              </w:tc>
              <w:tc>
                <w:tcPr>
                  <w:tcW w:w="764" w:type="pct"/>
                  <w:vMerge w:val="continue"/>
                  <w:noWrap w:val="0"/>
                  <w:vAlign w:val="center"/>
                </w:tcPr>
                <w:p w14:paraId="52531CB2">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4B1B4489">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r>
            <w:tr w14:paraId="7482F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6D7C65A6">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p>
              </w:tc>
              <w:tc>
                <w:tcPr>
                  <w:tcW w:w="816" w:type="pct"/>
                  <w:shd w:val="clear" w:color="auto" w:fill="auto"/>
                  <w:noWrap w:val="0"/>
                  <w:vAlign w:val="center"/>
                </w:tcPr>
                <w:p w14:paraId="6B74A073">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钻井泵（2台）</w:t>
                  </w:r>
                </w:p>
              </w:tc>
              <w:tc>
                <w:tcPr>
                  <w:tcW w:w="445" w:type="pct"/>
                  <w:shd w:val="clear" w:color="auto" w:fill="auto"/>
                  <w:noWrap w:val="0"/>
                  <w:vAlign w:val="center"/>
                </w:tcPr>
                <w:p w14:paraId="55C41BEE">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7B1494C3">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86.7</w:t>
                  </w:r>
                </w:p>
              </w:tc>
              <w:tc>
                <w:tcPr>
                  <w:tcW w:w="535" w:type="pct"/>
                  <w:noWrap w:val="0"/>
                  <w:vAlign w:val="center"/>
                </w:tcPr>
                <w:p w14:paraId="4D0B43FA">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-22.81</w:t>
                  </w:r>
                </w:p>
              </w:tc>
              <w:tc>
                <w:tcPr>
                  <w:tcW w:w="438" w:type="pct"/>
                  <w:noWrap w:val="0"/>
                  <w:vAlign w:val="center"/>
                </w:tcPr>
                <w:p w14:paraId="71450FE3">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shd w:val="clear" w:color="auto" w:fill="auto"/>
                  <w:noWrap w:val="0"/>
                  <w:vAlign w:val="center"/>
                </w:tcPr>
                <w:p w14:paraId="597FF667">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73</w:t>
                  </w:r>
                </w:p>
              </w:tc>
              <w:tc>
                <w:tcPr>
                  <w:tcW w:w="764" w:type="pct"/>
                  <w:vMerge w:val="continue"/>
                  <w:noWrap w:val="0"/>
                  <w:vAlign w:val="center"/>
                </w:tcPr>
                <w:p w14:paraId="6C662800">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79FF9E9C">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r>
            <w:tr w14:paraId="1FCA8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6CA2D310">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816" w:type="pct"/>
                  <w:shd w:val="clear" w:color="auto" w:fill="auto"/>
                  <w:noWrap w:val="0"/>
                  <w:vAlign w:val="center"/>
                </w:tcPr>
                <w:p w14:paraId="7E903790">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加重泵（2台）</w:t>
                  </w:r>
                </w:p>
              </w:tc>
              <w:tc>
                <w:tcPr>
                  <w:tcW w:w="445" w:type="pct"/>
                  <w:shd w:val="clear" w:color="auto" w:fill="auto"/>
                  <w:noWrap w:val="0"/>
                  <w:vAlign w:val="center"/>
                </w:tcPr>
                <w:p w14:paraId="34F1D2FA">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2449420E">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92.3</w:t>
                  </w:r>
                </w:p>
              </w:tc>
              <w:tc>
                <w:tcPr>
                  <w:tcW w:w="535" w:type="pct"/>
                  <w:noWrap w:val="0"/>
                  <w:vAlign w:val="center"/>
                </w:tcPr>
                <w:p w14:paraId="52125A64">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-19.89</w:t>
                  </w:r>
                </w:p>
              </w:tc>
              <w:tc>
                <w:tcPr>
                  <w:tcW w:w="438" w:type="pct"/>
                  <w:noWrap w:val="0"/>
                  <w:vAlign w:val="center"/>
                </w:tcPr>
                <w:p w14:paraId="2B8990EF">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shd w:val="clear" w:color="auto" w:fill="auto"/>
                  <w:noWrap w:val="0"/>
                  <w:vAlign w:val="center"/>
                </w:tcPr>
                <w:p w14:paraId="18148A1F">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73</w:t>
                  </w:r>
                </w:p>
              </w:tc>
              <w:tc>
                <w:tcPr>
                  <w:tcW w:w="764" w:type="pct"/>
                  <w:vMerge w:val="continue"/>
                  <w:noWrap w:val="0"/>
                  <w:vAlign w:val="center"/>
                </w:tcPr>
                <w:p w14:paraId="3C5A18BF">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29AB88E1">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r>
            <w:tr w14:paraId="5B8D3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24E1018A">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816" w:type="pct"/>
                  <w:shd w:val="clear" w:color="auto" w:fill="auto"/>
                  <w:noWrap w:val="0"/>
                  <w:vAlign w:val="center"/>
                </w:tcPr>
                <w:p w14:paraId="15246217">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压滤机</w:t>
                  </w:r>
                </w:p>
              </w:tc>
              <w:tc>
                <w:tcPr>
                  <w:tcW w:w="445" w:type="pct"/>
                  <w:shd w:val="clear" w:color="auto" w:fill="auto"/>
                  <w:noWrap w:val="0"/>
                  <w:vAlign w:val="center"/>
                </w:tcPr>
                <w:p w14:paraId="478EA3B9">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32506C9F">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131.73</w:t>
                  </w:r>
                </w:p>
              </w:tc>
              <w:tc>
                <w:tcPr>
                  <w:tcW w:w="535" w:type="pct"/>
                  <w:noWrap w:val="0"/>
                  <w:vAlign w:val="center"/>
                </w:tcPr>
                <w:p w14:paraId="6B148271">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-42.53</w:t>
                  </w:r>
                </w:p>
              </w:tc>
              <w:tc>
                <w:tcPr>
                  <w:tcW w:w="438" w:type="pct"/>
                  <w:noWrap w:val="0"/>
                  <w:vAlign w:val="center"/>
                </w:tcPr>
                <w:p w14:paraId="4AF8FEDB">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shd w:val="clear" w:color="auto" w:fill="auto"/>
                  <w:noWrap w:val="0"/>
                  <w:vAlign w:val="center"/>
                </w:tcPr>
                <w:p w14:paraId="4F604426">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75</w:t>
                  </w:r>
                </w:p>
              </w:tc>
              <w:tc>
                <w:tcPr>
                  <w:tcW w:w="764" w:type="pct"/>
                  <w:vMerge w:val="continue"/>
                  <w:noWrap w:val="0"/>
                  <w:vAlign w:val="center"/>
                </w:tcPr>
                <w:p w14:paraId="66FEA293">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4EC53753">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r>
            <w:tr w14:paraId="0F7D3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9"/>
                  <w:shd w:val="clear" w:color="auto" w:fill="auto"/>
                  <w:noWrap w:val="0"/>
                  <w:vAlign w:val="center"/>
                </w:tcPr>
                <w:p w14:paraId="36E32654">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备注：基准点选取为</w:t>
                  </w:r>
                  <w:r>
                    <w:rPr>
                      <w:rFonts w:hint="eastAsia" w:ascii="Times New Roman" w:hAnsi="Times New Roman" w:eastAsia="宋体" w:cs="Times New Roman"/>
                      <w:color w:val="000000" w:themeColor="text1"/>
                      <w:szCs w:val="21"/>
                      <w:lang w:val="en-US" w:eastAsia="zh-CN"/>
                      <w14:textFill>
                        <w14:solidFill>
                          <w14:schemeClr w14:val="tx1"/>
                        </w14:solidFill>
                      </w14:textFill>
                    </w:rPr>
                    <w:t>井场西侧</w:t>
                  </w:r>
                  <w:r>
                    <w:rPr>
                      <w:rFonts w:hint="default" w:ascii="Times New Roman" w:hAnsi="Times New Roman" w:cs="Times New Roman"/>
                      <w:color w:val="000000" w:themeColor="text1"/>
                      <w:szCs w:val="21"/>
                      <w14:textFill>
                        <w14:solidFill>
                          <w14:schemeClr w14:val="tx1"/>
                        </w14:solidFill>
                      </w14:textFill>
                    </w:rPr>
                    <w:t>边界</w:t>
                  </w:r>
                  <w:r>
                    <w:rPr>
                      <w:rFonts w:hint="eastAsia" w:ascii="Times New Roman" w:hAnsi="Times New Roman" w:eastAsia="宋体" w:cs="Times New Roman"/>
                      <w:color w:val="000000" w:themeColor="text1"/>
                      <w:szCs w:val="21"/>
                      <w:lang w:val="en-US" w:eastAsia="zh-CN"/>
                      <w14:textFill>
                        <w14:solidFill>
                          <w14:schemeClr w14:val="tx1"/>
                        </w14:solidFill>
                      </w14:textFill>
                    </w:rPr>
                    <w:t>点</w:t>
                  </w:r>
                  <w:r>
                    <w:rPr>
                      <w:rFonts w:hint="default" w:ascii="Times New Roman" w:hAnsi="Times New Roman" w:cs="Times New Roman"/>
                      <w:color w:val="000000" w:themeColor="text1"/>
                      <w:szCs w:val="21"/>
                      <w14:textFill>
                        <w14:solidFill>
                          <w14:schemeClr w14:val="tx1"/>
                        </w14:solidFill>
                      </w14:textFill>
                    </w:rPr>
                    <w:t>。</w:t>
                  </w:r>
                </w:p>
              </w:tc>
            </w:tr>
            <w:tr w14:paraId="75B05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9"/>
                  <w:noWrap w:val="0"/>
                  <w:vAlign w:val="center"/>
                </w:tcPr>
                <w:p w14:paraId="0AF874E6">
                  <w:pPr>
                    <w:pStyle w:val="11"/>
                    <w:spacing w:after="0" w:line="240" w:lineRule="auto"/>
                    <w:ind w:left="0" w:leftChars="0"/>
                    <w:jc w:val="center"/>
                    <w:rPr>
                      <w:rFonts w:hint="default"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米172-06</w:t>
                  </w:r>
                </w:p>
              </w:tc>
            </w:tr>
            <w:tr w14:paraId="3D210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33346195">
                  <w:pPr>
                    <w:jc w:val="center"/>
                    <w:rPr>
                      <w:rFonts w:hint="default" w:ascii="Times New Roman" w:hAnsi="Times New Roman" w:cs="Times New Roman" w:eastAsiaTheme="minorHAnsi"/>
                      <w:color w:val="000000" w:themeColor="text1"/>
                      <w:sz w:val="21"/>
                      <w:szCs w:val="21"/>
                      <w:lang w:val="en-US" w:eastAsia="en-US"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816" w:type="pct"/>
                  <w:shd w:val="clear" w:color="auto" w:fill="auto"/>
                  <w:noWrap w:val="0"/>
                  <w:vAlign w:val="center"/>
                </w:tcPr>
                <w:p w14:paraId="0FC432FD">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钻机</w:t>
                  </w:r>
                </w:p>
              </w:tc>
              <w:tc>
                <w:tcPr>
                  <w:tcW w:w="445" w:type="pct"/>
                  <w:shd w:val="clear" w:color="auto" w:fill="auto"/>
                  <w:noWrap w:val="0"/>
                  <w:vAlign w:val="center"/>
                </w:tcPr>
                <w:p w14:paraId="68846A8A">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32A20D0C">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85</w:t>
                  </w:r>
                </w:p>
              </w:tc>
              <w:tc>
                <w:tcPr>
                  <w:tcW w:w="535" w:type="pct"/>
                  <w:noWrap w:val="0"/>
                  <w:vAlign w:val="center"/>
                </w:tcPr>
                <w:p w14:paraId="76251DAB">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-4.42</w:t>
                  </w:r>
                </w:p>
              </w:tc>
              <w:tc>
                <w:tcPr>
                  <w:tcW w:w="438" w:type="pct"/>
                  <w:noWrap w:val="0"/>
                  <w:vAlign w:val="center"/>
                </w:tcPr>
                <w:p w14:paraId="159FD4BD">
                  <w:pPr>
                    <w:pStyle w:val="11"/>
                    <w:spacing w:after="0" w:line="240" w:lineRule="auto"/>
                    <w:ind w:left="0" w:leftChars="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703" w:type="pct"/>
                  <w:shd w:val="clear" w:color="auto" w:fill="auto"/>
                  <w:noWrap w:val="0"/>
                  <w:vAlign w:val="center"/>
                </w:tcPr>
                <w:p w14:paraId="1879E8E0">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90</w:t>
                  </w:r>
                </w:p>
              </w:tc>
              <w:tc>
                <w:tcPr>
                  <w:tcW w:w="764" w:type="pct"/>
                  <w:vMerge w:val="restart"/>
                  <w:shd w:val="clear" w:color="auto" w:fill="auto"/>
                  <w:noWrap w:val="0"/>
                  <w:vAlign w:val="center"/>
                </w:tcPr>
                <w:p w14:paraId="5B2039A1">
                  <w:pPr>
                    <w:pStyle w:val="11"/>
                    <w:spacing w:after="0" w:line="240" w:lineRule="auto"/>
                    <w:ind w:left="0" w:leftChars="0"/>
                    <w:jc w:val="left"/>
                    <w:rPr>
                      <w:rFonts w:hint="default" w:ascii="Times New Roman" w:hAnsi="Times New Roman" w:cs="Times New Roman" w:eastAsiaTheme="minorHAnsi"/>
                      <w:color w:val="000000" w:themeColor="text1"/>
                      <w:sz w:val="21"/>
                      <w:szCs w:val="21"/>
                      <w:lang w:val="en-US" w:eastAsia="en-US"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选用低噪声型号</w:t>
                  </w:r>
                  <w:r>
                    <w:rPr>
                      <w:rFonts w:hint="eastAsia" w:ascii="Times New Roman" w:hAnsi="Times New Roman" w:eastAsia="宋体" w:cs="Times New Roman"/>
                      <w:color w:val="000000" w:themeColor="text1"/>
                      <w:szCs w:val="21"/>
                      <w:lang w:val="en-US" w:eastAsia="zh-CN"/>
                      <w14:textFill>
                        <w14:solidFill>
                          <w14:schemeClr w14:val="tx1"/>
                        </w14:solidFill>
                      </w14:textFill>
                    </w:rPr>
                    <w:t>设备</w:t>
                  </w:r>
                  <w:r>
                    <w:rPr>
                      <w:rFonts w:hint="default" w:ascii="Times New Roman" w:hAnsi="Times New Roman" w:cs="Times New Roman"/>
                      <w:color w:val="000000" w:themeColor="text1"/>
                      <w:szCs w:val="21"/>
                      <w14:textFill>
                        <w14:solidFill>
                          <w14:schemeClr w14:val="tx1"/>
                        </w14:solidFill>
                      </w14:textFill>
                    </w:rPr>
                    <w:t>、基础减振、管道软连接等降噪</w:t>
                  </w:r>
                </w:p>
              </w:tc>
              <w:tc>
                <w:tcPr>
                  <w:tcW w:w="454" w:type="pct"/>
                  <w:vMerge w:val="restart"/>
                  <w:shd w:val="clear" w:color="auto" w:fill="auto"/>
                  <w:noWrap w:val="0"/>
                  <w:vAlign w:val="center"/>
                </w:tcPr>
                <w:p w14:paraId="61B855AB">
                  <w:pPr>
                    <w:pStyle w:val="11"/>
                    <w:spacing w:after="0" w:line="240" w:lineRule="auto"/>
                    <w:ind w:left="0" w:leftChars="0"/>
                    <w:jc w:val="left"/>
                    <w:rPr>
                      <w:rFonts w:hint="default" w:ascii="Times New Roman" w:hAnsi="Times New Roman" w:cs="Times New Roman" w:eastAsiaTheme="minorHAnsi"/>
                      <w:color w:val="000000" w:themeColor="text1"/>
                      <w:sz w:val="21"/>
                      <w:szCs w:val="21"/>
                      <w:lang w:val="en-US" w:eastAsia="en-US"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昼间、夜间</w:t>
                  </w:r>
                </w:p>
              </w:tc>
            </w:tr>
            <w:tr w14:paraId="7F641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5C2AF1A0">
                  <w:pPr>
                    <w:jc w:val="center"/>
                    <w:rPr>
                      <w:rFonts w:hint="default" w:ascii="Times New Roman" w:hAnsi="Times New Roman" w:cs="Times New Roman" w:eastAsiaTheme="minorHAnsi"/>
                      <w:color w:val="000000" w:themeColor="text1"/>
                      <w:sz w:val="21"/>
                      <w:szCs w:val="21"/>
                      <w:lang w:val="en-US" w:eastAsia="en-US"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816" w:type="pct"/>
                  <w:shd w:val="clear" w:color="auto" w:fill="auto"/>
                  <w:noWrap w:val="0"/>
                  <w:vAlign w:val="center"/>
                </w:tcPr>
                <w:p w14:paraId="34D6DA15">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泥浆泵（2台）</w:t>
                  </w:r>
                </w:p>
              </w:tc>
              <w:tc>
                <w:tcPr>
                  <w:tcW w:w="445" w:type="pct"/>
                  <w:shd w:val="clear" w:color="auto" w:fill="auto"/>
                  <w:noWrap w:val="0"/>
                  <w:vAlign w:val="center"/>
                </w:tcPr>
                <w:p w14:paraId="59D64314">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28873B53">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114.12</w:t>
                  </w:r>
                </w:p>
              </w:tc>
              <w:tc>
                <w:tcPr>
                  <w:tcW w:w="535" w:type="pct"/>
                  <w:noWrap w:val="0"/>
                  <w:vAlign w:val="center"/>
                </w:tcPr>
                <w:p w14:paraId="0758CF34">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-53.04</w:t>
                  </w:r>
                </w:p>
              </w:tc>
              <w:tc>
                <w:tcPr>
                  <w:tcW w:w="438" w:type="pct"/>
                  <w:noWrap w:val="0"/>
                  <w:vAlign w:val="center"/>
                </w:tcPr>
                <w:p w14:paraId="4A0CBA88">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shd w:val="clear" w:color="auto" w:fill="auto"/>
                  <w:noWrap w:val="0"/>
                  <w:vAlign w:val="center"/>
                </w:tcPr>
                <w:p w14:paraId="0DEACFB4">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73</w:t>
                  </w:r>
                </w:p>
              </w:tc>
              <w:tc>
                <w:tcPr>
                  <w:tcW w:w="764" w:type="pct"/>
                  <w:vMerge w:val="continue"/>
                  <w:noWrap w:val="0"/>
                  <w:vAlign w:val="center"/>
                </w:tcPr>
                <w:p w14:paraId="2F58FCF4">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4CAF01BF">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r>
            <w:tr w14:paraId="6AEAD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487EA14D">
                  <w:pPr>
                    <w:jc w:val="center"/>
                    <w:rPr>
                      <w:rFonts w:hint="default" w:ascii="Times New Roman" w:hAnsi="Times New Roman" w:cs="Times New Roman" w:eastAsiaTheme="minorHAnsi"/>
                      <w:color w:val="000000" w:themeColor="text1"/>
                      <w:sz w:val="21"/>
                      <w:szCs w:val="21"/>
                      <w:lang w:val="en-US" w:eastAsia="en-US"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816" w:type="pct"/>
                  <w:shd w:val="clear" w:color="auto" w:fill="auto"/>
                  <w:noWrap w:val="0"/>
                  <w:vAlign w:val="center"/>
                </w:tcPr>
                <w:p w14:paraId="40AC6A9E">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除泥器</w:t>
                  </w:r>
                </w:p>
              </w:tc>
              <w:tc>
                <w:tcPr>
                  <w:tcW w:w="445" w:type="pct"/>
                  <w:shd w:val="clear" w:color="auto" w:fill="auto"/>
                  <w:noWrap w:val="0"/>
                  <w:vAlign w:val="center"/>
                </w:tcPr>
                <w:p w14:paraId="3897361F">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5289B0EF">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122.12</w:t>
                  </w:r>
                </w:p>
              </w:tc>
              <w:tc>
                <w:tcPr>
                  <w:tcW w:w="535" w:type="pct"/>
                  <w:noWrap w:val="0"/>
                  <w:vAlign w:val="center"/>
                </w:tcPr>
                <w:p w14:paraId="3CBCD410">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-38.18</w:t>
                  </w:r>
                </w:p>
              </w:tc>
              <w:tc>
                <w:tcPr>
                  <w:tcW w:w="438" w:type="pct"/>
                  <w:noWrap w:val="0"/>
                  <w:vAlign w:val="center"/>
                </w:tcPr>
                <w:p w14:paraId="2DCF440B">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shd w:val="clear" w:color="auto" w:fill="auto"/>
                  <w:noWrap w:val="0"/>
                  <w:vAlign w:val="center"/>
                </w:tcPr>
                <w:p w14:paraId="2AA9C79F">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65</w:t>
                  </w:r>
                </w:p>
              </w:tc>
              <w:tc>
                <w:tcPr>
                  <w:tcW w:w="764" w:type="pct"/>
                  <w:vMerge w:val="continue"/>
                  <w:noWrap w:val="0"/>
                  <w:vAlign w:val="center"/>
                </w:tcPr>
                <w:p w14:paraId="0BD56C08">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29AB7C5F">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r>
            <w:tr w14:paraId="4419F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7BB880C5">
                  <w:pPr>
                    <w:jc w:val="center"/>
                    <w:rPr>
                      <w:rFonts w:hint="default" w:ascii="Times New Roman" w:hAnsi="Times New Roman" w:cs="Times New Roman" w:eastAsiaTheme="minorHAnsi"/>
                      <w:color w:val="000000" w:themeColor="text1"/>
                      <w:sz w:val="21"/>
                      <w:szCs w:val="21"/>
                      <w:lang w:val="en-US" w:eastAsia="en-US"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816" w:type="pct"/>
                  <w:shd w:val="clear" w:color="auto" w:fill="auto"/>
                  <w:noWrap w:val="0"/>
                  <w:vAlign w:val="center"/>
                </w:tcPr>
                <w:p w14:paraId="07176851">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除砂器</w:t>
                  </w:r>
                </w:p>
              </w:tc>
              <w:tc>
                <w:tcPr>
                  <w:tcW w:w="445" w:type="pct"/>
                  <w:shd w:val="clear" w:color="auto" w:fill="auto"/>
                  <w:noWrap w:val="0"/>
                  <w:vAlign w:val="center"/>
                </w:tcPr>
                <w:p w14:paraId="2083EF38">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0815E3C1">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132.41</w:t>
                  </w:r>
                </w:p>
              </w:tc>
              <w:tc>
                <w:tcPr>
                  <w:tcW w:w="535" w:type="pct"/>
                  <w:noWrap w:val="0"/>
                  <w:vAlign w:val="center"/>
                </w:tcPr>
                <w:p w14:paraId="29FB3B83">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-24.46</w:t>
                  </w:r>
                </w:p>
              </w:tc>
              <w:tc>
                <w:tcPr>
                  <w:tcW w:w="438" w:type="pct"/>
                  <w:noWrap w:val="0"/>
                  <w:vAlign w:val="center"/>
                </w:tcPr>
                <w:p w14:paraId="76530CFC">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shd w:val="clear" w:color="auto" w:fill="auto"/>
                  <w:noWrap w:val="0"/>
                  <w:vAlign w:val="center"/>
                </w:tcPr>
                <w:p w14:paraId="7D47EADF">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65</w:t>
                  </w:r>
                </w:p>
              </w:tc>
              <w:tc>
                <w:tcPr>
                  <w:tcW w:w="764" w:type="pct"/>
                  <w:vMerge w:val="continue"/>
                  <w:noWrap w:val="0"/>
                  <w:vAlign w:val="center"/>
                </w:tcPr>
                <w:p w14:paraId="581850BF">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487E5CE7">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r>
            <w:tr w14:paraId="6903F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09E00387">
                  <w:pPr>
                    <w:jc w:val="center"/>
                    <w:rPr>
                      <w:rFonts w:hint="default" w:ascii="Times New Roman" w:hAnsi="Times New Roman" w:cs="Times New Roman" w:eastAsiaTheme="minorHAnsi"/>
                      <w:color w:val="000000" w:themeColor="text1"/>
                      <w:sz w:val="21"/>
                      <w:szCs w:val="21"/>
                      <w:lang w:val="en-US" w:eastAsia="en-US"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816" w:type="pct"/>
                  <w:shd w:val="clear" w:color="auto" w:fill="auto"/>
                  <w:noWrap w:val="0"/>
                  <w:vAlign w:val="center"/>
                </w:tcPr>
                <w:p w14:paraId="3BF7A937">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振动筛（3台）</w:t>
                  </w:r>
                </w:p>
              </w:tc>
              <w:tc>
                <w:tcPr>
                  <w:tcW w:w="445" w:type="pct"/>
                  <w:shd w:val="clear" w:color="auto" w:fill="auto"/>
                  <w:noWrap w:val="0"/>
                  <w:vAlign w:val="center"/>
                </w:tcPr>
                <w:p w14:paraId="6A627B20">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16B772E2">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139.26</w:t>
                  </w:r>
                </w:p>
              </w:tc>
              <w:tc>
                <w:tcPr>
                  <w:tcW w:w="535" w:type="pct"/>
                  <w:noWrap w:val="0"/>
                  <w:vAlign w:val="center"/>
                </w:tcPr>
                <w:p w14:paraId="27DFA3F7">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-15.89</w:t>
                  </w:r>
                </w:p>
              </w:tc>
              <w:tc>
                <w:tcPr>
                  <w:tcW w:w="438" w:type="pct"/>
                  <w:noWrap w:val="0"/>
                  <w:vAlign w:val="center"/>
                </w:tcPr>
                <w:p w14:paraId="340635CC">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shd w:val="clear" w:color="auto" w:fill="auto"/>
                  <w:noWrap w:val="0"/>
                  <w:vAlign w:val="center"/>
                </w:tcPr>
                <w:p w14:paraId="4C4FCBF2">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69.7</w:t>
                  </w:r>
                </w:p>
              </w:tc>
              <w:tc>
                <w:tcPr>
                  <w:tcW w:w="764" w:type="pct"/>
                  <w:vMerge w:val="continue"/>
                  <w:noWrap w:val="0"/>
                  <w:vAlign w:val="center"/>
                </w:tcPr>
                <w:p w14:paraId="65C449CA">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209D168A">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r>
            <w:tr w14:paraId="312DB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576C2473">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p>
              </w:tc>
              <w:tc>
                <w:tcPr>
                  <w:tcW w:w="816" w:type="pct"/>
                  <w:shd w:val="clear" w:color="auto" w:fill="auto"/>
                  <w:noWrap w:val="0"/>
                  <w:vAlign w:val="center"/>
                </w:tcPr>
                <w:p w14:paraId="4B5255BF">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离心机（2台）</w:t>
                  </w:r>
                </w:p>
              </w:tc>
              <w:tc>
                <w:tcPr>
                  <w:tcW w:w="445" w:type="pct"/>
                  <w:shd w:val="clear" w:color="auto" w:fill="auto"/>
                  <w:noWrap w:val="0"/>
                  <w:vAlign w:val="center"/>
                </w:tcPr>
                <w:p w14:paraId="05D99279">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4A3267EA">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118.12</w:t>
                  </w:r>
                </w:p>
              </w:tc>
              <w:tc>
                <w:tcPr>
                  <w:tcW w:w="535" w:type="pct"/>
                  <w:noWrap w:val="0"/>
                  <w:vAlign w:val="center"/>
                </w:tcPr>
                <w:p w14:paraId="6910C9D2">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-25.03</w:t>
                  </w:r>
                </w:p>
              </w:tc>
              <w:tc>
                <w:tcPr>
                  <w:tcW w:w="438" w:type="pct"/>
                  <w:noWrap w:val="0"/>
                  <w:vAlign w:val="center"/>
                </w:tcPr>
                <w:p w14:paraId="120C4466">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shd w:val="clear" w:color="auto" w:fill="auto"/>
                  <w:noWrap w:val="0"/>
                  <w:vAlign w:val="center"/>
                </w:tcPr>
                <w:p w14:paraId="541B13B5">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73</w:t>
                  </w:r>
                </w:p>
              </w:tc>
              <w:tc>
                <w:tcPr>
                  <w:tcW w:w="764" w:type="pct"/>
                  <w:vMerge w:val="continue"/>
                  <w:noWrap w:val="0"/>
                  <w:vAlign w:val="center"/>
                </w:tcPr>
                <w:p w14:paraId="1C572E02">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36D949FB">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r>
            <w:tr w14:paraId="2922F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2F732C0A">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w:t>
                  </w:r>
                </w:p>
              </w:tc>
              <w:tc>
                <w:tcPr>
                  <w:tcW w:w="816" w:type="pct"/>
                  <w:shd w:val="clear" w:color="auto" w:fill="auto"/>
                  <w:noWrap w:val="0"/>
                  <w:vAlign w:val="center"/>
                </w:tcPr>
                <w:p w14:paraId="00B8C11B">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自动压风机</w:t>
                  </w:r>
                </w:p>
              </w:tc>
              <w:tc>
                <w:tcPr>
                  <w:tcW w:w="445" w:type="pct"/>
                  <w:shd w:val="clear" w:color="auto" w:fill="auto"/>
                  <w:noWrap w:val="0"/>
                  <w:vAlign w:val="center"/>
                </w:tcPr>
                <w:p w14:paraId="68535C88">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74DD83C1">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124.4</w:t>
                  </w:r>
                </w:p>
              </w:tc>
              <w:tc>
                <w:tcPr>
                  <w:tcW w:w="535" w:type="pct"/>
                  <w:noWrap w:val="0"/>
                  <w:vAlign w:val="center"/>
                </w:tcPr>
                <w:p w14:paraId="6A16DF7A">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-17.6</w:t>
                  </w:r>
                </w:p>
              </w:tc>
              <w:tc>
                <w:tcPr>
                  <w:tcW w:w="438" w:type="pct"/>
                  <w:noWrap w:val="0"/>
                  <w:vAlign w:val="center"/>
                </w:tcPr>
                <w:p w14:paraId="18DB3946">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shd w:val="clear" w:color="auto" w:fill="auto"/>
                  <w:noWrap w:val="0"/>
                  <w:vAlign w:val="center"/>
                </w:tcPr>
                <w:p w14:paraId="5C94C632">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71</w:t>
                  </w:r>
                </w:p>
              </w:tc>
              <w:tc>
                <w:tcPr>
                  <w:tcW w:w="764" w:type="pct"/>
                  <w:vMerge w:val="continue"/>
                  <w:noWrap w:val="0"/>
                  <w:vAlign w:val="center"/>
                </w:tcPr>
                <w:p w14:paraId="2B165053">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358523A9">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r>
            <w:tr w14:paraId="73300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549E9D2A">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816" w:type="pct"/>
                  <w:shd w:val="clear" w:color="auto" w:fill="auto"/>
                  <w:noWrap w:val="0"/>
                  <w:vAlign w:val="center"/>
                </w:tcPr>
                <w:p w14:paraId="53FAA86C">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电动压风机</w:t>
                  </w:r>
                </w:p>
              </w:tc>
              <w:tc>
                <w:tcPr>
                  <w:tcW w:w="445" w:type="pct"/>
                  <w:shd w:val="clear" w:color="auto" w:fill="auto"/>
                  <w:noWrap w:val="0"/>
                  <w:vAlign w:val="center"/>
                </w:tcPr>
                <w:p w14:paraId="0DFCA587">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58CE6801">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113.67</w:t>
                  </w:r>
                </w:p>
              </w:tc>
              <w:tc>
                <w:tcPr>
                  <w:tcW w:w="535" w:type="pct"/>
                  <w:noWrap w:val="0"/>
                  <w:vAlign w:val="center"/>
                </w:tcPr>
                <w:p w14:paraId="05AF80EF">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-35.38</w:t>
                  </w:r>
                </w:p>
              </w:tc>
              <w:tc>
                <w:tcPr>
                  <w:tcW w:w="438" w:type="pct"/>
                  <w:noWrap w:val="0"/>
                  <w:vAlign w:val="center"/>
                </w:tcPr>
                <w:p w14:paraId="5AAE43E6">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shd w:val="clear" w:color="auto" w:fill="auto"/>
                  <w:noWrap w:val="0"/>
                  <w:vAlign w:val="center"/>
                </w:tcPr>
                <w:p w14:paraId="0BF9F3ED">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70</w:t>
                  </w:r>
                </w:p>
              </w:tc>
              <w:tc>
                <w:tcPr>
                  <w:tcW w:w="764" w:type="pct"/>
                  <w:vMerge w:val="continue"/>
                  <w:noWrap w:val="0"/>
                  <w:vAlign w:val="center"/>
                </w:tcPr>
                <w:p w14:paraId="0C4EF60B">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7939C860">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r>
            <w:tr w14:paraId="55051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5888FBB0">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p>
              </w:tc>
              <w:tc>
                <w:tcPr>
                  <w:tcW w:w="816" w:type="pct"/>
                  <w:shd w:val="clear" w:color="auto" w:fill="auto"/>
                  <w:noWrap w:val="0"/>
                  <w:vAlign w:val="center"/>
                </w:tcPr>
                <w:p w14:paraId="7F028637">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钻井泵（2台）</w:t>
                  </w:r>
                </w:p>
              </w:tc>
              <w:tc>
                <w:tcPr>
                  <w:tcW w:w="445" w:type="pct"/>
                  <w:shd w:val="clear" w:color="auto" w:fill="auto"/>
                  <w:noWrap w:val="0"/>
                  <w:vAlign w:val="center"/>
                </w:tcPr>
                <w:p w14:paraId="0DC11823">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58062229">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108.08</w:t>
                  </w:r>
                </w:p>
              </w:tc>
              <w:tc>
                <w:tcPr>
                  <w:tcW w:w="535" w:type="pct"/>
                  <w:noWrap w:val="0"/>
                  <w:vAlign w:val="center"/>
                </w:tcPr>
                <w:p w14:paraId="6FE12CEB">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-44.62</w:t>
                  </w:r>
                </w:p>
              </w:tc>
              <w:tc>
                <w:tcPr>
                  <w:tcW w:w="438" w:type="pct"/>
                  <w:noWrap w:val="0"/>
                  <w:vAlign w:val="center"/>
                </w:tcPr>
                <w:p w14:paraId="1C199B0A">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shd w:val="clear" w:color="auto" w:fill="auto"/>
                  <w:noWrap w:val="0"/>
                  <w:vAlign w:val="center"/>
                </w:tcPr>
                <w:p w14:paraId="0C71204B">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73</w:t>
                  </w:r>
                </w:p>
              </w:tc>
              <w:tc>
                <w:tcPr>
                  <w:tcW w:w="764" w:type="pct"/>
                  <w:vMerge w:val="continue"/>
                  <w:noWrap w:val="0"/>
                  <w:vAlign w:val="center"/>
                </w:tcPr>
                <w:p w14:paraId="71B00B08">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77AA92B9">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r>
            <w:tr w14:paraId="20045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7C0A47B1">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816" w:type="pct"/>
                  <w:shd w:val="clear" w:color="auto" w:fill="auto"/>
                  <w:noWrap w:val="0"/>
                  <w:vAlign w:val="center"/>
                </w:tcPr>
                <w:p w14:paraId="4F5C5312">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加重泵（2台）</w:t>
                  </w:r>
                </w:p>
              </w:tc>
              <w:tc>
                <w:tcPr>
                  <w:tcW w:w="445" w:type="pct"/>
                  <w:shd w:val="clear" w:color="auto" w:fill="auto"/>
                  <w:noWrap w:val="0"/>
                  <w:vAlign w:val="center"/>
                </w:tcPr>
                <w:p w14:paraId="12516BCB">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666548FC">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97.13</w:t>
                  </w:r>
                </w:p>
              </w:tc>
              <w:tc>
                <w:tcPr>
                  <w:tcW w:w="535" w:type="pct"/>
                  <w:noWrap w:val="0"/>
                  <w:vAlign w:val="center"/>
                </w:tcPr>
                <w:p w14:paraId="66EEAA1A">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-15.44</w:t>
                  </w:r>
                </w:p>
              </w:tc>
              <w:tc>
                <w:tcPr>
                  <w:tcW w:w="438" w:type="pct"/>
                  <w:noWrap w:val="0"/>
                  <w:vAlign w:val="center"/>
                </w:tcPr>
                <w:p w14:paraId="0E315B28">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shd w:val="clear" w:color="auto" w:fill="auto"/>
                  <w:noWrap w:val="0"/>
                  <w:vAlign w:val="center"/>
                </w:tcPr>
                <w:p w14:paraId="58FA1337">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73</w:t>
                  </w:r>
                </w:p>
              </w:tc>
              <w:tc>
                <w:tcPr>
                  <w:tcW w:w="764" w:type="pct"/>
                  <w:vMerge w:val="continue"/>
                  <w:noWrap w:val="0"/>
                  <w:vAlign w:val="center"/>
                </w:tcPr>
                <w:p w14:paraId="6D38D5AF">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3BFB27C1">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r>
            <w:tr w14:paraId="052EF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19DCFF02">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816" w:type="pct"/>
                  <w:shd w:val="clear" w:color="auto" w:fill="auto"/>
                  <w:noWrap w:val="0"/>
                  <w:vAlign w:val="center"/>
                </w:tcPr>
                <w:p w14:paraId="25B9CDA5">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压滤机</w:t>
                  </w:r>
                </w:p>
              </w:tc>
              <w:tc>
                <w:tcPr>
                  <w:tcW w:w="445" w:type="pct"/>
                  <w:shd w:val="clear" w:color="auto" w:fill="auto"/>
                  <w:noWrap w:val="0"/>
                  <w:vAlign w:val="center"/>
                </w:tcPr>
                <w:p w14:paraId="1BE8D59C">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noWrap w:val="0"/>
                  <w:vAlign w:val="center"/>
                </w:tcPr>
                <w:p w14:paraId="6C13BDF7">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121.21</w:t>
                  </w:r>
                </w:p>
              </w:tc>
              <w:tc>
                <w:tcPr>
                  <w:tcW w:w="535" w:type="pct"/>
                  <w:noWrap w:val="0"/>
                  <w:vAlign w:val="center"/>
                </w:tcPr>
                <w:p w14:paraId="25275C82">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-27.35</w:t>
                  </w:r>
                </w:p>
              </w:tc>
              <w:tc>
                <w:tcPr>
                  <w:tcW w:w="438" w:type="pct"/>
                  <w:noWrap w:val="0"/>
                  <w:vAlign w:val="center"/>
                </w:tcPr>
                <w:p w14:paraId="7BBD6BDE">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shd w:val="clear" w:color="auto" w:fill="auto"/>
                  <w:noWrap w:val="0"/>
                  <w:vAlign w:val="center"/>
                </w:tcPr>
                <w:p w14:paraId="7CB61DD5">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75</w:t>
                  </w:r>
                </w:p>
              </w:tc>
              <w:tc>
                <w:tcPr>
                  <w:tcW w:w="764" w:type="pct"/>
                  <w:vMerge w:val="continue"/>
                  <w:noWrap w:val="0"/>
                  <w:vAlign w:val="center"/>
                </w:tcPr>
                <w:p w14:paraId="1F3AF6B9">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1CFE2B43">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r>
            <w:tr w14:paraId="52364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9"/>
                  <w:shd w:val="clear" w:color="auto" w:fill="auto"/>
                  <w:noWrap w:val="0"/>
                  <w:vAlign w:val="center"/>
                </w:tcPr>
                <w:p w14:paraId="0AB8CE66">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备注：基准点选取为</w:t>
                  </w:r>
                  <w:r>
                    <w:rPr>
                      <w:rFonts w:hint="eastAsia" w:ascii="Times New Roman" w:hAnsi="Times New Roman" w:eastAsia="宋体" w:cs="Times New Roman"/>
                      <w:color w:val="000000" w:themeColor="text1"/>
                      <w:szCs w:val="21"/>
                      <w:lang w:val="en-US" w:eastAsia="zh-CN"/>
                      <w14:textFill>
                        <w14:solidFill>
                          <w14:schemeClr w14:val="tx1"/>
                        </w14:solidFill>
                      </w14:textFill>
                    </w:rPr>
                    <w:t>井场西侧</w:t>
                  </w:r>
                  <w:r>
                    <w:rPr>
                      <w:rFonts w:hint="default" w:ascii="Times New Roman" w:hAnsi="Times New Roman" w:cs="Times New Roman"/>
                      <w:color w:val="000000" w:themeColor="text1"/>
                      <w:szCs w:val="21"/>
                      <w14:textFill>
                        <w14:solidFill>
                          <w14:schemeClr w14:val="tx1"/>
                        </w14:solidFill>
                      </w14:textFill>
                    </w:rPr>
                    <w:t>边界</w:t>
                  </w:r>
                  <w:r>
                    <w:rPr>
                      <w:rFonts w:hint="eastAsia" w:ascii="Times New Roman" w:hAnsi="Times New Roman" w:eastAsia="宋体" w:cs="Times New Roman"/>
                      <w:color w:val="000000" w:themeColor="text1"/>
                      <w:szCs w:val="21"/>
                      <w:lang w:val="en-US" w:eastAsia="zh-CN"/>
                      <w14:textFill>
                        <w14:solidFill>
                          <w14:schemeClr w14:val="tx1"/>
                        </w14:solidFill>
                      </w14:textFill>
                    </w:rPr>
                    <w:t>点</w:t>
                  </w:r>
                  <w:r>
                    <w:rPr>
                      <w:rFonts w:hint="default" w:ascii="Times New Roman" w:hAnsi="Times New Roman" w:cs="Times New Roman"/>
                      <w:color w:val="000000" w:themeColor="text1"/>
                      <w:szCs w:val="21"/>
                      <w14:textFill>
                        <w14:solidFill>
                          <w14:schemeClr w14:val="tx1"/>
                        </w14:solidFill>
                      </w14:textFill>
                    </w:rPr>
                    <w:t>。</w:t>
                  </w:r>
                </w:p>
              </w:tc>
            </w:tr>
            <w:tr w14:paraId="4C25B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9"/>
                  <w:noWrap w:val="0"/>
                  <w:vAlign w:val="center"/>
                </w:tcPr>
                <w:p w14:paraId="4F1EE487">
                  <w:pPr>
                    <w:pStyle w:val="11"/>
                    <w:spacing w:after="0" w:line="240" w:lineRule="auto"/>
                    <w:ind w:left="0" w:leftChars="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米172-07</w:t>
                  </w:r>
                </w:p>
              </w:tc>
            </w:tr>
            <w:tr w14:paraId="59652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50223088">
                  <w:pPr>
                    <w:jc w:val="center"/>
                    <w:rPr>
                      <w:rFonts w:hint="default" w:ascii="Times New Roman" w:hAnsi="Times New Roman" w:cs="Times New Roman" w:eastAsiaTheme="minorHAnsi"/>
                      <w:color w:val="000000" w:themeColor="text1"/>
                      <w:sz w:val="21"/>
                      <w:szCs w:val="21"/>
                      <w:lang w:val="en-US" w:eastAsia="en-US"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816" w:type="pct"/>
                  <w:shd w:val="clear" w:color="auto" w:fill="auto"/>
                  <w:noWrap w:val="0"/>
                  <w:vAlign w:val="center"/>
                </w:tcPr>
                <w:p w14:paraId="60794737">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钻机</w:t>
                  </w:r>
                </w:p>
              </w:tc>
              <w:tc>
                <w:tcPr>
                  <w:tcW w:w="445" w:type="pct"/>
                  <w:shd w:val="clear" w:color="auto" w:fill="auto"/>
                  <w:noWrap w:val="0"/>
                  <w:vAlign w:val="center"/>
                </w:tcPr>
                <w:p w14:paraId="12CC69E0">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shd w:val="clear" w:color="auto" w:fill="auto"/>
                  <w:noWrap w:val="0"/>
                  <w:vAlign w:val="center"/>
                </w:tcPr>
                <w:p w14:paraId="680886B2">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7.23</w:t>
                  </w:r>
                </w:p>
              </w:tc>
              <w:tc>
                <w:tcPr>
                  <w:tcW w:w="535" w:type="pct"/>
                  <w:shd w:val="clear" w:color="auto" w:fill="auto"/>
                  <w:noWrap w:val="0"/>
                  <w:vAlign w:val="center"/>
                </w:tcPr>
                <w:p w14:paraId="4ABEB3B9">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65.5</w:t>
                  </w:r>
                </w:p>
              </w:tc>
              <w:tc>
                <w:tcPr>
                  <w:tcW w:w="438" w:type="pct"/>
                  <w:shd w:val="clear" w:color="auto" w:fill="auto"/>
                  <w:noWrap w:val="0"/>
                  <w:vAlign w:val="center"/>
                </w:tcPr>
                <w:p w14:paraId="7A8DD312">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w:t>
                  </w:r>
                </w:p>
              </w:tc>
              <w:tc>
                <w:tcPr>
                  <w:tcW w:w="703" w:type="pct"/>
                  <w:shd w:val="clear" w:color="auto" w:fill="auto"/>
                  <w:noWrap w:val="0"/>
                  <w:vAlign w:val="center"/>
                </w:tcPr>
                <w:p w14:paraId="5A5616EC">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90</w:t>
                  </w:r>
                </w:p>
              </w:tc>
              <w:tc>
                <w:tcPr>
                  <w:tcW w:w="764" w:type="pct"/>
                  <w:vMerge w:val="restart"/>
                  <w:shd w:val="clear" w:color="auto" w:fill="auto"/>
                  <w:noWrap w:val="0"/>
                  <w:vAlign w:val="center"/>
                </w:tcPr>
                <w:p w14:paraId="4D4201B6">
                  <w:pPr>
                    <w:pStyle w:val="11"/>
                    <w:spacing w:after="0" w:line="240" w:lineRule="auto"/>
                    <w:ind w:left="0" w:leftChars="0"/>
                    <w:jc w:val="left"/>
                    <w:rPr>
                      <w:rFonts w:hint="default" w:ascii="Times New Roman" w:hAnsi="Times New Roman" w:cs="Times New Roman" w:eastAsiaTheme="minorHAnsi"/>
                      <w:color w:val="000000" w:themeColor="text1"/>
                      <w:sz w:val="21"/>
                      <w:szCs w:val="21"/>
                      <w:lang w:val="en-US" w:eastAsia="en-US"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选用低噪声型号</w:t>
                  </w:r>
                  <w:r>
                    <w:rPr>
                      <w:rFonts w:hint="eastAsia" w:ascii="Times New Roman" w:hAnsi="Times New Roman" w:eastAsia="宋体" w:cs="Times New Roman"/>
                      <w:color w:val="000000" w:themeColor="text1"/>
                      <w:szCs w:val="21"/>
                      <w:lang w:val="en-US" w:eastAsia="zh-CN"/>
                      <w14:textFill>
                        <w14:solidFill>
                          <w14:schemeClr w14:val="tx1"/>
                        </w14:solidFill>
                      </w14:textFill>
                    </w:rPr>
                    <w:t>设备</w:t>
                  </w:r>
                  <w:r>
                    <w:rPr>
                      <w:rFonts w:hint="default" w:ascii="Times New Roman" w:hAnsi="Times New Roman" w:cs="Times New Roman"/>
                      <w:color w:val="000000" w:themeColor="text1"/>
                      <w:szCs w:val="21"/>
                      <w14:textFill>
                        <w14:solidFill>
                          <w14:schemeClr w14:val="tx1"/>
                        </w14:solidFill>
                      </w14:textFill>
                    </w:rPr>
                    <w:t>、基础减振、管道软连接等降噪</w:t>
                  </w:r>
                </w:p>
              </w:tc>
              <w:tc>
                <w:tcPr>
                  <w:tcW w:w="454" w:type="pct"/>
                  <w:vMerge w:val="restart"/>
                  <w:shd w:val="clear" w:color="auto" w:fill="auto"/>
                  <w:noWrap w:val="0"/>
                  <w:vAlign w:val="center"/>
                </w:tcPr>
                <w:p w14:paraId="00548BC9">
                  <w:pPr>
                    <w:pStyle w:val="11"/>
                    <w:spacing w:after="0" w:line="240" w:lineRule="auto"/>
                    <w:ind w:left="0" w:leftChars="0"/>
                    <w:jc w:val="left"/>
                    <w:rPr>
                      <w:rFonts w:hint="default" w:ascii="Times New Roman" w:hAnsi="Times New Roman" w:cs="Times New Roman" w:eastAsiaTheme="minorHAnsi"/>
                      <w:color w:val="000000" w:themeColor="text1"/>
                      <w:sz w:val="21"/>
                      <w:szCs w:val="21"/>
                      <w:lang w:val="en-US" w:eastAsia="en-US"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昼间、夜间</w:t>
                  </w:r>
                </w:p>
              </w:tc>
            </w:tr>
            <w:tr w14:paraId="136B0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4324AFF5">
                  <w:pPr>
                    <w:jc w:val="center"/>
                    <w:rPr>
                      <w:rFonts w:hint="default" w:ascii="Times New Roman" w:hAnsi="Times New Roman" w:cs="Times New Roman" w:eastAsiaTheme="minorHAnsi"/>
                      <w:color w:val="000000" w:themeColor="text1"/>
                      <w:sz w:val="21"/>
                      <w:szCs w:val="21"/>
                      <w:lang w:val="en-US" w:eastAsia="en-US"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816" w:type="pct"/>
                  <w:shd w:val="clear" w:color="auto" w:fill="auto"/>
                  <w:noWrap w:val="0"/>
                  <w:vAlign w:val="center"/>
                </w:tcPr>
                <w:p w14:paraId="7172B585">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泥浆泵（2台）</w:t>
                  </w:r>
                </w:p>
              </w:tc>
              <w:tc>
                <w:tcPr>
                  <w:tcW w:w="445" w:type="pct"/>
                  <w:shd w:val="clear" w:color="auto" w:fill="auto"/>
                  <w:noWrap w:val="0"/>
                  <w:vAlign w:val="center"/>
                </w:tcPr>
                <w:p w14:paraId="054C449F">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shd w:val="clear" w:color="auto" w:fill="auto"/>
                  <w:noWrap w:val="0"/>
                  <w:vAlign w:val="center"/>
                </w:tcPr>
                <w:p w14:paraId="6A4385E8">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-29.25</w:t>
                  </w:r>
                </w:p>
              </w:tc>
              <w:tc>
                <w:tcPr>
                  <w:tcW w:w="535" w:type="pct"/>
                  <w:shd w:val="clear" w:color="auto" w:fill="auto"/>
                  <w:noWrap w:val="0"/>
                  <w:vAlign w:val="center"/>
                </w:tcPr>
                <w:p w14:paraId="20D4A823">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90.66</w:t>
                  </w:r>
                </w:p>
              </w:tc>
              <w:tc>
                <w:tcPr>
                  <w:tcW w:w="438" w:type="pct"/>
                  <w:shd w:val="clear" w:color="auto" w:fill="auto"/>
                  <w:noWrap w:val="0"/>
                  <w:vAlign w:val="center"/>
                </w:tcPr>
                <w:p w14:paraId="08AEDBE8">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shd w:val="clear" w:color="auto" w:fill="auto"/>
                  <w:noWrap w:val="0"/>
                  <w:vAlign w:val="center"/>
                </w:tcPr>
                <w:p w14:paraId="58DEBABE">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73</w:t>
                  </w:r>
                </w:p>
              </w:tc>
              <w:tc>
                <w:tcPr>
                  <w:tcW w:w="764" w:type="pct"/>
                  <w:vMerge w:val="continue"/>
                  <w:noWrap w:val="0"/>
                  <w:vAlign w:val="center"/>
                </w:tcPr>
                <w:p w14:paraId="34531EB6">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1AB7248C">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r>
            <w:tr w14:paraId="74B08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519A1F11">
                  <w:pPr>
                    <w:jc w:val="center"/>
                    <w:rPr>
                      <w:rFonts w:hint="default" w:ascii="Times New Roman" w:hAnsi="Times New Roman" w:cs="Times New Roman" w:eastAsiaTheme="minorHAnsi"/>
                      <w:color w:val="000000" w:themeColor="text1"/>
                      <w:sz w:val="21"/>
                      <w:szCs w:val="21"/>
                      <w:lang w:val="en-US" w:eastAsia="en-US"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816" w:type="pct"/>
                  <w:shd w:val="clear" w:color="auto" w:fill="auto"/>
                  <w:noWrap w:val="0"/>
                  <w:vAlign w:val="center"/>
                </w:tcPr>
                <w:p w14:paraId="2043CEEA">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除泥器</w:t>
                  </w:r>
                </w:p>
              </w:tc>
              <w:tc>
                <w:tcPr>
                  <w:tcW w:w="445" w:type="pct"/>
                  <w:shd w:val="clear" w:color="auto" w:fill="auto"/>
                  <w:noWrap w:val="0"/>
                  <w:vAlign w:val="center"/>
                </w:tcPr>
                <w:p w14:paraId="33CB0497">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shd w:val="clear" w:color="auto" w:fill="auto"/>
                  <w:noWrap w:val="0"/>
                  <w:vAlign w:val="center"/>
                </w:tcPr>
                <w:p w14:paraId="45A2E88C">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-18.73</w:t>
                  </w:r>
                </w:p>
              </w:tc>
              <w:tc>
                <w:tcPr>
                  <w:tcW w:w="535" w:type="pct"/>
                  <w:shd w:val="clear" w:color="auto" w:fill="auto"/>
                  <w:noWrap w:val="0"/>
                  <w:vAlign w:val="center"/>
                </w:tcPr>
                <w:p w14:paraId="367D0B9C">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96.84</w:t>
                  </w:r>
                </w:p>
              </w:tc>
              <w:tc>
                <w:tcPr>
                  <w:tcW w:w="438" w:type="pct"/>
                  <w:shd w:val="clear" w:color="auto" w:fill="auto"/>
                  <w:noWrap w:val="0"/>
                  <w:vAlign w:val="center"/>
                </w:tcPr>
                <w:p w14:paraId="225F9D71">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shd w:val="clear" w:color="auto" w:fill="auto"/>
                  <w:noWrap w:val="0"/>
                  <w:vAlign w:val="center"/>
                </w:tcPr>
                <w:p w14:paraId="3FFE1A21">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65</w:t>
                  </w:r>
                </w:p>
              </w:tc>
              <w:tc>
                <w:tcPr>
                  <w:tcW w:w="764" w:type="pct"/>
                  <w:vMerge w:val="continue"/>
                  <w:noWrap w:val="0"/>
                  <w:vAlign w:val="center"/>
                </w:tcPr>
                <w:p w14:paraId="5C5F3C44">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34EA87C4">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r>
            <w:tr w14:paraId="5B953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3C3FB548">
                  <w:pPr>
                    <w:jc w:val="center"/>
                    <w:rPr>
                      <w:rFonts w:hint="default" w:ascii="Times New Roman" w:hAnsi="Times New Roman" w:cs="Times New Roman" w:eastAsiaTheme="minorHAnsi"/>
                      <w:color w:val="000000" w:themeColor="text1"/>
                      <w:sz w:val="21"/>
                      <w:szCs w:val="21"/>
                      <w:lang w:val="en-US" w:eastAsia="en-US"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816" w:type="pct"/>
                  <w:shd w:val="clear" w:color="auto" w:fill="auto"/>
                  <w:noWrap w:val="0"/>
                  <w:vAlign w:val="center"/>
                </w:tcPr>
                <w:p w14:paraId="3E7F07F2">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除砂器</w:t>
                  </w:r>
                </w:p>
              </w:tc>
              <w:tc>
                <w:tcPr>
                  <w:tcW w:w="445" w:type="pct"/>
                  <w:shd w:val="clear" w:color="auto" w:fill="auto"/>
                  <w:noWrap w:val="0"/>
                  <w:vAlign w:val="center"/>
                </w:tcPr>
                <w:p w14:paraId="280CA134">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shd w:val="clear" w:color="auto" w:fill="auto"/>
                  <w:noWrap w:val="0"/>
                  <w:vAlign w:val="center"/>
                </w:tcPr>
                <w:p w14:paraId="43FF4EA3">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-7.6</w:t>
                  </w:r>
                </w:p>
              </w:tc>
              <w:tc>
                <w:tcPr>
                  <w:tcW w:w="535" w:type="pct"/>
                  <w:shd w:val="clear" w:color="auto" w:fill="auto"/>
                  <w:noWrap w:val="0"/>
                  <w:vAlign w:val="center"/>
                </w:tcPr>
                <w:p w14:paraId="375B0B81">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104.26</w:t>
                  </w:r>
                </w:p>
              </w:tc>
              <w:tc>
                <w:tcPr>
                  <w:tcW w:w="438" w:type="pct"/>
                  <w:shd w:val="clear" w:color="auto" w:fill="auto"/>
                  <w:noWrap w:val="0"/>
                  <w:vAlign w:val="center"/>
                </w:tcPr>
                <w:p w14:paraId="35E921B4">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shd w:val="clear" w:color="auto" w:fill="auto"/>
                  <w:noWrap w:val="0"/>
                  <w:vAlign w:val="center"/>
                </w:tcPr>
                <w:p w14:paraId="642F46C0">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65</w:t>
                  </w:r>
                </w:p>
              </w:tc>
              <w:tc>
                <w:tcPr>
                  <w:tcW w:w="764" w:type="pct"/>
                  <w:vMerge w:val="continue"/>
                  <w:noWrap w:val="0"/>
                  <w:vAlign w:val="center"/>
                </w:tcPr>
                <w:p w14:paraId="24A2D134">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394F518E">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r>
            <w:tr w14:paraId="1F47F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0803C269">
                  <w:pPr>
                    <w:jc w:val="center"/>
                    <w:rPr>
                      <w:rFonts w:hint="default" w:ascii="Times New Roman" w:hAnsi="Times New Roman" w:cs="Times New Roman" w:eastAsiaTheme="minorHAnsi"/>
                      <w:color w:val="000000" w:themeColor="text1"/>
                      <w:sz w:val="21"/>
                      <w:szCs w:val="21"/>
                      <w:lang w:val="en-US" w:eastAsia="en-US"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816" w:type="pct"/>
                  <w:shd w:val="clear" w:color="auto" w:fill="auto"/>
                  <w:noWrap w:val="0"/>
                  <w:vAlign w:val="center"/>
                </w:tcPr>
                <w:p w14:paraId="128EBFFA">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振动筛（3台）</w:t>
                  </w:r>
                </w:p>
              </w:tc>
              <w:tc>
                <w:tcPr>
                  <w:tcW w:w="445" w:type="pct"/>
                  <w:shd w:val="clear" w:color="auto" w:fill="auto"/>
                  <w:noWrap w:val="0"/>
                  <w:vAlign w:val="center"/>
                </w:tcPr>
                <w:p w14:paraId="2CF56E4F">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shd w:val="clear" w:color="auto" w:fill="auto"/>
                  <w:noWrap w:val="0"/>
                  <w:vAlign w:val="center"/>
                </w:tcPr>
                <w:p w14:paraId="062A6122">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2.91</w:t>
                  </w:r>
                </w:p>
              </w:tc>
              <w:tc>
                <w:tcPr>
                  <w:tcW w:w="535" w:type="pct"/>
                  <w:shd w:val="clear" w:color="auto" w:fill="auto"/>
                  <w:noWrap w:val="0"/>
                  <w:vAlign w:val="center"/>
                </w:tcPr>
                <w:p w14:paraId="6C3C4389">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109.83</w:t>
                  </w:r>
                </w:p>
              </w:tc>
              <w:tc>
                <w:tcPr>
                  <w:tcW w:w="438" w:type="pct"/>
                  <w:shd w:val="clear" w:color="auto" w:fill="auto"/>
                  <w:noWrap w:val="0"/>
                  <w:vAlign w:val="center"/>
                </w:tcPr>
                <w:p w14:paraId="6CEBE89A">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shd w:val="clear" w:color="auto" w:fill="auto"/>
                  <w:noWrap w:val="0"/>
                  <w:vAlign w:val="center"/>
                </w:tcPr>
                <w:p w14:paraId="699FEF30">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69.7</w:t>
                  </w:r>
                </w:p>
              </w:tc>
              <w:tc>
                <w:tcPr>
                  <w:tcW w:w="764" w:type="pct"/>
                  <w:vMerge w:val="continue"/>
                  <w:noWrap w:val="0"/>
                  <w:vAlign w:val="center"/>
                </w:tcPr>
                <w:p w14:paraId="04C8604E">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6F36F08A">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r>
            <w:tr w14:paraId="6F10E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0EDED26B">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w:t>
                  </w:r>
                </w:p>
              </w:tc>
              <w:tc>
                <w:tcPr>
                  <w:tcW w:w="816" w:type="pct"/>
                  <w:shd w:val="clear" w:color="auto" w:fill="auto"/>
                  <w:noWrap w:val="0"/>
                  <w:vAlign w:val="center"/>
                </w:tcPr>
                <w:p w14:paraId="13619CDA">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离心机（2台）</w:t>
                  </w:r>
                </w:p>
              </w:tc>
              <w:tc>
                <w:tcPr>
                  <w:tcW w:w="445" w:type="pct"/>
                  <w:shd w:val="clear" w:color="auto" w:fill="auto"/>
                  <w:noWrap w:val="0"/>
                  <w:vAlign w:val="center"/>
                </w:tcPr>
                <w:p w14:paraId="67B21364">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shd w:val="clear" w:color="auto" w:fill="auto"/>
                  <w:noWrap w:val="0"/>
                  <w:vAlign w:val="center"/>
                </w:tcPr>
                <w:p w14:paraId="5807152A">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14.66</w:t>
                  </w:r>
                </w:p>
              </w:tc>
              <w:tc>
                <w:tcPr>
                  <w:tcW w:w="535" w:type="pct"/>
                  <w:shd w:val="clear" w:color="auto" w:fill="auto"/>
                  <w:noWrap w:val="0"/>
                  <w:vAlign w:val="center"/>
                </w:tcPr>
                <w:p w14:paraId="0C7724A4">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114.16</w:t>
                  </w:r>
                </w:p>
              </w:tc>
              <w:tc>
                <w:tcPr>
                  <w:tcW w:w="438" w:type="pct"/>
                  <w:shd w:val="clear" w:color="auto" w:fill="auto"/>
                  <w:noWrap w:val="0"/>
                  <w:vAlign w:val="center"/>
                </w:tcPr>
                <w:p w14:paraId="131F9710">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shd w:val="clear" w:color="auto" w:fill="auto"/>
                  <w:noWrap w:val="0"/>
                  <w:vAlign w:val="center"/>
                </w:tcPr>
                <w:p w14:paraId="59B6BD1E">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73</w:t>
                  </w:r>
                </w:p>
              </w:tc>
              <w:tc>
                <w:tcPr>
                  <w:tcW w:w="764" w:type="pct"/>
                  <w:vMerge w:val="continue"/>
                  <w:noWrap w:val="0"/>
                  <w:vAlign w:val="center"/>
                </w:tcPr>
                <w:p w14:paraId="1624F998">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0DC1928B">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r>
            <w:tr w14:paraId="14A15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3971253B">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w:t>
                  </w:r>
                </w:p>
              </w:tc>
              <w:tc>
                <w:tcPr>
                  <w:tcW w:w="816" w:type="pct"/>
                  <w:shd w:val="clear" w:color="auto" w:fill="auto"/>
                  <w:noWrap w:val="0"/>
                  <w:vAlign w:val="center"/>
                </w:tcPr>
                <w:p w14:paraId="41B3169A">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自动压风机</w:t>
                  </w:r>
                </w:p>
              </w:tc>
              <w:tc>
                <w:tcPr>
                  <w:tcW w:w="445" w:type="pct"/>
                  <w:shd w:val="clear" w:color="auto" w:fill="auto"/>
                  <w:noWrap w:val="0"/>
                  <w:vAlign w:val="center"/>
                </w:tcPr>
                <w:p w14:paraId="532A0E40">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shd w:val="clear" w:color="auto" w:fill="auto"/>
                  <w:noWrap w:val="0"/>
                  <w:vAlign w:val="center"/>
                </w:tcPr>
                <w:p w14:paraId="48DB9AFD">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-23.73</w:t>
                  </w:r>
                </w:p>
              </w:tc>
              <w:tc>
                <w:tcPr>
                  <w:tcW w:w="535" w:type="pct"/>
                  <w:shd w:val="clear" w:color="auto" w:fill="auto"/>
                  <w:noWrap w:val="0"/>
                  <w:vAlign w:val="center"/>
                </w:tcPr>
                <w:p w14:paraId="06FEE4CD">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77.67</w:t>
                  </w:r>
                </w:p>
              </w:tc>
              <w:tc>
                <w:tcPr>
                  <w:tcW w:w="438" w:type="pct"/>
                  <w:shd w:val="clear" w:color="auto" w:fill="auto"/>
                  <w:noWrap w:val="0"/>
                  <w:vAlign w:val="center"/>
                </w:tcPr>
                <w:p w14:paraId="753ECABC">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shd w:val="clear" w:color="auto" w:fill="auto"/>
                  <w:noWrap w:val="0"/>
                  <w:vAlign w:val="center"/>
                </w:tcPr>
                <w:p w14:paraId="0417AAA2">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71</w:t>
                  </w:r>
                </w:p>
              </w:tc>
              <w:tc>
                <w:tcPr>
                  <w:tcW w:w="764" w:type="pct"/>
                  <w:vMerge w:val="continue"/>
                  <w:noWrap w:val="0"/>
                  <w:vAlign w:val="center"/>
                </w:tcPr>
                <w:p w14:paraId="71633CDE">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70B0894E">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r>
            <w:tr w14:paraId="50143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0E3E0819">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8</w:t>
                  </w:r>
                </w:p>
              </w:tc>
              <w:tc>
                <w:tcPr>
                  <w:tcW w:w="816" w:type="pct"/>
                  <w:shd w:val="clear" w:color="auto" w:fill="auto"/>
                  <w:noWrap w:val="0"/>
                  <w:vAlign w:val="center"/>
                </w:tcPr>
                <w:p w14:paraId="58C79DD6">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电动压风机</w:t>
                  </w:r>
                </w:p>
              </w:tc>
              <w:tc>
                <w:tcPr>
                  <w:tcW w:w="445" w:type="pct"/>
                  <w:shd w:val="clear" w:color="auto" w:fill="auto"/>
                  <w:noWrap w:val="0"/>
                  <w:vAlign w:val="center"/>
                </w:tcPr>
                <w:p w14:paraId="2DB14F6D">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shd w:val="clear" w:color="auto" w:fill="auto"/>
                  <w:noWrap w:val="0"/>
                  <w:vAlign w:val="center"/>
                </w:tcPr>
                <w:p w14:paraId="4BF57D37">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-16.62</w:t>
                  </w:r>
                </w:p>
              </w:tc>
              <w:tc>
                <w:tcPr>
                  <w:tcW w:w="535" w:type="pct"/>
                  <w:shd w:val="clear" w:color="auto" w:fill="auto"/>
                  <w:noWrap w:val="0"/>
                  <w:vAlign w:val="center"/>
                </w:tcPr>
                <w:p w14:paraId="3E53A75A">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82.15</w:t>
                  </w:r>
                </w:p>
              </w:tc>
              <w:tc>
                <w:tcPr>
                  <w:tcW w:w="438" w:type="pct"/>
                  <w:shd w:val="clear" w:color="auto" w:fill="auto"/>
                  <w:noWrap w:val="0"/>
                  <w:vAlign w:val="center"/>
                </w:tcPr>
                <w:p w14:paraId="2B7E1D18">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shd w:val="clear" w:color="auto" w:fill="auto"/>
                  <w:noWrap w:val="0"/>
                  <w:vAlign w:val="center"/>
                </w:tcPr>
                <w:p w14:paraId="76FAB90D">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70</w:t>
                  </w:r>
                </w:p>
              </w:tc>
              <w:tc>
                <w:tcPr>
                  <w:tcW w:w="764" w:type="pct"/>
                  <w:vMerge w:val="continue"/>
                  <w:noWrap w:val="0"/>
                  <w:vAlign w:val="center"/>
                </w:tcPr>
                <w:p w14:paraId="1EFA2377">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26FBBD84">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r>
            <w:tr w14:paraId="48DC7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20D84642">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p>
              </w:tc>
              <w:tc>
                <w:tcPr>
                  <w:tcW w:w="816" w:type="pct"/>
                  <w:shd w:val="clear" w:color="auto" w:fill="auto"/>
                  <w:noWrap w:val="0"/>
                  <w:vAlign w:val="center"/>
                </w:tcPr>
                <w:p w14:paraId="173EE334">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钻井泵（2台）</w:t>
                  </w:r>
                </w:p>
              </w:tc>
              <w:tc>
                <w:tcPr>
                  <w:tcW w:w="445" w:type="pct"/>
                  <w:shd w:val="clear" w:color="auto" w:fill="auto"/>
                  <w:noWrap w:val="0"/>
                  <w:vAlign w:val="center"/>
                </w:tcPr>
                <w:p w14:paraId="778F8150">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shd w:val="clear" w:color="auto" w:fill="auto"/>
                  <w:noWrap w:val="0"/>
                  <w:vAlign w:val="center"/>
                </w:tcPr>
                <w:p w14:paraId="25B5F560">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3.38</w:t>
                  </w:r>
                </w:p>
              </w:tc>
              <w:tc>
                <w:tcPr>
                  <w:tcW w:w="535" w:type="pct"/>
                  <w:shd w:val="clear" w:color="auto" w:fill="auto"/>
                  <w:noWrap w:val="0"/>
                  <w:vAlign w:val="center"/>
                </w:tcPr>
                <w:p w14:paraId="1E1B3732">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71.09</w:t>
                  </w:r>
                </w:p>
              </w:tc>
              <w:tc>
                <w:tcPr>
                  <w:tcW w:w="438" w:type="pct"/>
                  <w:shd w:val="clear" w:color="auto" w:fill="auto"/>
                  <w:noWrap w:val="0"/>
                  <w:vAlign w:val="center"/>
                </w:tcPr>
                <w:p w14:paraId="37F5A45B">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shd w:val="clear" w:color="auto" w:fill="auto"/>
                  <w:noWrap w:val="0"/>
                  <w:vAlign w:val="center"/>
                </w:tcPr>
                <w:p w14:paraId="617A3D10">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73</w:t>
                  </w:r>
                </w:p>
              </w:tc>
              <w:tc>
                <w:tcPr>
                  <w:tcW w:w="764" w:type="pct"/>
                  <w:vMerge w:val="continue"/>
                  <w:noWrap w:val="0"/>
                  <w:vAlign w:val="center"/>
                </w:tcPr>
                <w:p w14:paraId="4380FF2E">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3928F6D7">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r>
            <w:tr w14:paraId="1D8EB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6BD4E9C7">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816" w:type="pct"/>
                  <w:shd w:val="clear" w:color="auto" w:fill="auto"/>
                  <w:noWrap w:val="0"/>
                  <w:vAlign w:val="center"/>
                </w:tcPr>
                <w:p w14:paraId="3773E816">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加重泵（2台）</w:t>
                  </w:r>
                </w:p>
              </w:tc>
              <w:tc>
                <w:tcPr>
                  <w:tcW w:w="445" w:type="pct"/>
                  <w:shd w:val="clear" w:color="auto" w:fill="auto"/>
                  <w:noWrap w:val="0"/>
                  <w:vAlign w:val="center"/>
                </w:tcPr>
                <w:p w14:paraId="48CF00FD">
                  <w:pPr>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579" w:type="pct"/>
                  <w:shd w:val="clear" w:color="auto" w:fill="auto"/>
                  <w:noWrap w:val="0"/>
                  <w:vAlign w:val="center"/>
                </w:tcPr>
                <w:p w14:paraId="47A0AFB8">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8.38</w:t>
                  </w:r>
                </w:p>
              </w:tc>
              <w:tc>
                <w:tcPr>
                  <w:tcW w:w="535" w:type="pct"/>
                  <w:shd w:val="clear" w:color="auto" w:fill="auto"/>
                  <w:noWrap w:val="0"/>
                  <w:vAlign w:val="center"/>
                </w:tcPr>
                <w:p w14:paraId="3BDAECDA">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73.73</w:t>
                  </w:r>
                </w:p>
              </w:tc>
              <w:tc>
                <w:tcPr>
                  <w:tcW w:w="438" w:type="pct"/>
                  <w:shd w:val="clear" w:color="auto" w:fill="auto"/>
                  <w:noWrap w:val="0"/>
                  <w:vAlign w:val="center"/>
                </w:tcPr>
                <w:p w14:paraId="4C8DC8EA">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shd w:val="clear" w:color="auto" w:fill="auto"/>
                  <w:noWrap w:val="0"/>
                  <w:vAlign w:val="center"/>
                </w:tcPr>
                <w:p w14:paraId="66EF565C">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73</w:t>
                  </w:r>
                </w:p>
              </w:tc>
              <w:tc>
                <w:tcPr>
                  <w:tcW w:w="764" w:type="pct"/>
                  <w:vMerge w:val="continue"/>
                  <w:noWrap w:val="0"/>
                  <w:vAlign w:val="center"/>
                </w:tcPr>
                <w:p w14:paraId="63674476">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6CE4C689">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r>
            <w:tr w14:paraId="1DF17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2" w:type="pct"/>
                  <w:shd w:val="clear" w:color="auto" w:fill="auto"/>
                  <w:noWrap w:val="0"/>
                  <w:vAlign w:val="center"/>
                </w:tcPr>
                <w:p w14:paraId="2F27FB23">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816" w:type="pct"/>
                  <w:shd w:val="clear" w:color="auto" w:fill="auto"/>
                  <w:noWrap w:val="0"/>
                  <w:vAlign w:val="center"/>
                </w:tcPr>
                <w:p w14:paraId="41BE6CFC">
                  <w:pPr>
                    <w:tabs>
                      <w:tab w:val="left" w:pos="600"/>
                    </w:tabs>
                    <w:adjustRightInd w:val="0"/>
                    <w:snapToGrid w:val="0"/>
                    <w:spacing w:line="24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压滤机</w:t>
                  </w:r>
                </w:p>
              </w:tc>
              <w:tc>
                <w:tcPr>
                  <w:tcW w:w="445" w:type="pct"/>
                  <w:shd w:val="clear" w:color="auto" w:fill="auto"/>
                  <w:noWrap w:val="0"/>
                  <w:vAlign w:val="center"/>
                </w:tcPr>
                <w:p w14:paraId="4164AB57">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579" w:type="pct"/>
                  <w:shd w:val="clear" w:color="auto" w:fill="auto"/>
                  <w:noWrap w:val="0"/>
                  <w:vAlign w:val="center"/>
                </w:tcPr>
                <w:p w14:paraId="0F23D003">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19.43</w:t>
                  </w:r>
                </w:p>
              </w:tc>
              <w:tc>
                <w:tcPr>
                  <w:tcW w:w="535" w:type="pct"/>
                  <w:shd w:val="clear" w:color="auto" w:fill="auto"/>
                  <w:noWrap w:val="0"/>
                  <w:vAlign w:val="center"/>
                </w:tcPr>
                <w:p w14:paraId="08AA5F49">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101.62</w:t>
                  </w:r>
                </w:p>
              </w:tc>
              <w:tc>
                <w:tcPr>
                  <w:tcW w:w="438" w:type="pct"/>
                  <w:shd w:val="clear" w:color="auto" w:fill="auto"/>
                  <w:noWrap w:val="0"/>
                  <w:vAlign w:val="center"/>
                </w:tcPr>
                <w:p w14:paraId="64103B20">
                  <w:pPr>
                    <w:pStyle w:val="11"/>
                    <w:spacing w:after="0" w:line="240" w:lineRule="auto"/>
                    <w:ind w:left="0" w:leftChars="0"/>
                    <w:jc w:val="center"/>
                    <w:rPr>
                      <w:rFonts w:hint="default" w:ascii="Times New Roman" w:hAnsi="Times New Roman" w:eastAsia="宋体" w:cs="Times New Roman"/>
                      <w:color w:val="000000" w:themeColor="text1"/>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0.5</w:t>
                  </w:r>
                </w:p>
              </w:tc>
              <w:tc>
                <w:tcPr>
                  <w:tcW w:w="703" w:type="pct"/>
                  <w:shd w:val="clear" w:color="auto" w:fill="auto"/>
                  <w:noWrap w:val="0"/>
                  <w:vAlign w:val="center"/>
                </w:tcPr>
                <w:p w14:paraId="42C98E4E">
                  <w:pPr>
                    <w:pStyle w:val="11"/>
                    <w:spacing w:after="0" w:line="240" w:lineRule="auto"/>
                    <w:ind w:left="0" w:left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75</w:t>
                  </w:r>
                </w:p>
              </w:tc>
              <w:tc>
                <w:tcPr>
                  <w:tcW w:w="764" w:type="pct"/>
                  <w:vMerge w:val="continue"/>
                  <w:noWrap w:val="0"/>
                  <w:vAlign w:val="center"/>
                </w:tcPr>
                <w:p w14:paraId="578277E1">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c>
                <w:tcPr>
                  <w:tcW w:w="454" w:type="pct"/>
                  <w:vMerge w:val="continue"/>
                  <w:noWrap w:val="0"/>
                  <w:vAlign w:val="center"/>
                </w:tcPr>
                <w:p w14:paraId="2E2D3F40">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p>
              </w:tc>
            </w:tr>
            <w:tr w14:paraId="75326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9"/>
                  <w:shd w:val="clear" w:color="auto" w:fill="auto"/>
                  <w:noWrap w:val="0"/>
                  <w:vAlign w:val="center"/>
                </w:tcPr>
                <w:p w14:paraId="5CD340F7">
                  <w:pPr>
                    <w:pStyle w:val="11"/>
                    <w:spacing w:after="0" w:line="240" w:lineRule="auto"/>
                    <w:ind w:left="0" w:leftChars="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备注：基准点选取为</w:t>
                  </w:r>
                  <w:r>
                    <w:rPr>
                      <w:rFonts w:hint="eastAsia" w:ascii="Times New Roman" w:hAnsi="Times New Roman" w:eastAsia="宋体" w:cs="Times New Roman"/>
                      <w:color w:val="000000" w:themeColor="text1"/>
                      <w:szCs w:val="21"/>
                      <w:lang w:val="en-US" w:eastAsia="zh-CN"/>
                      <w14:textFill>
                        <w14:solidFill>
                          <w14:schemeClr w14:val="tx1"/>
                        </w14:solidFill>
                      </w14:textFill>
                    </w:rPr>
                    <w:t>井场最南侧边界点</w:t>
                  </w:r>
                  <w:r>
                    <w:rPr>
                      <w:rFonts w:hint="default" w:ascii="Times New Roman" w:hAnsi="Times New Roman" w:cs="Times New Roman"/>
                      <w:color w:val="000000" w:themeColor="text1"/>
                      <w:szCs w:val="21"/>
                      <w14:textFill>
                        <w14:solidFill>
                          <w14:schemeClr w14:val="tx1"/>
                        </w14:solidFill>
                      </w14:textFill>
                    </w:rPr>
                    <w:t>。</w:t>
                  </w:r>
                </w:p>
              </w:tc>
            </w:tr>
          </w:tbl>
          <w:p w14:paraId="61F97CAF">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2、评价方法</w:t>
            </w:r>
          </w:p>
          <w:p w14:paraId="2BB9F5F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根据本项目施工期间主要噪声源的特征，可采用点声源距离衰减公式对主要声源产生声环境质量影响进行预测，具体公式如下：</w:t>
            </w:r>
          </w:p>
          <w:p w14:paraId="3E9E80F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L</w:t>
            </w:r>
            <w:r>
              <w:rPr>
                <w:rFonts w:hint="default"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A</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（r）=L</w:t>
            </w:r>
            <w:r>
              <w:rPr>
                <w:rFonts w:hint="default"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A</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（r</w:t>
            </w:r>
            <w:r>
              <w:rPr>
                <w:rFonts w:hint="default"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）-20lg（r/r</w:t>
            </w:r>
            <w:r>
              <w:rPr>
                <w:rFonts w:hint="default"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p>
          <w:p w14:paraId="090048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式中：L</w:t>
            </w:r>
            <w:r>
              <w:rPr>
                <w:rFonts w:hint="default"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A</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（r）——距声源r处的A声级，dB（A）；</w:t>
            </w:r>
          </w:p>
          <w:p w14:paraId="71C10C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L</w:t>
            </w:r>
            <w:r>
              <w:rPr>
                <w:rFonts w:hint="default"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A</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（r）——参考位置r</w:t>
            </w:r>
            <w:r>
              <w:rPr>
                <w:rFonts w:hint="default"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处的A声级，dB（A）；</w:t>
            </w:r>
          </w:p>
          <w:p w14:paraId="334716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r——参考点距离声源的距离，m；</w:t>
            </w:r>
          </w:p>
          <w:p w14:paraId="48E5C2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r</w:t>
            </w:r>
            <w:r>
              <w:rPr>
                <w:rFonts w:hint="default"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——参考位置距离衰减情况见下表：</w:t>
            </w:r>
          </w:p>
          <w:p w14:paraId="2952AD2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p w14:paraId="755EAE4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p w14:paraId="3C8C323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p w14:paraId="7CA7968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5</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 xml:space="preserve">   施工设备噪声衰减结果表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662"/>
              <w:gridCol w:w="828"/>
              <w:gridCol w:w="578"/>
              <w:gridCol w:w="828"/>
              <w:gridCol w:w="688"/>
              <w:gridCol w:w="688"/>
              <w:gridCol w:w="753"/>
              <w:gridCol w:w="753"/>
              <w:gridCol w:w="756"/>
              <w:gridCol w:w="756"/>
              <w:gridCol w:w="793"/>
            </w:tblGrid>
            <w:tr w14:paraId="01F4C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vMerge w:val="restart"/>
                  <w:vAlign w:val="center"/>
                </w:tcPr>
                <w:p w14:paraId="0FBE8DD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施工阶段</w:t>
                  </w:r>
                </w:p>
              </w:tc>
              <w:tc>
                <w:tcPr>
                  <w:tcW w:w="379" w:type="pct"/>
                  <w:vMerge w:val="restart"/>
                  <w:vAlign w:val="center"/>
                </w:tcPr>
                <w:p w14:paraId="2434495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设备</w:t>
                  </w:r>
                </w:p>
              </w:tc>
              <w:tc>
                <w:tcPr>
                  <w:tcW w:w="474" w:type="pct"/>
                  <w:vMerge w:val="restart"/>
                  <w:vAlign w:val="center"/>
                </w:tcPr>
                <w:p w14:paraId="77D02EF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降噪后声级dB（A）</w:t>
                  </w:r>
                </w:p>
              </w:tc>
              <w:tc>
                <w:tcPr>
                  <w:tcW w:w="331" w:type="pct"/>
                  <w:vMerge w:val="restart"/>
                  <w:vAlign w:val="center"/>
                </w:tcPr>
                <w:p w14:paraId="2E26970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运行数量</w:t>
                  </w:r>
                </w:p>
              </w:tc>
              <w:tc>
                <w:tcPr>
                  <w:tcW w:w="474" w:type="pct"/>
                  <w:vMerge w:val="restart"/>
                  <w:vAlign w:val="center"/>
                </w:tcPr>
                <w:p w14:paraId="07FA11B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合成声压级dB（A）</w:t>
                  </w:r>
                </w:p>
              </w:tc>
              <w:tc>
                <w:tcPr>
                  <w:tcW w:w="2970" w:type="pct"/>
                  <w:gridSpan w:val="7"/>
                  <w:vAlign w:val="center"/>
                </w:tcPr>
                <w:p w14:paraId="2B3684C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受声点不同距离处噪声衰减值/dB（A）</w:t>
                  </w:r>
                </w:p>
              </w:tc>
            </w:tr>
            <w:tr w14:paraId="1C0E2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vMerge w:val="continue"/>
                  <w:vAlign w:val="center"/>
                </w:tcPr>
                <w:p w14:paraId="522DC71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379" w:type="pct"/>
                  <w:vMerge w:val="continue"/>
                  <w:vAlign w:val="center"/>
                </w:tcPr>
                <w:p w14:paraId="3AD5882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474" w:type="pct"/>
                  <w:vMerge w:val="continue"/>
                  <w:vAlign w:val="center"/>
                </w:tcPr>
                <w:p w14:paraId="039E725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331" w:type="pct"/>
                  <w:vMerge w:val="continue"/>
                  <w:vAlign w:val="center"/>
                </w:tcPr>
                <w:p w14:paraId="6F0CE44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474" w:type="pct"/>
                  <w:vMerge w:val="continue"/>
                  <w:vAlign w:val="center"/>
                </w:tcPr>
                <w:p w14:paraId="453B2FC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394" w:type="pct"/>
                  <w:vAlign w:val="center"/>
                </w:tcPr>
                <w:p w14:paraId="0D67C08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10m</w:t>
                  </w:r>
                </w:p>
              </w:tc>
              <w:tc>
                <w:tcPr>
                  <w:tcW w:w="394" w:type="pct"/>
                  <w:vAlign w:val="center"/>
                </w:tcPr>
                <w:p w14:paraId="2EFF982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50m</w:t>
                  </w:r>
                </w:p>
              </w:tc>
              <w:tc>
                <w:tcPr>
                  <w:tcW w:w="431" w:type="pct"/>
                  <w:vAlign w:val="center"/>
                </w:tcPr>
                <w:p w14:paraId="2C5B3C7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100m</w:t>
                  </w:r>
                </w:p>
              </w:tc>
              <w:tc>
                <w:tcPr>
                  <w:tcW w:w="431" w:type="pct"/>
                  <w:vAlign w:val="center"/>
                </w:tcPr>
                <w:p w14:paraId="14B3A28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150m</w:t>
                  </w:r>
                </w:p>
              </w:tc>
              <w:tc>
                <w:tcPr>
                  <w:tcW w:w="433" w:type="pct"/>
                  <w:vAlign w:val="center"/>
                </w:tcPr>
                <w:p w14:paraId="01BCAA2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200m</w:t>
                  </w:r>
                </w:p>
              </w:tc>
              <w:tc>
                <w:tcPr>
                  <w:tcW w:w="433" w:type="pct"/>
                  <w:vAlign w:val="center"/>
                </w:tcPr>
                <w:p w14:paraId="402E35A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250m</w:t>
                  </w:r>
                </w:p>
              </w:tc>
              <w:tc>
                <w:tcPr>
                  <w:tcW w:w="453" w:type="pct"/>
                  <w:vAlign w:val="center"/>
                </w:tcPr>
                <w:p w14:paraId="02A69B5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300m</w:t>
                  </w:r>
                </w:p>
              </w:tc>
            </w:tr>
            <w:tr w14:paraId="196B8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vMerge w:val="restart"/>
                  <w:vAlign w:val="center"/>
                </w:tcPr>
                <w:p w14:paraId="0102354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土石方工程</w:t>
                  </w:r>
                </w:p>
              </w:tc>
              <w:tc>
                <w:tcPr>
                  <w:tcW w:w="379" w:type="pct"/>
                  <w:vAlign w:val="center"/>
                </w:tcPr>
                <w:p w14:paraId="1475105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推土机</w:t>
                  </w:r>
                </w:p>
              </w:tc>
              <w:tc>
                <w:tcPr>
                  <w:tcW w:w="474" w:type="pct"/>
                  <w:vAlign w:val="center"/>
                </w:tcPr>
                <w:p w14:paraId="22FDF56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100</w:t>
                  </w:r>
                </w:p>
              </w:tc>
              <w:tc>
                <w:tcPr>
                  <w:tcW w:w="331" w:type="pct"/>
                  <w:vAlign w:val="center"/>
                </w:tcPr>
                <w:p w14:paraId="34F6FDF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c>
                <w:tcPr>
                  <w:tcW w:w="474" w:type="pct"/>
                  <w:shd w:val="clear" w:color="auto" w:fill="auto"/>
                  <w:vAlign w:val="center"/>
                </w:tcPr>
                <w:p w14:paraId="1BD06B3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100</w:t>
                  </w:r>
                </w:p>
              </w:tc>
              <w:tc>
                <w:tcPr>
                  <w:tcW w:w="394" w:type="pct"/>
                  <w:vAlign w:val="center"/>
                </w:tcPr>
                <w:p w14:paraId="2677772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80</w:t>
                  </w:r>
                </w:p>
              </w:tc>
              <w:tc>
                <w:tcPr>
                  <w:tcW w:w="394" w:type="pct"/>
                  <w:vAlign w:val="center"/>
                </w:tcPr>
                <w:p w14:paraId="523D14A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66</w:t>
                  </w:r>
                </w:p>
              </w:tc>
              <w:tc>
                <w:tcPr>
                  <w:tcW w:w="431" w:type="pct"/>
                  <w:vAlign w:val="center"/>
                </w:tcPr>
                <w:p w14:paraId="7F930A1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60</w:t>
                  </w:r>
                </w:p>
              </w:tc>
              <w:tc>
                <w:tcPr>
                  <w:tcW w:w="431" w:type="pct"/>
                  <w:vAlign w:val="center"/>
                </w:tcPr>
                <w:p w14:paraId="133E9AA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56</w:t>
                  </w:r>
                </w:p>
              </w:tc>
              <w:tc>
                <w:tcPr>
                  <w:tcW w:w="433" w:type="pct"/>
                  <w:vAlign w:val="center"/>
                </w:tcPr>
                <w:p w14:paraId="7D1F847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54</w:t>
                  </w:r>
                </w:p>
              </w:tc>
              <w:tc>
                <w:tcPr>
                  <w:tcW w:w="433" w:type="pct"/>
                  <w:vAlign w:val="center"/>
                </w:tcPr>
                <w:p w14:paraId="338F105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52</w:t>
                  </w:r>
                </w:p>
              </w:tc>
              <w:tc>
                <w:tcPr>
                  <w:tcW w:w="453" w:type="pct"/>
                  <w:vAlign w:val="center"/>
                </w:tcPr>
                <w:p w14:paraId="3B1D07A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50</w:t>
                  </w:r>
                </w:p>
              </w:tc>
            </w:tr>
            <w:tr w14:paraId="5F13B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370" w:type="pct"/>
                  <w:vMerge w:val="continue"/>
                  <w:vAlign w:val="center"/>
                </w:tcPr>
                <w:p w14:paraId="0B23492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379" w:type="pct"/>
                  <w:vAlign w:val="center"/>
                </w:tcPr>
                <w:p w14:paraId="32C83EE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翻斗车</w:t>
                  </w:r>
                </w:p>
              </w:tc>
              <w:tc>
                <w:tcPr>
                  <w:tcW w:w="474" w:type="pct"/>
                  <w:vAlign w:val="center"/>
                </w:tcPr>
                <w:p w14:paraId="41F174C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100</w:t>
                  </w:r>
                </w:p>
              </w:tc>
              <w:tc>
                <w:tcPr>
                  <w:tcW w:w="331" w:type="pct"/>
                  <w:vAlign w:val="center"/>
                </w:tcPr>
                <w:p w14:paraId="5BBA5A1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c>
                <w:tcPr>
                  <w:tcW w:w="474" w:type="pct"/>
                  <w:shd w:val="clear" w:color="auto" w:fill="auto"/>
                  <w:vAlign w:val="center"/>
                </w:tcPr>
                <w:p w14:paraId="56D2F6D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100</w:t>
                  </w:r>
                </w:p>
              </w:tc>
              <w:tc>
                <w:tcPr>
                  <w:tcW w:w="394" w:type="pct"/>
                  <w:shd w:val="clear" w:color="auto" w:fill="auto"/>
                  <w:vAlign w:val="center"/>
                </w:tcPr>
                <w:p w14:paraId="65C18DB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80</w:t>
                  </w:r>
                </w:p>
              </w:tc>
              <w:tc>
                <w:tcPr>
                  <w:tcW w:w="394" w:type="pct"/>
                  <w:shd w:val="clear" w:color="auto" w:fill="auto"/>
                  <w:vAlign w:val="center"/>
                </w:tcPr>
                <w:p w14:paraId="37DEEE5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66</w:t>
                  </w:r>
                </w:p>
              </w:tc>
              <w:tc>
                <w:tcPr>
                  <w:tcW w:w="431" w:type="pct"/>
                  <w:shd w:val="clear" w:color="auto" w:fill="auto"/>
                  <w:vAlign w:val="center"/>
                </w:tcPr>
                <w:p w14:paraId="7642263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60</w:t>
                  </w:r>
                </w:p>
              </w:tc>
              <w:tc>
                <w:tcPr>
                  <w:tcW w:w="431" w:type="pct"/>
                  <w:shd w:val="clear" w:color="auto" w:fill="auto"/>
                  <w:vAlign w:val="center"/>
                </w:tcPr>
                <w:p w14:paraId="6BDDDD6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56</w:t>
                  </w:r>
                </w:p>
              </w:tc>
              <w:tc>
                <w:tcPr>
                  <w:tcW w:w="433" w:type="pct"/>
                  <w:shd w:val="clear" w:color="auto" w:fill="auto"/>
                  <w:vAlign w:val="center"/>
                </w:tcPr>
                <w:p w14:paraId="4D25C7F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54</w:t>
                  </w:r>
                </w:p>
              </w:tc>
              <w:tc>
                <w:tcPr>
                  <w:tcW w:w="433" w:type="pct"/>
                  <w:shd w:val="clear" w:color="auto" w:fill="auto"/>
                  <w:vAlign w:val="center"/>
                </w:tcPr>
                <w:p w14:paraId="40D4A4C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52</w:t>
                  </w:r>
                </w:p>
              </w:tc>
              <w:tc>
                <w:tcPr>
                  <w:tcW w:w="453" w:type="pct"/>
                  <w:shd w:val="clear" w:color="auto" w:fill="auto"/>
                  <w:vAlign w:val="center"/>
                </w:tcPr>
                <w:p w14:paraId="51EFCE0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50</w:t>
                  </w:r>
                </w:p>
              </w:tc>
            </w:tr>
            <w:tr w14:paraId="3CF4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vMerge w:val="continue"/>
                  <w:vAlign w:val="center"/>
                </w:tcPr>
                <w:p w14:paraId="504B6B5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379" w:type="pct"/>
                  <w:vAlign w:val="center"/>
                </w:tcPr>
                <w:p w14:paraId="35F3224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装载机</w:t>
                  </w:r>
                </w:p>
              </w:tc>
              <w:tc>
                <w:tcPr>
                  <w:tcW w:w="474" w:type="pct"/>
                  <w:vAlign w:val="center"/>
                </w:tcPr>
                <w:p w14:paraId="1823114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95</w:t>
                  </w:r>
                </w:p>
              </w:tc>
              <w:tc>
                <w:tcPr>
                  <w:tcW w:w="331" w:type="pct"/>
                  <w:vAlign w:val="center"/>
                </w:tcPr>
                <w:p w14:paraId="61E8C5D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c>
                <w:tcPr>
                  <w:tcW w:w="474" w:type="pct"/>
                  <w:shd w:val="clear" w:color="auto" w:fill="auto"/>
                  <w:vAlign w:val="center"/>
                </w:tcPr>
                <w:p w14:paraId="66CC4A9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95</w:t>
                  </w:r>
                </w:p>
              </w:tc>
              <w:tc>
                <w:tcPr>
                  <w:tcW w:w="394" w:type="pct"/>
                  <w:vAlign w:val="center"/>
                </w:tcPr>
                <w:p w14:paraId="3C7E22A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75</w:t>
                  </w:r>
                </w:p>
              </w:tc>
              <w:tc>
                <w:tcPr>
                  <w:tcW w:w="394" w:type="pct"/>
                  <w:vAlign w:val="center"/>
                </w:tcPr>
                <w:p w14:paraId="5B414BD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61</w:t>
                  </w:r>
                </w:p>
              </w:tc>
              <w:tc>
                <w:tcPr>
                  <w:tcW w:w="431" w:type="pct"/>
                  <w:vAlign w:val="center"/>
                </w:tcPr>
                <w:p w14:paraId="5DA138A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55</w:t>
                  </w:r>
                </w:p>
              </w:tc>
              <w:tc>
                <w:tcPr>
                  <w:tcW w:w="431" w:type="pct"/>
                  <w:vAlign w:val="center"/>
                </w:tcPr>
                <w:p w14:paraId="0637227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51</w:t>
                  </w:r>
                </w:p>
              </w:tc>
              <w:tc>
                <w:tcPr>
                  <w:tcW w:w="433" w:type="pct"/>
                  <w:vAlign w:val="center"/>
                </w:tcPr>
                <w:p w14:paraId="607C3E9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49</w:t>
                  </w:r>
                </w:p>
              </w:tc>
              <w:tc>
                <w:tcPr>
                  <w:tcW w:w="433" w:type="pct"/>
                  <w:vAlign w:val="center"/>
                </w:tcPr>
                <w:p w14:paraId="75F5651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47</w:t>
                  </w:r>
                </w:p>
              </w:tc>
              <w:tc>
                <w:tcPr>
                  <w:tcW w:w="453" w:type="pct"/>
                  <w:vAlign w:val="center"/>
                </w:tcPr>
                <w:p w14:paraId="6636E75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45</w:t>
                  </w:r>
                </w:p>
              </w:tc>
            </w:tr>
            <w:tr w14:paraId="1BB96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vMerge w:val="restart"/>
                  <w:vAlign w:val="center"/>
                </w:tcPr>
                <w:p w14:paraId="6656D24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钻井过程</w:t>
                  </w:r>
                </w:p>
              </w:tc>
              <w:tc>
                <w:tcPr>
                  <w:tcW w:w="379" w:type="pct"/>
                  <w:shd w:val="clear" w:color="auto" w:fill="auto"/>
                  <w:vAlign w:val="center"/>
                </w:tcPr>
                <w:p w14:paraId="6A2E201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钻机</w:t>
                  </w:r>
                </w:p>
              </w:tc>
              <w:tc>
                <w:tcPr>
                  <w:tcW w:w="474" w:type="pct"/>
                  <w:vAlign w:val="center"/>
                </w:tcPr>
                <w:p w14:paraId="68831BE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90</w:t>
                  </w:r>
                </w:p>
              </w:tc>
              <w:tc>
                <w:tcPr>
                  <w:tcW w:w="331" w:type="pct"/>
                  <w:vAlign w:val="center"/>
                </w:tcPr>
                <w:p w14:paraId="2E800B1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c>
                <w:tcPr>
                  <w:tcW w:w="474" w:type="pct"/>
                  <w:vAlign w:val="center"/>
                </w:tcPr>
                <w:p w14:paraId="7E2892A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90</w:t>
                  </w:r>
                </w:p>
              </w:tc>
              <w:tc>
                <w:tcPr>
                  <w:tcW w:w="394" w:type="pct"/>
                  <w:vAlign w:val="center"/>
                </w:tcPr>
                <w:p w14:paraId="390C53F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70.0</w:t>
                  </w:r>
                </w:p>
              </w:tc>
              <w:tc>
                <w:tcPr>
                  <w:tcW w:w="394" w:type="pct"/>
                  <w:vAlign w:val="center"/>
                </w:tcPr>
                <w:p w14:paraId="0C9814E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56.0</w:t>
                  </w:r>
                </w:p>
              </w:tc>
              <w:tc>
                <w:tcPr>
                  <w:tcW w:w="431" w:type="pct"/>
                  <w:vAlign w:val="center"/>
                </w:tcPr>
                <w:p w14:paraId="07F56B8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50.0</w:t>
                  </w:r>
                </w:p>
              </w:tc>
              <w:tc>
                <w:tcPr>
                  <w:tcW w:w="431" w:type="pct"/>
                  <w:vAlign w:val="center"/>
                </w:tcPr>
                <w:p w14:paraId="5569434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46.5</w:t>
                  </w:r>
                </w:p>
              </w:tc>
              <w:tc>
                <w:tcPr>
                  <w:tcW w:w="433" w:type="pct"/>
                  <w:vAlign w:val="center"/>
                </w:tcPr>
                <w:p w14:paraId="4C2EF03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44.0</w:t>
                  </w:r>
                </w:p>
              </w:tc>
              <w:tc>
                <w:tcPr>
                  <w:tcW w:w="433" w:type="pct"/>
                  <w:vAlign w:val="center"/>
                </w:tcPr>
                <w:p w14:paraId="4B076A7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42.0</w:t>
                  </w:r>
                </w:p>
              </w:tc>
              <w:tc>
                <w:tcPr>
                  <w:tcW w:w="453" w:type="pct"/>
                  <w:vAlign w:val="center"/>
                </w:tcPr>
                <w:p w14:paraId="6B7EDC8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40</w:t>
                  </w: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.5</w:t>
                  </w:r>
                </w:p>
              </w:tc>
            </w:tr>
            <w:tr w14:paraId="76C0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vMerge w:val="continue"/>
                  <w:vAlign w:val="center"/>
                </w:tcPr>
                <w:p w14:paraId="7594AFA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p>
              </w:tc>
              <w:tc>
                <w:tcPr>
                  <w:tcW w:w="379" w:type="pct"/>
                  <w:shd w:val="clear" w:color="auto" w:fill="auto"/>
                  <w:vAlign w:val="center"/>
                </w:tcPr>
                <w:p w14:paraId="1A47CB1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泥浆泵</w:t>
                  </w:r>
                </w:p>
              </w:tc>
              <w:tc>
                <w:tcPr>
                  <w:tcW w:w="474" w:type="pct"/>
                  <w:vAlign w:val="center"/>
                </w:tcPr>
                <w:p w14:paraId="25DC9D7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70</w:t>
                  </w:r>
                </w:p>
              </w:tc>
              <w:tc>
                <w:tcPr>
                  <w:tcW w:w="331" w:type="pct"/>
                  <w:vAlign w:val="center"/>
                </w:tcPr>
                <w:p w14:paraId="192D959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c>
                <w:tcPr>
                  <w:tcW w:w="474" w:type="pct"/>
                  <w:vAlign w:val="center"/>
                </w:tcPr>
                <w:p w14:paraId="240AB86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73</w:t>
                  </w:r>
                </w:p>
              </w:tc>
              <w:tc>
                <w:tcPr>
                  <w:tcW w:w="394" w:type="pct"/>
                  <w:vAlign w:val="center"/>
                </w:tcPr>
                <w:p w14:paraId="7E878E2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53</w:t>
                  </w:r>
                </w:p>
              </w:tc>
              <w:tc>
                <w:tcPr>
                  <w:tcW w:w="394" w:type="pct"/>
                  <w:vAlign w:val="center"/>
                </w:tcPr>
                <w:p w14:paraId="48B7B8A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39</w:t>
                  </w:r>
                </w:p>
              </w:tc>
              <w:tc>
                <w:tcPr>
                  <w:tcW w:w="431" w:type="pct"/>
                  <w:vAlign w:val="center"/>
                </w:tcPr>
                <w:p w14:paraId="419DF4B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33</w:t>
                  </w:r>
                </w:p>
              </w:tc>
              <w:tc>
                <w:tcPr>
                  <w:tcW w:w="431" w:type="pct"/>
                  <w:vAlign w:val="center"/>
                </w:tcPr>
                <w:p w14:paraId="1295C38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29.5</w:t>
                  </w:r>
                </w:p>
              </w:tc>
              <w:tc>
                <w:tcPr>
                  <w:tcW w:w="433" w:type="pct"/>
                  <w:vAlign w:val="center"/>
                </w:tcPr>
                <w:p w14:paraId="48D62E1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27</w:t>
                  </w:r>
                </w:p>
              </w:tc>
              <w:tc>
                <w:tcPr>
                  <w:tcW w:w="433" w:type="pct"/>
                  <w:vAlign w:val="center"/>
                </w:tcPr>
                <w:p w14:paraId="3EF6BC6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25</w:t>
                  </w:r>
                </w:p>
              </w:tc>
              <w:tc>
                <w:tcPr>
                  <w:tcW w:w="453" w:type="pct"/>
                  <w:vAlign w:val="center"/>
                </w:tcPr>
                <w:p w14:paraId="70DEF16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23.5</w:t>
                  </w:r>
                </w:p>
              </w:tc>
            </w:tr>
            <w:tr w14:paraId="71672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vMerge w:val="continue"/>
                  <w:vAlign w:val="center"/>
                </w:tcPr>
                <w:p w14:paraId="3A1651D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p>
              </w:tc>
              <w:tc>
                <w:tcPr>
                  <w:tcW w:w="379" w:type="pct"/>
                  <w:shd w:val="clear" w:color="auto" w:fill="auto"/>
                  <w:vAlign w:val="center"/>
                </w:tcPr>
                <w:p w14:paraId="28A5C28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除砂器</w:t>
                  </w:r>
                </w:p>
              </w:tc>
              <w:tc>
                <w:tcPr>
                  <w:tcW w:w="474" w:type="pct"/>
                  <w:vAlign w:val="center"/>
                </w:tcPr>
                <w:p w14:paraId="7DBB388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65</w:t>
                  </w:r>
                </w:p>
              </w:tc>
              <w:tc>
                <w:tcPr>
                  <w:tcW w:w="331" w:type="pct"/>
                  <w:vAlign w:val="center"/>
                </w:tcPr>
                <w:p w14:paraId="0D5B99E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c>
                <w:tcPr>
                  <w:tcW w:w="474" w:type="pct"/>
                  <w:vAlign w:val="center"/>
                </w:tcPr>
                <w:p w14:paraId="229AE19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65</w:t>
                  </w:r>
                </w:p>
              </w:tc>
              <w:tc>
                <w:tcPr>
                  <w:tcW w:w="394" w:type="pct"/>
                  <w:vAlign w:val="center"/>
                </w:tcPr>
                <w:p w14:paraId="1B96A77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45</w:t>
                  </w:r>
                </w:p>
              </w:tc>
              <w:tc>
                <w:tcPr>
                  <w:tcW w:w="394" w:type="pct"/>
                  <w:vAlign w:val="center"/>
                </w:tcPr>
                <w:p w14:paraId="5F99A3D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31</w:t>
                  </w:r>
                </w:p>
              </w:tc>
              <w:tc>
                <w:tcPr>
                  <w:tcW w:w="431" w:type="pct"/>
                  <w:vAlign w:val="center"/>
                </w:tcPr>
                <w:p w14:paraId="6645079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25</w:t>
                  </w:r>
                </w:p>
              </w:tc>
              <w:tc>
                <w:tcPr>
                  <w:tcW w:w="431" w:type="pct"/>
                  <w:vAlign w:val="center"/>
                </w:tcPr>
                <w:p w14:paraId="1295FA9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21.5</w:t>
                  </w:r>
                </w:p>
              </w:tc>
              <w:tc>
                <w:tcPr>
                  <w:tcW w:w="433" w:type="pct"/>
                  <w:vAlign w:val="center"/>
                </w:tcPr>
                <w:p w14:paraId="162DE87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19</w:t>
                  </w:r>
                </w:p>
              </w:tc>
              <w:tc>
                <w:tcPr>
                  <w:tcW w:w="433" w:type="pct"/>
                  <w:vAlign w:val="center"/>
                </w:tcPr>
                <w:p w14:paraId="578A24C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17</w:t>
                  </w:r>
                </w:p>
              </w:tc>
              <w:tc>
                <w:tcPr>
                  <w:tcW w:w="453" w:type="pct"/>
                  <w:vAlign w:val="center"/>
                </w:tcPr>
                <w:p w14:paraId="461C6AA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15.5</w:t>
                  </w:r>
                </w:p>
              </w:tc>
            </w:tr>
            <w:tr w14:paraId="463B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vMerge w:val="continue"/>
                  <w:vAlign w:val="center"/>
                </w:tcPr>
                <w:p w14:paraId="2522D6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p>
              </w:tc>
              <w:tc>
                <w:tcPr>
                  <w:tcW w:w="379" w:type="pct"/>
                  <w:shd w:val="clear" w:color="auto" w:fill="auto"/>
                  <w:vAlign w:val="center"/>
                </w:tcPr>
                <w:p w14:paraId="51A211C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除泥器</w:t>
                  </w:r>
                </w:p>
              </w:tc>
              <w:tc>
                <w:tcPr>
                  <w:tcW w:w="474" w:type="pct"/>
                  <w:vAlign w:val="center"/>
                </w:tcPr>
                <w:p w14:paraId="39FFB37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65</w:t>
                  </w:r>
                </w:p>
              </w:tc>
              <w:tc>
                <w:tcPr>
                  <w:tcW w:w="331" w:type="pct"/>
                  <w:vAlign w:val="center"/>
                </w:tcPr>
                <w:p w14:paraId="1963765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c>
                <w:tcPr>
                  <w:tcW w:w="474" w:type="pct"/>
                  <w:vAlign w:val="center"/>
                </w:tcPr>
                <w:p w14:paraId="4AE0EF0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65</w:t>
                  </w:r>
                </w:p>
              </w:tc>
              <w:tc>
                <w:tcPr>
                  <w:tcW w:w="394" w:type="pct"/>
                  <w:vAlign w:val="center"/>
                </w:tcPr>
                <w:p w14:paraId="17A4C1C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45</w:t>
                  </w:r>
                </w:p>
              </w:tc>
              <w:tc>
                <w:tcPr>
                  <w:tcW w:w="394" w:type="pct"/>
                  <w:vAlign w:val="center"/>
                </w:tcPr>
                <w:p w14:paraId="74A3EA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31</w:t>
                  </w:r>
                </w:p>
              </w:tc>
              <w:tc>
                <w:tcPr>
                  <w:tcW w:w="431" w:type="pct"/>
                  <w:vAlign w:val="center"/>
                </w:tcPr>
                <w:p w14:paraId="147DF29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25</w:t>
                  </w:r>
                </w:p>
              </w:tc>
              <w:tc>
                <w:tcPr>
                  <w:tcW w:w="431" w:type="pct"/>
                  <w:vAlign w:val="center"/>
                </w:tcPr>
                <w:p w14:paraId="558BE79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21.5</w:t>
                  </w:r>
                </w:p>
              </w:tc>
              <w:tc>
                <w:tcPr>
                  <w:tcW w:w="433" w:type="pct"/>
                  <w:vAlign w:val="center"/>
                </w:tcPr>
                <w:p w14:paraId="45D116E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19</w:t>
                  </w:r>
                </w:p>
              </w:tc>
              <w:tc>
                <w:tcPr>
                  <w:tcW w:w="433" w:type="pct"/>
                  <w:vAlign w:val="center"/>
                </w:tcPr>
                <w:p w14:paraId="6EC7B68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17</w:t>
                  </w:r>
                </w:p>
              </w:tc>
              <w:tc>
                <w:tcPr>
                  <w:tcW w:w="453" w:type="pct"/>
                  <w:vAlign w:val="center"/>
                </w:tcPr>
                <w:p w14:paraId="1007C6B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15.5</w:t>
                  </w:r>
                </w:p>
              </w:tc>
            </w:tr>
            <w:tr w14:paraId="1A3B6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vMerge w:val="continue"/>
                  <w:vAlign w:val="center"/>
                </w:tcPr>
                <w:p w14:paraId="10E0A66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p>
              </w:tc>
              <w:tc>
                <w:tcPr>
                  <w:tcW w:w="379" w:type="pct"/>
                  <w:shd w:val="clear" w:color="auto" w:fill="auto"/>
                  <w:vAlign w:val="center"/>
                </w:tcPr>
                <w:p w14:paraId="1743C55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离心机</w:t>
                  </w:r>
                </w:p>
              </w:tc>
              <w:tc>
                <w:tcPr>
                  <w:tcW w:w="474" w:type="pct"/>
                  <w:vAlign w:val="center"/>
                </w:tcPr>
                <w:p w14:paraId="2A66A3E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70</w:t>
                  </w:r>
                </w:p>
              </w:tc>
              <w:tc>
                <w:tcPr>
                  <w:tcW w:w="331" w:type="pct"/>
                  <w:vAlign w:val="center"/>
                </w:tcPr>
                <w:p w14:paraId="33D497C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c>
                <w:tcPr>
                  <w:tcW w:w="474" w:type="pct"/>
                  <w:vAlign w:val="center"/>
                </w:tcPr>
                <w:p w14:paraId="627F70E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73</w:t>
                  </w:r>
                </w:p>
              </w:tc>
              <w:tc>
                <w:tcPr>
                  <w:tcW w:w="394" w:type="pct"/>
                  <w:vAlign w:val="center"/>
                </w:tcPr>
                <w:p w14:paraId="08467BF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53</w:t>
                  </w:r>
                </w:p>
              </w:tc>
              <w:tc>
                <w:tcPr>
                  <w:tcW w:w="394" w:type="pct"/>
                  <w:vAlign w:val="center"/>
                </w:tcPr>
                <w:p w14:paraId="52690DB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39</w:t>
                  </w:r>
                </w:p>
              </w:tc>
              <w:tc>
                <w:tcPr>
                  <w:tcW w:w="431" w:type="pct"/>
                  <w:vAlign w:val="center"/>
                </w:tcPr>
                <w:p w14:paraId="12B1D5D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33</w:t>
                  </w:r>
                </w:p>
              </w:tc>
              <w:tc>
                <w:tcPr>
                  <w:tcW w:w="431" w:type="pct"/>
                  <w:vAlign w:val="center"/>
                </w:tcPr>
                <w:p w14:paraId="4D18187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29.5</w:t>
                  </w:r>
                </w:p>
              </w:tc>
              <w:tc>
                <w:tcPr>
                  <w:tcW w:w="433" w:type="pct"/>
                  <w:vAlign w:val="center"/>
                </w:tcPr>
                <w:p w14:paraId="7CB7075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27</w:t>
                  </w:r>
                </w:p>
              </w:tc>
              <w:tc>
                <w:tcPr>
                  <w:tcW w:w="433" w:type="pct"/>
                  <w:vAlign w:val="center"/>
                </w:tcPr>
                <w:p w14:paraId="57783F6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25</w:t>
                  </w:r>
                </w:p>
              </w:tc>
              <w:tc>
                <w:tcPr>
                  <w:tcW w:w="453" w:type="pct"/>
                  <w:vAlign w:val="center"/>
                </w:tcPr>
                <w:p w14:paraId="4DECB30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23.5</w:t>
                  </w:r>
                </w:p>
              </w:tc>
            </w:tr>
            <w:tr w14:paraId="08759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vMerge w:val="continue"/>
                  <w:vAlign w:val="center"/>
                </w:tcPr>
                <w:p w14:paraId="4DDF118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p>
              </w:tc>
              <w:tc>
                <w:tcPr>
                  <w:tcW w:w="379" w:type="pct"/>
                  <w:shd w:val="clear" w:color="auto" w:fill="auto"/>
                  <w:vAlign w:val="center"/>
                </w:tcPr>
                <w:p w14:paraId="6D95519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振动筛</w:t>
                  </w:r>
                </w:p>
              </w:tc>
              <w:tc>
                <w:tcPr>
                  <w:tcW w:w="474" w:type="pct"/>
                  <w:vAlign w:val="center"/>
                </w:tcPr>
                <w:p w14:paraId="4F9B879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65</w:t>
                  </w:r>
                </w:p>
              </w:tc>
              <w:tc>
                <w:tcPr>
                  <w:tcW w:w="331" w:type="pct"/>
                  <w:vAlign w:val="center"/>
                </w:tcPr>
                <w:p w14:paraId="05E92FC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p>
              </w:tc>
              <w:tc>
                <w:tcPr>
                  <w:tcW w:w="474" w:type="pct"/>
                  <w:vAlign w:val="center"/>
                </w:tcPr>
                <w:p w14:paraId="6B601AC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69.7</w:t>
                  </w:r>
                </w:p>
              </w:tc>
              <w:tc>
                <w:tcPr>
                  <w:tcW w:w="394" w:type="pct"/>
                  <w:vAlign w:val="center"/>
                </w:tcPr>
                <w:p w14:paraId="5EA0016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49.7</w:t>
                  </w:r>
                </w:p>
              </w:tc>
              <w:tc>
                <w:tcPr>
                  <w:tcW w:w="394" w:type="pct"/>
                  <w:vAlign w:val="center"/>
                </w:tcPr>
                <w:p w14:paraId="50F4A8B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35.7</w:t>
                  </w:r>
                </w:p>
              </w:tc>
              <w:tc>
                <w:tcPr>
                  <w:tcW w:w="431" w:type="pct"/>
                  <w:vAlign w:val="center"/>
                </w:tcPr>
                <w:p w14:paraId="4D6A09E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29.7</w:t>
                  </w:r>
                </w:p>
              </w:tc>
              <w:tc>
                <w:tcPr>
                  <w:tcW w:w="431" w:type="pct"/>
                  <w:vAlign w:val="center"/>
                </w:tcPr>
                <w:p w14:paraId="20834AD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26.2</w:t>
                  </w:r>
                </w:p>
              </w:tc>
              <w:tc>
                <w:tcPr>
                  <w:tcW w:w="433" w:type="pct"/>
                  <w:vAlign w:val="center"/>
                </w:tcPr>
                <w:p w14:paraId="1AED213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23.7</w:t>
                  </w:r>
                </w:p>
              </w:tc>
              <w:tc>
                <w:tcPr>
                  <w:tcW w:w="433" w:type="pct"/>
                  <w:vAlign w:val="center"/>
                </w:tcPr>
                <w:p w14:paraId="3D7AF68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21.7</w:t>
                  </w:r>
                </w:p>
              </w:tc>
              <w:tc>
                <w:tcPr>
                  <w:tcW w:w="453" w:type="pct"/>
                  <w:vAlign w:val="center"/>
                </w:tcPr>
                <w:p w14:paraId="3B90ACE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20.2</w:t>
                  </w:r>
                </w:p>
              </w:tc>
            </w:tr>
            <w:tr w14:paraId="09FF3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vMerge w:val="continue"/>
                  <w:vAlign w:val="center"/>
                </w:tcPr>
                <w:p w14:paraId="135CBE4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p>
              </w:tc>
              <w:tc>
                <w:tcPr>
                  <w:tcW w:w="379" w:type="pct"/>
                  <w:shd w:val="clear" w:color="auto" w:fill="auto"/>
                  <w:vAlign w:val="center"/>
                </w:tcPr>
                <w:p w14:paraId="1A3E1CC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加重泵</w:t>
                  </w:r>
                </w:p>
              </w:tc>
              <w:tc>
                <w:tcPr>
                  <w:tcW w:w="474" w:type="pct"/>
                  <w:vAlign w:val="center"/>
                </w:tcPr>
                <w:p w14:paraId="1A106AA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70</w:t>
                  </w:r>
                </w:p>
              </w:tc>
              <w:tc>
                <w:tcPr>
                  <w:tcW w:w="331" w:type="pct"/>
                  <w:vAlign w:val="center"/>
                </w:tcPr>
                <w:p w14:paraId="2D17098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c>
                <w:tcPr>
                  <w:tcW w:w="474" w:type="pct"/>
                  <w:vAlign w:val="center"/>
                </w:tcPr>
                <w:p w14:paraId="1B15A3F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73</w:t>
                  </w:r>
                </w:p>
              </w:tc>
              <w:tc>
                <w:tcPr>
                  <w:tcW w:w="394" w:type="pct"/>
                  <w:vAlign w:val="center"/>
                </w:tcPr>
                <w:p w14:paraId="1D71FD5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53</w:t>
                  </w:r>
                </w:p>
              </w:tc>
              <w:tc>
                <w:tcPr>
                  <w:tcW w:w="394" w:type="pct"/>
                  <w:vAlign w:val="center"/>
                </w:tcPr>
                <w:p w14:paraId="3A5097E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39</w:t>
                  </w:r>
                </w:p>
              </w:tc>
              <w:tc>
                <w:tcPr>
                  <w:tcW w:w="431" w:type="pct"/>
                  <w:vAlign w:val="center"/>
                </w:tcPr>
                <w:p w14:paraId="1C364EC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33</w:t>
                  </w:r>
                </w:p>
              </w:tc>
              <w:tc>
                <w:tcPr>
                  <w:tcW w:w="431" w:type="pct"/>
                  <w:vAlign w:val="center"/>
                </w:tcPr>
                <w:p w14:paraId="3AF298A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29.5</w:t>
                  </w:r>
                </w:p>
              </w:tc>
              <w:tc>
                <w:tcPr>
                  <w:tcW w:w="433" w:type="pct"/>
                  <w:vAlign w:val="center"/>
                </w:tcPr>
                <w:p w14:paraId="5E51AEE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27</w:t>
                  </w:r>
                </w:p>
              </w:tc>
              <w:tc>
                <w:tcPr>
                  <w:tcW w:w="433" w:type="pct"/>
                  <w:vAlign w:val="center"/>
                </w:tcPr>
                <w:p w14:paraId="3CF4A50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25</w:t>
                  </w:r>
                </w:p>
              </w:tc>
              <w:tc>
                <w:tcPr>
                  <w:tcW w:w="453" w:type="pct"/>
                  <w:vAlign w:val="center"/>
                </w:tcPr>
                <w:p w14:paraId="720DE8B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23.5</w:t>
                  </w:r>
                </w:p>
              </w:tc>
            </w:tr>
            <w:tr w14:paraId="536C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vMerge w:val="continue"/>
                  <w:vAlign w:val="center"/>
                </w:tcPr>
                <w:p w14:paraId="2105F33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p>
              </w:tc>
              <w:tc>
                <w:tcPr>
                  <w:tcW w:w="379" w:type="pct"/>
                  <w:shd w:val="clear" w:color="auto" w:fill="auto"/>
                  <w:vAlign w:val="center"/>
                </w:tcPr>
                <w:p w14:paraId="74B26A1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自动压风机</w:t>
                  </w:r>
                </w:p>
              </w:tc>
              <w:tc>
                <w:tcPr>
                  <w:tcW w:w="474" w:type="pct"/>
                  <w:vAlign w:val="center"/>
                </w:tcPr>
                <w:p w14:paraId="5DFCE1D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70</w:t>
                  </w:r>
                </w:p>
              </w:tc>
              <w:tc>
                <w:tcPr>
                  <w:tcW w:w="331" w:type="pct"/>
                  <w:vAlign w:val="center"/>
                </w:tcPr>
                <w:p w14:paraId="5027314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c>
                <w:tcPr>
                  <w:tcW w:w="474" w:type="pct"/>
                  <w:vAlign w:val="center"/>
                </w:tcPr>
                <w:p w14:paraId="5DDCE56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70</w:t>
                  </w:r>
                </w:p>
              </w:tc>
              <w:tc>
                <w:tcPr>
                  <w:tcW w:w="394" w:type="pct"/>
                  <w:vAlign w:val="center"/>
                </w:tcPr>
                <w:p w14:paraId="2923239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50</w:t>
                  </w:r>
                </w:p>
              </w:tc>
              <w:tc>
                <w:tcPr>
                  <w:tcW w:w="394" w:type="pct"/>
                  <w:vAlign w:val="center"/>
                </w:tcPr>
                <w:p w14:paraId="42DEB89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36</w:t>
                  </w:r>
                </w:p>
              </w:tc>
              <w:tc>
                <w:tcPr>
                  <w:tcW w:w="431" w:type="pct"/>
                  <w:vAlign w:val="center"/>
                </w:tcPr>
                <w:p w14:paraId="399A416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30</w:t>
                  </w:r>
                </w:p>
              </w:tc>
              <w:tc>
                <w:tcPr>
                  <w:tcW w:w="431" w:type="pct"/>
                  <w:vAlign w:val="center"/>
                </w:tcPr>
                <w:p w14:paraId="57B79F6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27</w:t>
                  </w:r>
                </w:p>
              </w:tc>
              <w:tc>
                <w:tcPr>
                  <w:tcW w:w="433" w:type="pct"/>
                  <w:vAlign w:val="center"/>
                </w:tcPr>
                <w:p w14:paraId="42D8B84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24</w:t>
                  </w:r>
                </w:p>
              </w:tc>
              <w:tc>
                <w:tcPr>
                  <w:tcW w:w="433" w:type="pct"/>
                  <w:vAlign w:val="center"/>
                </w:tcPr>
                <w:p w14:paraId="4B808C0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22</w:t>
                  </w:r>
                </w:p>
              </w:tc>
              <w:tc>
                <w:tcPr>
                  <w:tcW w:w="453" w:type="pct"/>
                  <w:vAlign w:val="center"/>
                </w:tcPr>
                <w:p w14:paraId="125DE0A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20</w:t>
                  </w:r>
                </w:p>
              </w:tc>
            </w:tr>
            <w:tr w14:paraId="7B33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vMerge w:val="continue"/>
                  <w:vAlign w:val="center"/>
                </w:tcPr>
                <w:p w14:paraId="5F86978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p>
              </w:tc>
              <w:tc>
                <w:tcPr>
                  <w:tcW w:w="379" w:type="pct"/>
                  <w:shd w:val="clear" w:color="auto" w:fill="auto"/>
                  <w:vAlign w:val="center"/>
                </w:tcPr>
                <w:p w14:paraId="454F58C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电动压风机</w:t>
                  </w:r>
                </w:p>
              </w:tc>
              <w:tc>
                <w:tcPr>
                  <w:tcW w:w="474" w:type="pct"/>
                  <w:vAlign w:val="center"/>
                </w:tcPr>
                <w:p w14:paraId="193BF01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70</w:t>
                  </w:r>
                </w:p>
              </w:tc>
              <w:tc>
                <w:tcPr>
                  <w:tcW w:w="331" w:type="pct"/>
                  <w:vAlign w:val="center"/>
                </w:tcPr>
                <w:p w14:paraId="40B2899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c>
                <w:tcPr>
                  <w:tcW w:w="474" w:type="pct"/>
                  <w:vAlign w:val="center"/>
                </w:tcPr>
                <w:p w14:paraId="57578D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70</w:t>
                  </w:r>
                </w:p>
              </w:tc>
              <w:tc>
                <w:tcPr>
                  <w:tcW w:w="394" w:type="pct"/>
                  <w:vAlign w:val="center"/>
                </w:tcPr>
                <w:p w14:paraId="08E42F3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50</w:t>
                  </w:r>
                </w:p>
              </w:tc>
              <w:tc>
                <w:tcPr>
                  <w:tcW w:w="394" w:type="pct"/>
                  <w:vAlign w:val="center"/>
                </w:tcPr>
                <w:p w14:paraId="07F0B81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36</w:t>
                  </w:r>
                </w:p>
              </w:tc>
              <w:tc>
                <w:tcPr>
                  <w:tcW w:w="431" w:type="pct"/>
                  <w:vAlign w:val="center"/>
                </w:tcPr>
                <w:p w14:paraId="49EC5C0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30</w:t>
                  </w:r>
                </w:p>
              </w:tc>
              <w:tc>
                <w:tcPr>
                  <w:tcW w:w="431" w:type="pct"/>
                  <w:vAlign w:val="center"/>
                </w:tcPr>
                <w:p w14:paraId="055C00B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27</w:t>
                  </w:r>
                </w:p>
              </w:tc>
              <w:tc>
                <w:tcPr>
                  <w:tcW w:w="433" w:type="pct"/>
                  <w:vAlign w:val="center"/>
                </w:tcPr>
                <w:p w14:paraId="2B0C0D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24</w:t>
                  </w:r>
                </w:p>
              </w:tc>
              <w:tc>
                <w:tcPr>
                  <w:tcW w:w="433" w:type="pct"/>
                  <w:vAlign w:val="center"/>
                </w:tcPr>
                <w:p w14:paraId="680CBD6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22</w:t>
                  </w:r>
                </w:p>
              </w:tc>
              <w:tc>
                <w:tcPr>
                  <w:tcW w:w="453" w:type="pct"/>
                  <w:vAlign w:val="center"/>
                </w:tcPr>
                <w:p w14:paraId="43AA7E6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20</w:t>
                  </w:r>
                </w:p>
              </w:tc>
            </w:tr>
            <w:tr w14:paraId="3C597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vMerge w:val="continue"/>
                  <w:vAlign w:val="center"/>
                </w:tcPr>
                <w:p w14:paraId="3CFB7BA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p>
              </w:tc>
              <w:tc>
                <w:tcPr>
                  <w:tcW w:w="379" w:type="pct"/>
                  <w:shd w:val="clear" w:color="auto" w:fill="auto"/>
                  <w:vAlign w:val="center"/>
                </w:tcPr>
                <w:p w14:paraId="5CD1484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钻井泵</w:t>
                  </w:r>
                </w:p>
              </w:tc>
              <w:tc>
                <w:tcPr>
                  <w:tcW w:w="474" w:type="pct"/>
                  <w:vAlign w:val="center"/>
                </w:tcPr>
                <w:p w14:paraId="569A238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70</w:t>
                  </w:r>
                </w:p>
              </w:tc>
              <w:tc>
                <w:tcPr>
                  <w:tcW w:w="331" w:type="pct"/>
                  <w:vAlign w:val="center"/>
                </w:tcPr>
                <w:p w14:paraId="33B5394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c>
                <w:tcPr>
                  <w:tcW w:w="474" w:type="pct"/>
                  <w:vAlign w:val="center"/>
                </w:tcPr>
                <w:p w14:paraId="00A61A7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73</w:t>
                  </w:r>
                </w:p>
              </w:tc>
              <w:tc>
                <w:tcPr>
                  <w:tcW w:w="394" w:type="pct"/>
                  <w:vAlign w:val="center"/>
                </w:tcPr>
                <w:p w14:paraId="0D734F1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53</w:t>
                  </w:r>
                </w:p>
              </w:tc>
              <w:tc>
                <w:tcPr>
                  <w:tcW w:w="394" w:type="pct"/>
                  <w:vAlign w:val="center"/>
                </w:tcPr>
                <w:p w14:paraId="5F278AC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39</w:t>
                  </w:r>
                </w:p>
              </w:tc>
              <w:tc>
                <w:tcPr>
                  <w:tcW w:w="431" w:type="pct"/>
                  <w:vAlign w:val="center"/>
                </w:tcPr>
                <w:p w14:paraId="0748B51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33</w:t>
                  </w:r>
                </w:p>
              </w:tc>
              <w:tc>
                <w:tcPr>
                  <w:tcW w:w="431" w:type="pct"/>
                  <w:vAlign w:val="center"/>
                </w:tcPr>
                <w:p w14:paraId="74A7214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29.5</w:t>
                  </w:r>
                </w:p>
              </w:tc>
              <w:tc>
                <w:tcPr>
                  <w:tcW w:w="433" w:type="pct"/>
                  <w:vAlign w:val="center"/>
                </w:tcPr>
                <w:p w14:paraId="79B6C49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27</w:t>
                  </w:r>
                </w:p>
              </w:tc>
              <w:tc>
                <w:tcPr>
                  <w:tcW w:w="433" w:type="pct"/>
                  <w:vAlign w:val="center"/>
                </w:tcPr>
                <w:p w14:paraId="24C84DD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25</w:t>
                  </w:r>
                </w:p>
              </w:tc>
              <w:tc>
                <w:tcPr>
                  <w:tcW w:w="453" w:type="pct"/>
                  <w:vAlign w:val="center"/>
                </w:tcPr>
                <w:p w14:paraId="6130EE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23.5</w:t>
                  </w:r>
                </w:p>
              </w:tc>
            </w:tr>
            <w:tr w14:paraId="75B7E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vMerge w:val="continue"/>
                  <w:vAlign w:val="center"/>
                </w:tcPr>
                <w:p w14:paraId="295747A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p>
              </w:tc>
              <w:tc>
                <w:tcPr>
                  <w:tcW w:w="379" w:type="pct"/>
                  <w:shd w:val="clear" w:color="auto" w:fill="auto"/>
                  <w:vAlign w:val="center"/>
                </w:tcPr>
                <w:p w14:paraId="77B269A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压滤机</w:t>
                  </w:r>
                </w:p>
              </w:tc>
              <w:tc>
                <w:tcPr>
                  <w:tcW w:w="474" w:type="pct"/>
                  <w:shd w:val="clear" w:color="auto" w:fill="auto"/>
                  <w:vAlign w:val="center"/>
                </w:tcPr>
                <w:p w14:paraId="53B36F3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75</w:t>
                  </w:r>
                </w:p>
              </w:tc>
              <w:tc>
                <w:tcPr>
                  <w:tcW w:w="331" w:type="pct"/>
                  <w:shd w:val="clear" w:color="auto" w:fill="auto"/>
                  <w:vAlign w:val="center"/>
                </w:tcPr>
                <w:p w14:paraId="319F71C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c>
                <w:tcPr>
                  <w:tcW w:w="474" w:type="pct"/>
                  <w:shd w:val="clear" w:color="auto" w:fill="auto"/>
                  <w:vAlign w:val="center"/>
                </w:tcPr>
                <w:p w14:paraId="63195F7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75</w:t>
                  </w:r>
                </w:p>
              </w:tc>
              <w:tc>
                <w:tcPr>
                  <w:tcW w:w="394" w:type="pct"/>
                  <w:shd w:val="clear" w:color="auto" w:fill="auto"/>
                  <w:vAlign w:val="center"/>
                </w:tcPr>
                <w:p w14:paraId="5CB36D8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55</w:t>
                  </w:r>
                </w:p>
              </w:tc>
              <w:tc>
                <w:tcPr>
                  <w:tcW w:w="394" w:type="pct"/>
                  <w:shd w:val="clear" w:color="auto" w:fill="auto"/>
                  <w:vAlign w:val="center"/>
                </w:tcPr>
                <w:p w14:paraId="5FC74E2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41</w:t>
                  </w:r>
                </w:p>
              </w:tc>
              <w:tc>
                <w:tcPr>
                  <w:tcW w:w="431" w:type="pct"/>
                  <w:shd w:val="clear" w:color="auto" w:fill="auto"/>
                  <w:vAlign w:val="center"/>
                </w:tcPr>
                <w:p w14:paraId="470FBAA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35</w:t>
                  </w:r>
                </w:p>
              </w:tc>
              <w:tc>
                <w:tcPr>
                  <w:tcW w:w="431" w:type="pct"/>
                  <w:shd w:val="clear" w:color="auto" w:fill="auto"/>
                  <w:vAlign w:val="center"/>
                </w:tcPr>
                <w:p w14:paraId="6E79D4E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31</w:t>
                  </w:r>
                </w:p>
              </w:tc>
              <w:tc>
                <w:tcPr>
                  <w:tcW w:w="433" w:type="pct"/>
                  <w:shd w:val="clear" w:color="auto" w:fill="auto"/>
                  <w:vAlign w:val="center"/>
                </w:tcPr>
                <w:p w14:paraId="21A558C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29</w:t>
                  </w:r>
                </w:p>
              </w:tc>
              <w:tc>
                <w:tcPr>
                  <w:tcW w:w="433" w:type="pct"/>
                  <w:shd w:val="clear" w:color="auto" w:fill="auto"/>
                  <w:vAlign w:val="center"/>
                </w:tcPr>
                <w:p w14:paraId="79E36B9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27</w:t>
                  </w:r>
                </w:p>
              </w:tc>
              <w:tc>
                <w:tcPr>
                  <w:tcW w:w="453" w:type="pct"/>
                  <w:shd w:val="clear" w:color="auto" w:fill="auto"/>
                  <w:vAlign w:val="center"/>
                </w:tcPr>
                <w:p w14:paraId="15B541A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25</w:t>
                  </w:r>
                </w:p>
              </w:tc>
            </w:tr>
            <w:tr w14:paraId="6E391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vAlign w:val="center"/>
                </w:tcPr>
                <w:p w14:paraId="4896B28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压裂作业</w:t>
                  </w:r>
                </w:p>
              </w:tc>
              <w:tc>
                <w:tcPr>
                  <w:tcW w:w="379" w:type="pct"/>
                  <w:shd w:val="clear" w:color="auto" w:fill="auto"/>
                  <w:vAlign w:val="center"/>
                </w:tcPr>
                <w:p w14:paraId="33239F9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压裂设备</w:t>
                  </w:r>
                </w:p>
              </w:tc>
              <w:tc>
                <w:tcPr>
                  <w:tcW w:w="474" w:type="pct"/>
                  <w:vAlign w:val="center"/>
                </w:tcPr>
                <w:p w14:paraId="435C2E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90</w:t>
                  </w:r>
                </w:p>
              </w:tc>
              <w:tc>
                <w:tcPr>
                  <w:tcW w:w="331" w:type="pct"/>
                  <w:vAlign w:val="center"/>
                </w:tcPr>
                <w:p w14:paraId="47F2C84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w:t>
                  </w:r>
                </w:p>
              </w:tc>
              <w:tc>
                <w:tcPr>
                  <w:tcW w:w="474" w:type="pct"/>
                  <w:vAlign w:val="center"/>
                </w:tcPr>
                <w:p w14:paraId="1349D6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t>96</w:t>
                  </w:r>
                </w:p>
              </w:tc>
              <w:tc>
                <w:tcPr>
                  <w:tcW w:w="394" w:type="pct"/>
                  <w:vAlign w:val="center"/>
                </w:tcPr>
                <w:p w14:paraId="4620385E">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76</w:t>
                  </w:r>
                </w:p>
              </w:tc>
              <w:tc>
                <w:tcPr>
                  <w:tcW w:w="394" w:type="pct"/>
                  <w:vAlign w:val="center"/>
                </w:tcPr>
                <w:p w14:paraId="5CC7820F">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62</w:t>
                  </w:r>
                </w:p>
              </w:tc>
              <w:tc>
                <w:tcPr>
                  <w:tcW w:w="431" w:type="pct"/>
                  <w:vAlign w:val="center"/>
                </w:tcPr>
                <w:p w14:paraId="14220C8A">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56</w:t>
                  </w:r>
                </w:p>
              </w:tc>
              <w:tc>
                <w:tcPr>
                  <w:tcW w:w="431" w:type="pct"/>
                  <w:vAlign w:val="center"/>
                </w:tcPr>
                <w:p w14:paraId="3FAAE064">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52</w:t>
                  </w:r>
                </w:p>
              </w:tc>
              <w:tc>
                <w:tcPr>
                  <w:tcW w:w="433" w:type="pct"/>
                  <w:vAlign w:val="center"/>
                </w:tcPr>
                <w:p w14:paraId="0293267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p>
              </w:tc>
              <w:tc>
                <w:tcPr>
                  <w:tcW w:w="433" w:type="pct"/>
                  <w:vAlign w:val="center"/>
                </w:tcPr>
                <w:p w14:paraId="17100B7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58</w:t>
                  </w:r>
                </w:p>
              </w:tc>
              <w:tc>
                <w:tcPr>
                  <w:tcW w:w="453" w:type="pct"/>
                  <w:vAlign w:val="center"/>
                </w:tcPr>
                <w:p w14:paraId="414EE95A">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46</w:t>
                  </w:r>
                </w:p>
              </w:tc>
            </w:tr>
          </w:tbl>
          <w:p w14:paraId="40D9D4A2">
            <w:pPr>
              <w:keepNext/>
              <w:keepLines/>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3、施工期声环境影响分析</w:t>
            </w:r>
          </w:p>
          <w:p w14:paraId="0FA64D7A">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（1）土石方阶段声环境影响分析</w:t>
            </w:r>
          </w:p>
          <w:p w14:paraId="663833B9">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土石方阶段主要使用推土机、装载机、翻斗车等设备，由于施工量较小，施工期很短，设备噪声值相对较小，类比同类型项目，昼间在距离设备50米处，夜间在距离施工设备250米处可满足《建筑施工场界环境噪声排放标准》（GB12523-2011）中相关规定。</w:t>
            </w:r>
          </w:p>
          <w:p w14:paraId="32E129F3">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根据现场勘查，项目距离最近居民位于井场东侧379米处，土石方工程施工期段，设备间歇运行，本项目夜间严禁土石方作业。因此，土石方工程施工对居民造成影响较小。</w:t>
            </w:r>
          </w:p>
          <w:p w14:paraId="2387DA2F">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（2）钻井作业声环境影响分析</w:t>
            </w:r>
          </w:p>
          <w:p w14:paraId="19F05A72">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昼间</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在距离施工设备噪声</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m</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，夜间</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距离施工设备噪声150m处昼夜间噪声贡献值可以满足《建筑施工场界环境噪声排放标准》（GB12523-2011）中相关规定</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p>
          <w:p w14:paraId="458FB5A1">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根据预测结果，距离钻井设备300米处夜间噪声方可满足《声环境质量标准》（GB3096-2008）1类区标准限值要求。根据现场踏勘，距离本项目井场最近的敏感目标位于米172-07井场东侧379m处，距离井场较远，能够确保环境保护目标处《声环境质量标准》（GB3096-2008）1类区标准限值要求。</w:t>
            </w:r>
          </w:p>
          <w:p w14:paraId="2A953D0C">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（3）压裂作业声环境影响分析</w:t>
            </w:r>
          </w:p>
          <w:p w14:paraId="22A745A6">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本项目各井场均设置4台压裂车，单台压裂车噪声值为90dB（A），</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叠加后噪声源强为96dB（A）</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，经预测，昼间距离压裂车15米，夜间距离压裂车120米可</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满足《建筑施工场界环境噪声排放标准》（GB12523-2011）中相关规定</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昼间距离压裂车120米、夜间距离压裂车310米方可满足</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《声环境质量标准》（GB3096-2008）1类区标准限值要求。根据现场踏勘，本项目各井场周边350m范围内均无敏感目标分布，且禁止在夜间进行压裂作业，因此项目压裂作业噪声对周边环境影响较小。</w:t>
            </w:r>
          </w:p>
          <w:p w14:paraId="2C993831">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试气放喷噪声对环境影响分析</w:t>
            </w:r>
          </w:p>
          <w:p w14:paraId="12253EBE">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测试放喷根据试气计划依次进行，测试放喷时产生的高压气流噪声为100dB(A)，均是昼夜连续作业。评价对井场试气噪声进行预测，预测模型同钻井工程噪声预测模式，预测结果见表4-</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p>
          <w:p w14:paraId="655E8516">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6</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 xml:space="preserve">   放喷噪声影响范围预测结果    单位：dB（A）</w:t>
            </w:r>
          </w:p>
          <w:tbl>
            <w:tblPr>
              <w:tblStyle w:val="2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8"/>
              <w:gridCol w:w="698"/>
              <w:gridCol w:w="967"/>
              <w:gridCol w:w="969"/>
              <w:gridCol w:w="969"/>
              <w:gridCol w:w="969"/>
              <w:gridCol w:w="969"/>
              <w:gridCol w:w="969"/>
              <w:gridCol w:w="981"/>
            </w:tblGrid>
            <w:tr w14:paraId="496D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pct"/>
                  <w:vMerge w:val="restart"/>
                  <w:vAlign w:val="center"/>
                </w:tcPr>
                <w:p w14:paraId="0D09E46B">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噪声源</w:t>
                  </w:r>
                </w:p>
              </w:tc>
              <w:tc>
                <w:tcPr>
                  <w:tcW w:w="4290" w:type="pct"/>
                  <w:gridSpan w:val="8"/>
                  <w:vAlign w:val="center"/>
                </w:tcPr>
                <w:p w14:paraId="2A0B7FD8">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距声源距离</w:t>
                  </w:r>
                </w:p>
              </w:tc>
            </w:tr>
            <w:tr w14:paraId="4649E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pct"/>
                  <w:vMerge w:val="continue"/>
                  <w:vAlign w:val="center"/>
                </w:tcPr>
                <w:p w14:paraId="4F8E4B30">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400" w:type="pct"/>
                  <w:vAlign w:val="center"/>
                </w:tcPr>
                <w:p w14:paraId="1A15031A">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10</w:t>
                  </w:r>
                </w:p>
              </w:tc>
              <w:tc>
                <w:tcPr>
                  <w:tcW w:w="554" w:type="pct"/>
                  <w:vAlign w:val="center"/>
                </w:tcPr>
                <w:p w14:paraId="2C1F1CED">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20</w:t>
                  </w:r>
                </w:p>
              </w:tc>
              <w:tc>
                <w:tcPr>
                  <w:tcW w:w="555" w:type="pct"/>
                  <w:vAlign w:val="center"/>
                </w:tcPr>
                <w:p w14:paraId="5B200570">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40</w:t>
                  </w:r>
                </w:p>
              </w:tc>
              <w:tc>
                <w:tcPr>
                  <w:tcW w:w="555" w:type="pct"/>
                  <w:vAlign w:val="center"/>
                </w:tcPr>
                <w:p w14:paraId="034C5476">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80</w:t>
                  </w:r>
                </w:p>
              </w:tc>
              <w:tc>
                <w:tcPr>
                  <w:tcW w:w="555" w:type="pct"/>
                  <w:vAlign w:val="center"/>
                </w:tcPr>
                <w:p w14:paraId="6C134491">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100</w:t>
                  </w:r>
                </w:p>
              </w:tc>
              <w:tc>
                <w:tcPr>
                  <w:tcW w:w="555" w:type="pct"/>
                  <w:vAlign w:val="center"/>
                </w:tcPr>
                <w:p w14:paraId="3A1C879C">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150</w:t>
                  </w:r>
                </w:p>
              </w:tc>
              <w:tc>
                <w:tcPr>
                  <w:tcW w:w="555" w:type="pct"/>
                  <w:vAlign w:val="center"/>
                </w:tcPr>
                <w:p w14:paraId="0626A815">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200</w:t>
                  </w:r>
                </w:p>
              </w:tc>
              <w:tc>
                <w:tcPr>
                  <w:tcW w:w="557" w:type="pct"/>
                  <w:vAlign w:val="center"/>
                </w:tcPr>
                <w:p w14:paraId="2C0A610B">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400</w:t>
                  </w:r>
                </w:p>
              </w:tc>
            </w:tr>
            <w:tr w14:paraId="30F25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pct"/>
                  <w:vAlign w:val="center"/>
                </w:tcPr>
                <w:p w14:paraId="35E9152E">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放喷测试</w:t>
                  </w:r>
                </w:p>
              </w:tc>
              <w:tc>
                <w:tcPr>
                  <w:tcW w:w="400" w:type="pct"/>
                  <w:vAlign w:val="center"/>
                </w:tcPr>
                <w:p w14:paraId="03BD35D1">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80.0</w:t>
                  </w:r>
                </w:p>
              </w:tc>
              <w:tc>
                <w:tcPr>
                  <w:tcW w:w="554" w:type="pct"/>
                  <w:vAlign w:val="center"/>
                </w:tcPr>
                <w:p w14:paraId="7C449678">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74.0</w:t>
                  </w:r>
                </w:p>
              </w:tc>
              <w:tc>
                <w:tcPr>
                  <w:tcW w:w="555" w:type="pct"/>
                  <w:vAlign w:val="center"/>
                </w:tcPr>
                <w:p w14:paraId="4EBF8C2D">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68.0</w:t>
                  </w:r>
                </w:p>
              </w:tc>
              <w:tc>
                <w:tcPr>
                  <w:tcW w:w="555" w:type="pct"/>
                  <w:vAlign w:val="center"/>
                </w:tcPr>
                <w:p w14:paraId="2A04177C">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61.9</w:t>
                  </w:r>
                </w:p>
              </w:tc>
              <w:tc>
                <w:tcPr>
                  <w:tcW w:w="555" w:type="pct"/>
                  <w:vAlign w:val="center"/>
                </w:tcPr>
                <w:p w14:paraId="6A43A2BE">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60.0</w:t>
                  </w:r>
                </w:p>
              </w:tc>
              <w:tc>
                <w:tcPr>
                  <w:tcW w:w="555" w:type="pct"/>
                  <w:vAlign w:val="center"/>
                </w:tcPr>
                <w:p w14:paraId="22F37D89">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56.5</w:t>
                  </w:r>
                </w:p>
              </w:tc>
              <w:tc>
                <w:tcPr>
                  <w:tcW w:w="555" w:type="pct"/>
                  <w:vAlign w:val="center"/>
                </w:tcPr>
                <w:p w14:paraId="191463EE">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54.0</w:t>
                  </w:r>
                </w:p>
              </w:tc>
              <w:tc>
                <w:tcPr>
                  <w:tcW w:w="557" w:type="pct"/>
                  <w:vAlign w:val="center"/>
                </w:tcPr>
                <w:p w14:paraId="37475164">
                  <w:pPr>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48.0</w:t>
                  </w:r>
                </w:p>
              </w:tc>
            </w:tr>
          </w:tbl>
          <w:p w14:paraId="77DCAF15">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highlight w:val="yellow"/>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根据上表预测结果，在放喷测试时，在距</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放喷池</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33m处能够满足《建筑施工场界环境噪声排放标准》（GB12523-2011）昼间排放标准70dB(A)；</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在距</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放喷池</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185m处能够满足其夜间排放标准55dB(A)。</w:t>
            </w:r>
          </w:p>
          <w:p w14:paraId="1675776E">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放喷池</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周围200m范围内无居民点，</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且钻井施工作业时间短，施工结束后影响随即消失。</w:t>
            </w:r>
          </w:p>
          <w:p w14:paraId="5FEB68BF">
            <w:pPr>
              <w:keepNext/>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综上，气井在钻井过程中，对周围声环境敏感点噪声影响很小。</w:t>
            </w:r>
          </w:p>
          <w:p w14:paraId="1DF4F1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六、固体废物</w:t>
            </w:r>
          </w:p>
          <w:p w14:paraId="71BD36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项目钻井过程中产生的固体废物主要有废弃泥浆、岩屑、废机油及井队员工产生的生活垃圾。</w:t>
            </w:r>
          </w:p>
          <w:p w14:paraId="35494A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1、一般固体废物</w:t>
            </w:r>
          </w:p>
          <w:p w14:paraId="2F6137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泥饼</w:t>
            </w:r>
          </w:p>
          <w:p w14:paraId="7A43D1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废弃钻井泥浆</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（泥饼）</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是指在钻井过程中无法利用的剩余泥浆，其产生量随井深和井径的不同而改变。根据类比企业在该地区已建勘探井的调查情况，钻井废弃泥浆产生量可按照经验公式推算：</w:t>
            </w:r>
          </w:p>
          <w:p w14:paraId="56C2C72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position w:val="-10"/>
                <w:sz w:val="24"/>
                <w:szCs w:val="24"/>
                <w:vertAlign w:val="baseline"/>
                <w:lang w:val="en-US" w:eastAsia="zh-CN"/>
                <w14:textFill>
                  <w14:solidFill>
                    <w14:schemeClr w14:val="tx1"/>
                  </w14:solidFill>
                </w14:textFill>
              </w:rPr>
              <w:object>
                <v:shape id="_x0000_i1027" o:spt="75" type="#_x0000_t75" style="height:18pt;width:197pt;" o:ole="t" filled="f" o:preferrelative="t" stroked="f" coordsize="21600,21600">
                  <v:path/>
                  <v:fill on="f" focussize="0,0"/>
                  <v:stroke on="f"/>
                  <v:imagedata r:id="rId19" o:title=""/>
                  <o:lock v:ext="edit" aspectratio="t"/>
                  <w10:wrap type="none"/>
                  <w10:anchorlock/>
                </v:shape>
                <o:OLEObject Type="Embed" ProgID="Equation.KSEE3" ShapeID="_x0000_i1027" DrawAspect="Content" ObjectID="_1468075727" r:id="rId18">
                  <o:LockedField>false</o:LockedField>
                </o:OLEObject>
              </w:object>
            </w:r>
          </w:p>
          <w:p w14:paraId="0D776B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式中：</w:t>
            </w:r>
          </w:p>
          <w:p w14:paraId="5E5FB2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V——钻井泥浆量，m</w:t>
            </w:r>
            <w:r>
              <w:rPr>
                <w:rFonts w:hint="default"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p>
          <w:p w14:paraId="55E727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D——钻井直井，m，一开0.346m，二开0.273m；</w:t>
            </w:r>
          </w:p>
          <w:p w14:paraId="7D7AAE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h——钻井的深度，m，一开</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600</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m，二开</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600~目的层（2700~3000m）</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p>
          <w:p w14:paraId="06982691">
            <w:pPr>
              <w:pStyle w:val="27"/>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表4-7 钻井泥浆产生情况一览表</w:t>
            </w:r>
          </w:p>
          <w:tbl>
            <w:tblPr>
              <w:tblStyle w:val="2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3396"/>
              <w:gridCol w:w="3887"/>
            </w:tblGrid>
            <w:tr w14:paraId="1B1EF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Align w:val="center"/>
                </w:tcPr>
                <w:p w14:paraId="404D27DD">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序号</w:t>
                  </w:r>
                </w:p>
              </w:tc>
              <w:tc>
                <w:tcPr>
                  <w:tcW w:w="1945" w:type="pct"/>
                  <w:vAlign w:val="center"/>
                </w:tcPr>
                <w:p w14:paraId="54DD278D">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井号</w:t>
                  </w:r>
                </w:p>
              </w:tc>
              <w:tc>
                <w:tcPr>
                  <w:tcW w:w="2226" w:type="pct"/>
                  <w:vAlign w:val="center"/>
                </w:tcPr>
                <w:p w14:paraId="1AEFDB0A">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钻井泥浆产生量（</w:t>
                  </w: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m</w:t>
                  </w:r>
                  <w:r>
                    <w:rPr>
                      <w:rFonts w:hint="default" w:ascii="Times New Roman" w:hAnsi="Times New Roman" w:eastAsia="宋体" w:cs="Times New Roman"/>
                      <w:b/>
                      <w:bCs/>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w:t>
                  </w:r>
                </w:p>
              </w:tc>
            </w:tr>
            <w:tr w14:paraId="5AEC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Align w:val="center"/>
                </w:tcPr>
                <w:p w14:paraId="290D7252">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w:t>
                  </w:r>
                </w:p>
              </w:tc>
              <w:tc>
                <w:tcPr>
                  <w:tcW w:w="1945" w:type="pct"/>
                  <w:shd w:val="clear" w:color="auto" w:fill="auto"/>
                  <w:vAlign w:val="center"/>
                </w:tcPr>
                <w:p w14:paraId="54627791">
                  <w:pPr>
                    <w:spacing w:line="240" w:lineRule="auto"/>
                    <w:ind w:firstLine="0" w:firstLineChars="0"/>
                    <w:jc w:val="center"/>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米172-08</w:t>
                  </w:r>
                </w:p>
              </w:tc>
              <w:tc>
                <w:tcPr>
                  <w:tcW w:w="2226" w:type="pct"/>
                  <w:vAlign w:val="center"/>
                </w:tcPr>
                <w:p w14:paraId="64109147">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312.28</w:t>
                  </w:r>
                </w:p>
              </w:tc>
            </w:tr>
            <w:tr w14:paraId="3124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Align w:val="center"/>
                </w:tcPr>
                <w:p w14:paraId="4F77F3F6">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w:t>
                  </w:r>
                </w:p>
              </w:tc>
              <w:tc>
                <w:tcPr>
                  <w:tcW w:w="1945" w:type="pct"/>
                  <w:shd w:val="clear" w:color="auto" w:fill="auto"/>
                  <w:vAlign w:val="center"/>
                </w:tcPr>
                <w:p w14:paraId="09083488">
                  <w:pPr>
                    <w:spacing w:line="240" w:lineRule="auto"/>
                    <w:ind w:firstLine="0" w:firstLineChars="0"/>
                    <w:jc w:val="center"/>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米37-14M</w:t>
                  </w:r>
                </w:p>
              </w:tc>
              <w:tc>
                <w:tcPr>
                  <w:tcW w:w="2226" w:type="pct"/>
                  <w:vAlign w:val="center"/>
                </w:tcPr>
                <w:p w14:paraId="66E08F7D">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314.76</w:t>
                  </w:r>
                </w:p>
              </w:tc>
            </w:tr>
            <w:tr w14:paraId="2D339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Align w:val="center"/>
                </w:tcPr>
                <w:p w14:paraId="072D92BA">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w:t>
                  </w:r>
                </w:p>
              </w:tc>
              <w:tc>
                <w:tcPr>
                  <w:tcW w:w="1945" w:type="pct"/>
                  <w:shd w:val="clear" w:color="auto" w:fill="auto"/>
                  <w:vAlign w:val="center"/>
                </w:tcPr>
                <w:p w14:paraId="517A08A6">
                  <w:pPr>
                    <w:spacing w:line="240" w:lineRule="auto"/>
                    <w:ind w:firstLine="0" w:firstLineChars="0"/>
                    <w:jc w:val="center"/>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米172-06</w:t>
                  </w:r>
                </w:p>
              </w:tc>
              <w:tc>
                <w:tcPr>
                  <w:tcW w:w="2226" w:type="pct"/>
                  <w:vAlign w:val="center"/>
                </w:tcPr>
                <w:p w14:paraId="0DFC1AA1">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315.64</w:t>
                  </w:r>
                </w:p>
              </w:tc>
            </w:tr>
            <w:tr w14:paraId="63F97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Align w:val="center"/>
                </w:tcPr>
                <w:p w14:paraId="3E9CE39C">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w:t>
                  </w:r>
                </w:p>
              </w:tc>
              <w:tc>
                <w:tcPr>
                  <w:tcW w:w="1945" w:type="pct"/>
                  <w:shd w:val="clear" w:color="auto" w:fill="auto"/>
                  <w:vAlign w:val="center"/>
                </w:tcPr>
                <w:p w14:paraId="23303E81">
                  <w:pPr>
                    <w:spacing w:line="240" w:lineRule="auto"/>
                    <w:ind w:firstLine="0" w:firstLineChars="0"/>
                    <w:jc w:val="center"/>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米172-07</w:t>
                  </w:r>
                </w:p>
              </w:tc>
              <w:tc>
                <w:tcPr>
                  <w:tcW w:w="2226" w:type="pct"/>
                  <w:vAlign w:val="center"/>
                </w:tcPr>
                <w:p w14:paraId="232B923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317.10</w:t>
                  </w:r>
                </w:p>
              </w:tc>
            </w:tr>
            <w:tr w14:paraId="19AD8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3" w:type="pct"/>
                  <w:gridSpan w:val="2"/>
                  <w:vAlign w:val="center"/>
                </w:tcPr>
                <w:p w14:paraId="139B3636">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合计</w:t>
                  </w:r>
                </w:p>
              </w:tc>
              <w:tc>
                <w:tcPr>
                  <w:tcW w:w="2226" w:type="pct"/>
                  <w:vAlign w:val="center"/>
                </w:tcPr>
                <w:p w14:paraId="3218197A">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1259.78</w:t>
                  </w:r>
                </w:p>
              </w:tc>
            </w:tr>
          </w:tbl>
          <w:p w14:paraId="2FB24421">
            <w:pPr>
              <w:pStyle w:val="27"/>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根据计算，项目单井钻井废弃泥浆产生量约为</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1259.78</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重复利用率为95%，废弃钻井泥浆产生量为63.0t。</w:t>
            </w:r>
          </w:p>
          <w:p w14:paraId="63A9BECE">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废弃泥浆的主要成分是土粉、纯碱、烧碱和无机及有机添加剂，本项目使用水基泥浆，按照《榆林市油（气）开采废弃物处置环保暂行管理办法》（榆政环发〔2015〕170号）的相关要求进行收集，经场地内泥浆循环系统配套的移动式泥饼和岩屑收集罐暂存，委托外运处置</w:t>
            </w:r>
            <w:r>
              <w:rPr>
                <w:rFonts w:hint="default" w:ascii="Times New Roman" w:hAnsi="Times New Roman" w:cs="Times New Roman"/>
                <w:color w:val="000000" w:themeColor="text1"/>
                <w:lang w:val="en-US" w:eastAsia="zh-CN"/>
                <w14:textFill>
                  <w14:solidFill>
                    <w14:schemeClr w14:val="tx1"/>
                  </w14:solidFill>
                </w14:textFill>
              </w:rPr>
              <w:t>，由罐车拉运至</w:t>
            </w:r>
            <w:r>
              <w:rPr>
                <w:rFonts w:hint="eastAsia" w:ascii="Times New Roman" w:hAnsi="Times New Roman" w:cs="Times New Roman"/>
                <w:color w:val="000000" w:themeColor="text1"/>
                <w:lang w:val="en-US" w:eastAsia="zh-CN"/>
                <w14:textFill>
                  <w14:solidFill>
                    <w14:schemeClr w14:val="tx1"/>
                  </w14:solidFill>
                </w14:textFill>
              </w:rPr>
              <w:t>陕西德禾鑫盛环保科技有限公司外运</w:t>
            </w:r>
            <w:r>
              <w:rPr>
                <w:rFonts w:hint="default" w:ascii="Times New Roman" w:hAnsi="Times New Roman" w:cs="Times New Roman"/>
                <w:color w:val="000000" w:themeColor="text1"/>
                <w:lang w:val="en-US" w:eastAsia="zh-CN"/>
                <w14:textFill>
                  <w14:solidFill>
                    <w14:schemeClr w14:val="tx1"/>
                  </w14:solidFill>
                </w14:textFill>
              </w:rPr>
              <w:t>处置。</w:t>
            </w:r>
          </w:p>
          <w:p w14:paraId="5AF435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（2）钻井岩屑</w:t>
            </w:r>
          </w:p>
          <w:p w14:paraId="32610F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钻井过程中，岩石被钻头破碎成岩屑，随着泥浆经循环泵带出井口，经地面的泥浆不落地系统处理分离，钻井岩屑的产生量按以下公式计算：</w:t>
            </w:r>
          </w:p>
          <w:p w14:paraId="67BF4CF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position w:val="-6"/>
                <w:sz w:val="24"/>
                <w:szCs w:val="24"/>
                <w:vertAlign w:val="baseline"/>
                <w:lang w:val="en-US" w:eastAsia="zh-CN"/>
                <w14:textFill>
                  <w14:solidFill>
                    <w14:schemeClr w14:val="tx1"/>
                  </w14:solidFill>
                </w14:textFill>
              </w:rPr>
              <w:object>
                <v:shape id="_x0000_i1028" o:spt="75" type="#_x0000_t75" style="height:16pt;width:72pt;" o:ole="t" filled="f" o:preferrelative="t" stroked="f" coordsize="21600,21600">
                  <v:path/>
                  <v:fill on="f" focussize="0,0"/>
                  <v:stroke on="f"/>
                  <v:imagedata r:id="rId21" o:title=""/>
                  <o:lock v:ext="edit" aspectratio="t"/>
                  <w10:wrap type="none"/>
                  <w10:anchorlock/>
                </v:shape>
                <o:OLEObject Type="Embed" ProgID="Equation.KSEE3" ShapeID="_x0000_i1028" DrawAspect="Content" ObjectID="_1468075728" r:id="rId20">
                  <o:LockedField>false</o:LockedField>
                </o:OLEObject>
              </w:object>
            </w:r>
          </w:p>
          <w:p w14:paraId="32DB64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式中：</w:t>
            </w:r>
          </w:p>
          <w:p w14:paraId="48CAD7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W——钻井岩屑产生量，t；</w:t>
            </w:r>
          </w:p>
          <w:p w14:paraId="39CCB0C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D——钻井直井，m，一开0.346m，二开0.273m；</w:t>
            </w:r>
          </w:p>
          <w:p w14:paraId="341CCB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h——钻井的深度，m，一开6</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0m，</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二开2700~3000m</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p>
          <w:p w14:paraId="461438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d——岩石密度，t/m</w:t>
            </w:r>
            <w:r>
              <w:rPr>
                <w:rFonts w:hint="default"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，取2.71t/m</w:t>
            </w:r>
            <w:r>
              <w:rPr>
                <w:rFonts w:hint="default"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p>
          <w:p w14:paraId="11D271E1">
            <w:pPr>
              <w:pStyle w:val="19"/>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center"/>
              <w:textAlignment w:val="auto"/>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表4-8 钻井岩屑产生情况一览表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3398"/>
              <w:gridCol w:w="3885"/>
            </w:tblGrid>
            <w:tr w14:paraId="1D83A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Align w:val="center"/>
                </w:tcPr>
                <w:p w14:paraId="5A3EC463">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序号</w:t>
                  </w:r>
                </w:p>
              </w:tc>
              <w:tc>
                <w:tcPr>
                  <w:tcW w:w="1945" w:type="pct"/>
                  <w:vAlign w:val="center"/>
                </w:tcPr>
                <w:p w14:paraId="5B8E1200">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井号</w:t>
                  </w:r>
                </w:p>
              </w:tc>
              <w:tc>
                <w:tcPr>
                  <w:tcW w:w="2225" w:type="pct"/>
                  <w:vAlign w:val="center"/>
                </w:tcPr>
                <w:p w14:paraId="1F70D5AC">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钻井岩屑产生量（</w:t>
                  </w: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t</w:t>
                  </w:r>
                  <w:r>
                    <w:rPr>
                      <w:rFonts w:hint="eastAsia"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w:t>
                  </w:r>
                </w:p>
              </w:tc>
            </w:tr>
            <w:tr w14:paraId="6F27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Align w:val="center"/>
                </w:tcPr>
                <w:p w14:paraId="621E80B0">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w:t>
                  </w:r>
                </w:p>
              </w:tc>
              <w:tc>
                <w:tcPr>
                  <w:tcW w:w="1945" w:type="pct"/>
                  <w:shd w:val="clear" w:color="auto" w:fill="auto"/>
                  <w:vAlign w:val="center"/>
                </w:tcPr>
                <w:p w14:paraId="762D82F6">
                  <w:pPr>
                    <w:spacing w:line="240" w:lineRule="auto"/>
                    <w:ind w:firstLine="0" w:firstLineChars="0"/>
                    <w:jc w:val="center"/>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米172-08</w:t>
                  </w:r>
                </w:p>
              </w:tc>
              <w:tc>
                <w:tcPr>
                  <w:tcW w:w="2225" w:type="pct"/>
                  <w:vAlign w:val="center"/>
                </w:tcPr>
                <w:p w14:paraId="684FB347">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496.07</w:t>
                  </w:r>
                </w:p>
              </w:tc>
            </w:tr>
            <w:tr w14:paraId="5C3C6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Align w:val="center"/>
                </w:tcPr>
                <w:p w14:paraId="246F388A">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w:t>
                  </w:r>
                </w:p>
              </w:tc>
              <w:tc>
                <w:tcPr>
                  <w:tcW w:w="1945" w:type="pct"/>
                  <w:shd w:val="clear" w:color="auto" w:fill="auto"/>
                  <w:vAlign w:val="center"/>
                </w:tcPr>
                <w:p w14:paraId="6ECE353F">
                  <w:pPr>
                    <w:spacing w:line="240" w:lineRule="auto"/>
                    <w:ind w:firstLine="0" w:firstLineChars="0"/>
                    <w:jc w:val="center"/>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米37-14M</w:t>
                  </w:r>
                </w:p>
              </w:tc>
              <w:tc>
                <w:tcPr>
                  <w:tcW w:w="2225" w:type="pct"/>
                  <w:vAlign w:val="center"/>
                </w:tcPr>
                <w:p w14:paraId="397BD942">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509.54</w:t>
                  </w:r>
                </w:p>
              </w:tc>
            </w:tr>
            <w:tr w14:paraId="47E72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828" w:type="pct"/>
                  <w:vAlign w:val="center"/>
                </w:tcPr>
                <w:p w14:paraId="6CAB07AA">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3</w:t>
                  </w:r>
                </w:p>
              </w:tc>
              <w:tc>
                <w:tcPr>
                  <w:tcW w:w="1945" w:type="pct"/>
                  <w:shd w:val="clear" w:color="auto" w:fill="auto"/>
                  <w:vAlign w:val="center"/>
                </w:tcPr>
                <w:p w14:paraId="6813B45D">
                  <w:pPr>
                    <w:spacing w:line="240" w:lineRule="auto"/>
                    <w:ind w:firstLine="0" w:firstLineChars="0"/>
                    <w:jc w:val="center"/>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米172-06</w:t>
                  </w:r>
                </w:p>
              </w:tc>
              <w:tc>
                <w:tcPr>
                  <w:tcW w:w="2225" w:type="pct"/>
                  <w:vAlign w:val="center"/>
                </w:tcPr>
                <w:p w14:paraId="68DE32B6">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514.30</w:t>
                  </w:r>
                </w:p>
              </w:tc>
            </w:tr>
            <w:tr w14:paraId="10787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vAlign w:val="center"/>
                </w:tcPr>
                <w:p w14:paraId="20AAF2E4">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4</w:t>
                  </w:r>
                </w:p>
              </w:tc>
              <w:tc>
                <w:tcPr>
                  <w:tcW w:w="1945" w:type="pct"/>
                  <w:shd w:val="clear" w:color="auto" w:fill="auto"/>
                  <w:vAlign w:val="center"/>
                </w:tcPr>
                <w:p w14:paraId="43CB398E">
                  <w:pPr>
                    <w:spacing w:line="240" w:lineRule="auto"/>
                    <w:ind w:firstLine="0" w:firstLineChars="0"/>
                    <w:jc w:val="center"/>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米172-07</w:t>
                  </w:r>
                </w:p>
              </w:tc>
              <w:tc>
                <w:tcPr>
                  <w:tcW w:w="2225" w:type="pct"/>
                  <w:vAlign w:val="center"/>
                </w:tcPr>
                <w:p w14:paraId="50DAC04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522.23</w:t>
                  </w:r>
                </w:p>
              </w:tc>
            </w:tr>
            <w:tr w14:paraId="09F1C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4" w:type="pct"/>
                  <w:gridSpan w:val="2"/>
                  <w:vAlign w:val="center"/>
                </w:tcPr>
                <w:p w14:paraId="442AEAE1">
                  <w:pPr>
                    <w:pStyle w:val="2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合计</w:t>
                  </w:r>
                </w:p>
              </w:tc>
              <w:tc>
                <w:tcPr>
                  <w:tcW w:w="2225" w:type="pct"/>
                  <w:vAlign w:val="center"/>
                </w:tcPr>
                <w:p w14:paraId="532080AC">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2042.14</w:t>
                  </w:r>
                </w:p>
              </w:tc>
            </w:tr>
          </w:tbl>
          <w:p w14:paraId="59342D58">
            <w:pPr>
              <w:pStyle w:val="2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井场设置移动式泥饼和岩屑收集罐，罐区设置围堰，铺设防渗HDPE膜，设遮雨设施，</w:t>
            </w:r>
            <w:r>
              <w:rPr>
                <w:rFonts w:hint="default" w:ascii="Times New Roman" w:hAnsi="Times New Roman" w:cs="Times New Roman"/>
                <w:color w:val="000000" w:themeColor="text1"/>
                <w:lang w:val="en-US" w:eastAsia="zh-CN"/>
                <w14:textFill>
                  <w14:solidFill>
                    <w14:schemeClr w14:val="tx1"/>
                  </w14:solidFill>
                </w14:textFill>
              </w:rPr>
              <w:t>符合《榆林市油气开采废弃物不落地集中处置推广项目建设管理指南（试行）》（榆林市生态环境局于2018年8月21日发布）的要求。经场地内泥浆循环系统配套的移动式泥饼和岩屑收集罐暂存，</w:t>
            </w:r>
            <w:r>
              <w:rPr>
                <w:rFonts w:hint="eastAsia" w:ascii="Times New Roman" w:hAnsi="Times New Roman" w:cs="Times New Roman"/>
                <w:color w:val="000000" w:themeColor="text1"/>
                <w:lang w:val="en-US" w:eastAsia="zh-CN"/>
                <w14:textFill>
                  <w14:solidFill>
                    <w14:schemeClr w14:val="tx1"/>
                  </w14:solidFill>
                </w14:textFill>
              </w:rPr>
              <w:t>委托陕西德禾鑫盛环保科技有限公司处置</w:t>
            </w:r>
            <w:r>
              <w:rPr>
                <w:rFonts w:hint="default" w:ascii="Times New Roman" w:hAnsi="Times New Roman" w:cs="Times New Roman"/>
                <w:color w:val="000000" w:themeColor="text1"/>
                <w:lang w:val="en-US" w:eastAsia="zh-CN"/>
                <w14:textFill>
                  <w14:solidFill>
                    <w14:schemeClr w14:val="tx1"/>
                  </w14:solidFill>
                </w14:textFill>
              </w:rPr>
              <w:t>。</w:t>
            </w:r>
          </w:p>
          <w:p w14:paraId="48298F19">
            <w:pPr>
              <w:pStyle w:val="27"/>
              <w:bidi w:val="0"/>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使用水基泥浆。钻井岩屑按照《榆林市油（气）开采废弃物处置环保暂行管理办法》（榆政环发〔2015〕170号）的相关要求进行收集，根据本地区同类项目工程经验，钻井岩屑中不含重金属和放射性含量物质，属于Ⅱ类一般固废。</w:t>
            </w:r>
          </w:p>
          <w:p w14:paraId="56D338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废纯碱、膨润土包装袋</w:t>
            </w: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、不含油废防渗布</w:t>
            </w:r>
          </w:p>
          <w:p w14:paraId="6DFC4B1E">
            <w:pPr>
              <w:adjustRightInd w:val="0"/>
              <w:spacing w:line="360" w:lineRule="auto"/>
              <w:ind w:firstLine="480" w:firstLineChars="200"/>
              <w:jc w:val="both"/>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废弃包装袋主要为钻井材料中纯碱、膨润土废弃包装</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不含油废防渗布主要为施工场地铺设的未沾染油类物质的防渗布，</w:t>
            </w:r>
            <w:r>
              <w:rPr>
                <w:rFonts w:hint="default" w:ascii="Times New Roman" w:hAnsi="Times New Roman" w:cs="Times New Roman"/>
                <w:color w:val="000000" w:themeColor="text1"/>
                <w:sz w:val="24"/>
                <w14:textFill>
                  <w14:solidFill>
                    <w14:schemeClr w14:val="tx1"/>
                  </w14:solidFill>
                </w14:textFill>
              </w:rPr>
              <w:t>其中</w:t>
            </w:r>
            <w:r>
              <w:rPr>
                <w:rFonts w:hint="default" w:ascii="Times New Roman" w:hAnsi="Times New Roman" w:cs="Times New Roman"/>
                <w:color w:val="000000" w:themeColor="text1"/>
                <w:sz w:val="24"/>
                <w:lang w:eastAsia="zh-CN"/>
                <w14:textFill>
                  <w14:solidFill>
                    <w14:schemeClr w14:val="tx1"/>
                  </w14:solidFill>
                </w14:textFill>
              </w:rPr>
              <w:t>单井</w:t>
            </w:r>
            <w:r>
              <w:rPr>
                <w:rFonts w:hint="default" w:ascii="Times New Roman" w:hAnsi="Times New Roman" w:cs="Times New Roman"/>
                <w:color w:val="000000" w:themeColor="text1"/>
                <w:sz w:val="24"/>
                <w14:textFill>
                  <w14:solidFill>
                    <w14:schemeClr w14:val="tx1"/>
                  </w14:solidFill>
                </w14:textFill>
              </w:rPr>
              <w:t>膨润土、纯碱包装袋产生量约为0.015t</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总产生量为0.06t</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单井</w:t>
            </w:r>
            <w:r>
              <w:rPr>
                <w:rFonts w:hint="default" w:ascii="Times New Roman" w:hAnsi="Times New Roman" w:cs="Times New Roman"/>
                <w:color w:val="000000" w:themeColor="text1"/>
                <w:sz w:val="24"/>
                <w:lang w:val="en-US" w:eastAsia="zh-CN"/>
                <w14:textFill>
                  <w14:solidFill>
                    <w14:schemeClr w14:val="tx1"/>
                  </w14:solidFill>
                </w14:textFill>
              </w:rPr>
              <w:t>不含油废防渗布</w:t>
            </w:r>
            <w:r>
              <w:rPr>
                <w:rFonts w:hint="default" w:ascii="Times New Roman" w:hAnsi="Times New Roman" w:cs="Times New Roman"/>
                <w:color w:val="000000" w:themeColor="text1"/>
                <w:sz w:val="24"/>
                <w14:textFill>
                  <w14:solidFill>
                    <w14:schemeClr w14:val="tx1"/>
                  </w14:solidFill>
                </w14:textFill>
              </w:rPr>
              <w:t>产生量约为0.0</w:t>
            </w:r>
            <w:r>
              <w:rPr>
                <w:rFonts w:hint="default" w:ascii="Times New Roman" w:hAnsi="Times New Roman" w:cs="Times New Roman"/>
                <w:color w:val="000000" w:themeColor="text1"/>
                <w:sz w:val="24"/>
                <w:lang w:val="en-US" w:eastAsia="zh-CN"/>
                <w14:textFill>
                  <w14:solidFill>
                    <w14:schemeClr w14:val="tx1"/>
                  </w14:solidFill>
                </w14:textFill>
              </w:rPr>
              <w:t>0</w:t>
            </w:r>
            <w:r>
              <w:rPr>
                <w:rFonts w:hint="default" w:ascii="Times New Roman" w:hAnsi="Times New Roman" w:cs="Times New Roman"/>
                <w:color w:val="000000" w:themeColor="text1"/>
                <w:sz w:val="24"/>
                <w14:textFill>
                  <w14:solidFill>
                    <w14:schemeClr w14:val="tx1"/>
                  </w14:solidFill>
                </w14:textFill>
              </w:rPr>
              <w:t>5t</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总产生量为0.02t</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，属于一般固体废物，施工结束后回收综合利用。</w:t>
            </w:r>
          </w:p>
          <w:p w14:paraId="60ABB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2、生活垃圾</w:t>
            </w:r>
          </w:p>
          <w:p w14:paraId="2D7FF5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职工生活垃圾每人每天0.5kg计，单井生活垃圾产生量约为0.875t（总产生量为</w:t>
            </w:r>
            <w:r>
              <w:rPr>
                <w:rFonts w:hint="eastAsia" w:ascii="Times New Roman" w:hAnsi="Times New Roman" w:cs="Times New Roman"/>
                <w:color w:val="000000" w:themeColor="text1"/>
                <w:sz w:val="24"/>
                <w:lang w:val="en-US" w:eastAsia="zh-CN"/>
                <w14:textFill>
                  <w14:solidFill>
                    <w14:schemeClr w14:val="tx1"/>
                  </w14:solidFill>
                </w14:textFill>
              </w:rPr>
              <w:t>3.5</w:t>
            </w:r>
            <w:r>
              <w:rPr>
                <w:rFonts w:hint="default" w:ascii="Times New Roman" w:hAnsi="Times New Roman" w:cs="Times New Roman"/>
                <w:color w:val="000000" w:themeColor="text1"/>
                <w:sz w:val="24"/>
                <w:lang w:val="en-US" w:eastAsia="zh-CN"/>
                <w14:textFill>
                  <w14:solidFill>
                    <w14:schemeClr w14:val="tx1"/>
                  </w14:solidFill>
                </w14:textFill>
              </w:rPr>
              <w:t>t）。</w:t>
            </w:r>
            <w:r>
              <w:rPr>
                <w:rFonts w:hint="default" w:ascii="Times New Roman" w:hAnsi="Times New Roman" w:cs="Times New Roman"/>
                <w:color w:val="000000" w:themeColor="text1"/>
                <w:sz w:val="24"/>
                <w:lang w:eastAsia="zh-CN"/>
                <w14:textFill>
                  <w14:solidFill>
                    <w14:schemeClr w14:val="tx1"/>
                  </w14:solidFill>
                </w14:textFill>
              </w:rPr>
              <w:t>井场设置垃圾箱，施工结束后送附近垃圾中转站</w:t>
            </w:r>
            <w:r>
              <w:rPr>
                <w:rFonts w:hint="default" w:ascii="Times New Roman" w:hAnsi="Times New Roman" w:cs="Times New Roman"/>
                <w:color w:val="000000" w:themeColor="text1"/>
                <w:sz w:val="24"/>
                <w:lang w:val="en-US" w:eastAsia="zh-CN"/>
                <w14:textFill>
                  <w14:solidFill>
                    <w14:schemeClr w14:val="tx1"/>
                  </w14:solidFill>
                </w14:textFill>
              </w:rPr>
              <w:t>，由当地环卫部门统一拉运处置</w:t>
            </w:r>
            <w:r>
              <w:rPr>
                <w:rFonts w:hint="default" w:ascii="Times New Roman" w:hAnsi="Times New Roman" w:cs="Times New Roman"/>
                <w:color w:val="000000" w:themeColor="text1"/>
                <w:sz w:val="24"/>
                <w:lang w:eastAsia="zh-CN"/>
                <w14:textFill>
                  <w14:solidFill>
                    <w14:schemeClr w14:val="tx1"/>
                  </w14:solidFill>
                </w14:textFill>
              </w:rPr>
              <w:t>。</w:t>
            </w:r>
          </w:p>
          <w:p w14:paraId="55276E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3、危险废物</w:t>
            </w:r>
          </w:p>
          <w:p w14:paraId="7E11904F">
            <w:pPr>
              <w:widowControl/>
              <w:adjustRightInd w:val="0"/>
              <w:snapToGrid w:val="0"/>
              <w:spacing w:line="360" w:lineRule="auto"/>
              <w:ind w:firstLine="480" w:firstLineChars="200"/>
              <w:jc w:val="both"/>
              <w:rPr>
                <w:rFonts w:hint="eastAsia" w:eastAsia="宋体"/>
                <w:color w:val="000000" w:themeColor="text1"/>
                <w:sz w:val="24"/>
                <w:lang w:eastAsia="zh-CN"/>
                <w14:textFill>
                  <w14:solidFill>
                    <w14:schemeClr w14:val="tx1"/>
                  </w14:solidFill>
                </w14:textFill>
              </w:rPr>
            </w:pPr>
            <w:r>
              <w:rPr>
                <w:color w:val="000000" w:themeColor="text1"/>
                <w:sz w:val="24"/>
                <w14:textFill>
                  <w14:solidFill>
                    <w14:schemeClr w14:val="tx1"/>
                  </w14:solidFill>
                </w14:textFill>
              </w:rPr>
              <w:t>项目产生的危险废物主要为钻井设备产生的废机油、废防渗布等</w:t>
            </w:r>
            <w:r>
              <w:rPr>
                <w:rFonts w:hint="eastAsia"/>
                <w:color w:val="000000" w:themeColor="text1"/>
                <w:sz w:val="24"/>
                <w:lang w:eastAsia="zh-CN"/>
                <w14:textFill>
                  <w14:solidFill>
                    <w14:schemeClr w14:val="tx1"/>
                  </w14:solidFill>
                </w14:textFill>
              </w:rPr>
              <w:t>。</w:t>
            </w:r>
          </w:p>
          <w:p w14:paraId="438E87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）废机油</w:t>
            </w:r>
          </w:p>
          <w:p w14:paraId="2F5DD6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主要来源于清洗钻具、套管时产生的废机油。根据建设单位同类型项目资料，预计单井废机油产生量为0.04t，本项目共产生0.</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16</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t，委托有资质的单位进行处置。</w:t>
            </w:r>
          </w:p>
          <w:p w14:paraId="42B9A1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）废弃防渗膜</w:t>
            </w:r>
          </w:p>
          <w:p w14:paraId="3283BA45">
            <w:pPr>
              <w:widowControl/>
              <w:adjustRightInd w:val="0"/>
              <w:snapToGrid w:val="0"/>
              <w:spacing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为防止在钻井过程中钻井泥浆、钻井污水等污染地面从而造成对土壤、地下水的影响，需要在钻井过程中在钻井平台附近铺设防渗布</w:t>
            </w:r>
            <w:r>
              <w:rPr>
                <w:rFonts w:hint="default" w:ascii="Times New Roman" w:hAnsi="Times New Roman" w:cs="Times New Roman"/>
                <w:color w:val="000000" w:themeColor="text1"/>
                <w:sz w:val="24"/>
                <w:lang w:val="en-US" w:eastAsia="zh-CN"/>
                <w14:textFill>
                  <w14:solidFill>
                    <w14:schemeClr w14:val="tx1"/>
                  </w14:solidFill>
                </w14:textFill>
              </w:rPr>
              <w:t>。沾染油类物质的防渗膜属于危险废物，</w:t>
            </w:r>
            <w:r>
              <w:rPr>
                <w:rFonts w:hint="default" w:ascii="Times New Roman" w:hAnsi="Times New Roman" w:cs="Times New Roman"/>
                <w:color w:val="000000" w:themeColor="text1"/>
                <w:sz w:val="24"/>
                <w14:textFill>
                  <w14:solidFill>
                    <w14:schemeClr w14:val="tx1"/>
                  </w14:solidFill>
                </w14:textFill>
              </w:rPr>
              <w:t>危废代码为900-041-49。根据建设单位</w:t>
            </w:r>
            <w:r>
              <w:rPr>
                <w:rFonts w:hint="default" w:ascii="Times New Roman" w:hAnsi="Times New Roman" w:cs="Times New Roman"/>
                <w:color w:val="000000" w:themeColor="text1"/>
                <w:sz w:val="24"/>
                <w:lang w:val="en-US" w:eastAsia="zh-CN"/>
                <w14:textFill>
                  <w14:solidFill>
                    <w14:schemeClr w14:val="tx1"/>
                  </w14:solidFill>
                </w14:textFill>
              </w:rPr>
              <w:t>提供资料</w:t>
            </w:r>
            <w:r>
              <w:rPr>
                <w:rFonts w:hint="default" w:ascii="Times New Roman" w:hAnsi="Times New Roman" w:cs="Times New Roman"/>
                <w:color w:val="000000" w:themeColor="text1"/>
                <w:sz w:val="24"/>
                <w14:textFill>
                  <w14:solidFill>
                    <w14:schemeClr w14:val="tx1"/>
                  </w14:solidFill>
                </w14:textFill>
              </w:rPr>
              <w:t>，本项目施工单井</w:t>
            </w:r>
            <w:r>
              <w:rPr>
                <w:rFonts w:hint="default" w:ascii="Times New Roman" w:hAnsi="Times New Roman" w:cs="Times New Roman"/>
                <w:color w:val="000000" w:themeColor="text1"/>
                <w:sz w:val="24"/>
                <w:lang w:val="en-US" w:eastAsia="zh-CN"/>
                <w14:textFill>
                  <w14:solidFill>
                    <w14:schemeClr w14:val="tx1"/>
                  </w14:solidFill>
                </w14:textFill>
              </w:rPr>
              <w:t>含油</w:t>
            </w:r>
            <w:r>
              <w:rPr>
                <w:rFonts w:hint="default" w:ascii="Times New Roman" w:hAnsi="Times New Roman" w:cs="Times New Roman"/>
                <w:color w:val="000000" w:themeColor="text1"/>
                <w:sz w:val="24"/>
                <w14:textFill>
                  <w14:solidFill>
                    <w14:schemeClr w14:val="tx1"/>
                  </w14:solidFill>
                </w14:textFill>
              </w:rPr>
              <w:t>废防渗布产生量约为0.0</w:t>
            </w:r>
            <w:r>
              <w:rPr>
                <w:rFonts w:hint="default" w:ascii="Times New Roman" w:hAnsi="Times New Roman" w:cs="Times New Roman"/>
                <w:color w:val="000000" w:themeColor="text1"/>
                <w:sz w:val="24"/>
                <w:lang w:val="en-US" w:eastAsia="zh-CN"/>
                <w14:textFill>
                  <w14:solidFill>
                    <w14:schemeClr w14:val="tx1"/>
                  </w14:solidFill>
                </w14:textFill>
              </w:rPr>
              <w:t>05</w:t>
            </w:r>
            <w:r>
              <w:rPr>
                <w:rFonts w:hint="default" w:ascii="Times New Roman" w:hAnsi="Times New Roman" w:cs="Times New Roman"/>
                <w:color w:val="000000" w:themeColor="text1"/>
                <w:sz w:val="24"/>
                <w14:textFill>
                  <w14:solidFill>
                    <w14:schemeClr w14:val="tx1"/>
                  </w14:solidFill>
                </w14:textFill>
              </w:rPr>
              <w:t>t</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总产生量为0.0</w:t>
            </w: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t</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。施工结束后沾染了</w:t>
            </w:r>
            <w:r>
              <w:rPr>
                <w:rFonts w:hint="default" w:ascii="Times New Roman" w:hAnsi="Times New Roman" w:eastAsia="宋体" w:cs="Times New Roman"/>
                <w:color w:val="000000" w:themeColor="text1"/>
                <w:sz w:val="24"/>
                <w:lang w:val="en-US" w:eastAsia="zh-CN"/>
                <w14:textFill>
                  <w14:solidFill>
                    <w14:schemeClr w14:val="tx1"/>
                  </w14:solidFill>
                </w14:textFill>
              </w:rPr>
              <w:t>油类物质的</w:t>
            </w:r>
            <w:r>
              <w:rPr>
                <w:rFonts w:hint="default" w:ascii="Times New Roman" w:hAnsi="Times New Roman" w:cs="Times New Roman"/>
                <w:color w:val="000000" w:themeColor="text1"/>
                <w:sz w:val="24"/>
                <w14:textFill>
                  <w14:solidFill>
                    <w14:schemeClr w14:val="tx1"/>
                  </w14:solidFill>
                </w14:textFill>
              </w:rPr>
              <w:t>的废防渗布作为危险废物委托有资质单位外运处置。</w:t>
            </w:r>
          </w:p>
          <w:p w14:paraId="5EC2A4E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9</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 xml:space="preserve">   项目固体废物产生与处置措施表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500"/>
              <w:gridCol w:w="1202"/>
              <w:gridCol w:w="1137"/>
              <w:gridCol w:w="1382"/>
              <w:gridCol w:w="2749"/>
            </w:tblGrid>
            <w:tr w14:paraId="1FC76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36E8774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序号</w:t>
                  </w:r>
                </w:p>
              </w:tc>
              <w:tc>
                <w:tcPr>
                  <w:tcW w:w="859" w:type="pct"/>
                  <w:vAlign w:val="center"/>
                </w:tcPr>
                <w:p w14:paraId="3587948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固废种类</w:t>
                  </w:r>
                </w:p>
              </w:tc>
              <w:tc>
                <w:tcPr>
                  <w:tcW w:w="688" w:type="pct"/>
                  <w:vAlign w:val="center"/>
                </w:tcPr>
                <w:p w14:paraId="57C717E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产生量（t）</w:t>
                  </w:r>
                </w:p>
              </w:tc>
              <w:tc>
                <w:tcPr>
                  <w:tcW w:w="651" w:type="pct"/>
                  <w:vAlign w:val="center"/>
                </w:tcPr>
                <w:p w14:paraId="67A7958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性质</w:t>
                  </w:r>
                </w:p>
              </w:tc>
              <w:tc>
                <w:tcPr>
                  <w:tcW w:w="791" w:type="pct"/>
                  <w:vAlign w:val="center"/>
                </w:tcPr>
                <w:p w14:paraId="21C03BA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代码</w:t>
                  </w:r>
                </w:p>
              </w:tc>
              <w:tc>
                <w:tcPr>
                  <w:tcW w:w="1574" w:type="pct"/>
                  <w:vAlign w:val="center"/>
                </w:tcPr>
                <w:p w14:paraId="4F7A061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处置措施</w:t>
                  </w:r>
                </w:p>
              </w:tc>
            </w:tr>
            <w:tr w14:paraId="65E8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5693056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c>
                <w:tcPr>
                  <w:tcW w:w="859" w:type="pct"/>
                  <w:vAlign w:val="center"/>
                </w:tcPr>
                <w:p w14:paraId="64B7F7E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泥浆</w:t>
                  </w:r>
                </w:p>
              </w:tc>
              <w:tc>
                <w:tcPr>
                  <w:tcW w:w="688" w:type="pct"/>
                  <w:vAlign w:val="center"/>
                </w:tcPr>
                <w:p w14:paraId="7F3F02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63.0</w:t>
                  </w:r>
                </w:p>
              </w:tc>
              <w:tc>
                <w:tcPr>
                  <w:tcW w:w="651" w:type="pct"/>
                  <w:vAlign w:val="center"/>
                </w:tcPr>
                <w:p w14:paraId="7243441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一般固废</w:t>
                  </w:r>
                </w:p>
              </w:tc>
              <w:tc>
                <w:tcPr>
                  <w:tcW w:w="791" w:type="pct"/>
                  <w:vAlign w:val="center"/>
                </w:tcPr>
                <w:p w14:paraId="51EEBDE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SW12</w:t>
                  </w:r>
                </w:p>
                <w:p w14:paraId="7E9421D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072-001-S12</w:t>
                  </w:r>
                </w:p>
              </w:tc>
              <w:tc>
                <w:tcPr>
                  <w:tcW w:w="1574" w:type="pct"/>
                  <w:vMerge w:val="restart"/>
                  <w:vAlign w:val="center"/>
                </w:tcPr>
                <w:p w14:paraId="00A8450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交</w:t>
                  </w:r>
                  <w:r>
                    <w:rPr>
                      <w:rFonts w:hint="default" w:ascii="Times New Roman" w:hAnsi="Times New Roman" w:cs="Times New Roman"/>
                      <w:color w:val="000000" w:themeColor="text1"/>
                      <w:sz w:val="21"/>
                      <w:szCs w:val="21"/>
                      <w:lang w:val="en-US" w:eastAsia="zh-CN"/>
                      <w14:textFill>
                        <w14:solidFill>
                          <w14:schemeClr w14:val="tx1"/>
                        </w14:solidFill>
                      </w14:textFill>
                    </w:rPr>
                    <w:t>陕西</w:t>
                  </w:r>
                  <w:r>
                    <w:rPr>
                      <w:rFonts w:hint="eastAsia" w:ascii="Times New Roman" w:hAnsi="Times New Roman" w:cs="Times New Roman"/>
                      <w:color w:val="000000" w:themeColor="text1"/>
                      <w:sz w:val="21"/>
                      <w:szCs w:val="21"/>
                      <w:lang w:val="en-US" w:eastAsia="zh-CN"/>
                      <w14:textFill>
                        <w14:solidFill>
                          <w14:schemeClr w14:val="tx1"/>
                        </w14:solidFill>
                      </w14:textFill>
                    </w:rPr>
                    <w:t>德禾鑫盛环保科技有限公司</w:t>
                  </w:r>
                  <w:r>
                    <w:rPr>
                      <w:rFonts w:hint="default" w:ascii="Times New Roman" w:hAnsi="Times New Roman" w:cs="Times New Roman"/>
                      <w:color w:val="000000" w:themeColor="text1"/>
                      <w:sz w:val="21"/>
                      <w:szCs w:val="21"/>
                      <w:lang w:val="en-US" w:eastAsia="zh-CN"/>
                      <w14:textFill>
                        <w14:solidFill>
                          <w14:schemeClr w14:val="tx1"/>
                        </w14:solidFill>
                      </w14:textFill>
                    </w:rPr>
                    <w:t>处置</w:t>
                  </w:r>
                </w:p>
              </w:tc>
            </w:tr>
            <w:tr w14:paraId="238BA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5456A3F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c>
                <w:tcPr>
                  <w:tcW w:w="859" w:type="pct"/>
                  <w:vAlign w:val="center"/>
                </w:tcPr>
                <w:p w14:paraId="765F8A2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钻井岩屑</w:t>
                  </w:r>
                </w:p>
              </w:tc>
              <w:tc>
                <w:tcPr>
                  <w:tcW w:w="688" w:type="pct"/>
                  <w:vAlign w:val="center"/>
                </w:tcPr>
                <w:p w14:paraId="279524C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2042.14</w:t>
                  </w:r>
                </w:p>
              </w:tc>
              <w:tc>
                <w:tcPr>
                  <w:tcW w:w="651" w:type="pct"/>
                  <w:vAlign w:val="center"/>
                </w:tcPr>
                <w:p w14:paraId="161F797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一般固废</w:t>
                  </w:r>
                </w:p>
              </w:tc>
              <w:tc>
                <w:tcPr>
                  <w:tcW w:w="791" w:type="pct"/>
                  <w:vAlign w:val="center"/>
                </w:tcPr>
                <w:p w14:paraId="73315DC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SW12 072-001-S12</w:t>
                  </w:r>
                </w:p>
              </w:tc>
              <w:tc>
                <w:tcPr>
                  <w:tcW w:w="1574" w:type="pct"/>
                  <w:vMerge w:val="continue"/>
                  <w:vAlign w:val="center"/>
                </w:tcPr>
                <w:p w14:paraId="724A7EC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r>
            <w:tr w14:paraId="4AEF9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5EDEEAF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w:t>
                  </w:r>
                </w:p>
              </w:tc>
              <w:tc>
                <w:tcPr>
                  <w:tcW w:w="859" w:type="pct"/>
                  <w:vAlign w:val="center"/>
                </w:tcPr>
                <w:p w14:paraId="13A8967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废纯碱、膨润土包装袋</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、不含油废防渗布</w:t>
                  </w:r>
                </w:p>
              </w:tc>
              <w:tc>
                <w:tcPr>
                  <w:tcW w:w="688" w:type="pct"/>
                  <w:vAlign w:val="center"/>
                </w:tcPr>
                <w:p w14:paraId="5AABEB2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0.08</w:t>
                  </w:r>
                </w:p>
              </w:tc>
              <w:tc>
                <w:tcPr>
                  <w:tcW w:w="651" w:type="pct"/>
                  <w:vAlign w:val="center"/>
                </w:tcPr>
                <w:p w14:paraId="6A41A56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一般固废</w:t>
                  </w:r>
                </w:p>
              </w:tc>
              <w:tc>
                <w:tcPr>
                  <w:tcW w:w="791" w:type="pct"/>
                  <w:vAlign w:val="center"/>
                </w:tcPr>
                <w:p w14:paraId="068C489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SW17 900-099-S17</w:t>
                  </w:r>
                </w:p>
              </w:tc>
              <w:tc>
                <w:tcPr>
                  <w:tcW w:w="1574" w:type="pct"/>
                  <w:vAlign w:val="center"/>
                </w:tcPr>
                <w:p w14:paraId="5F4ABAB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回收</w:t>
                  </w:r>
                  <w:r>
                    <w:rPr>
                      <w:rFonts w:hint="eastAsia" w:ascii="Times New Roman" w:hAnsi="Times New Roman" w:cs="Times New Roman"/>
                      <w:color w:val="000000" w:themeColor="text1"/>
                      <w:sz w:val="21"/>
                      <w:szCs w:val="21"/>
                      <w:lang w:val="en-US" w:eastAsia="zh-CN"/>
                      <w14:textFill>
                        <w14:solidFill>
                          <w14:schemeClr w14:val="tx1"/>
                        </w14:solidFill>
                      </w14:textFill>
                    </w:rPr>
                    <w:t>后</w:t>
                  </w:r>
                  <w:r>
                    <w:rPr>
                      <w:rFonts w:hint="default" w:ascii="Times New Roman" w:hAnsi="Times New Roman" w:cs="Times New Roman"/>
                      <w:color w:val="000000" w:themeColor="text1"/>
                      <w:sz w:val="21"/>
                      <w:szCs w:val="21"/>
                      <w:lang w:val="en-US" w:eastAsia="zh-CN"/>
                      <w14:textFill>
                        <w14:solidFill>
                          <w14:schemeClr w14:val="tx1"/>
                        </w14:solidFill>
                      </w14:textFill>
                    </w:rPr>
                    <w:t>综合利用</w:t>
                  </w:r>
                </w:p>
              </w:tc>
            </w:tr>
            <w:tr w14:paraId="02F6E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7752800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4</w:t>
                  </w:r>
                </w:p>
              </w:tc>
              <w:tc>
                <w:tcPr>
                  <w:tcW w:w="859" w:type="pct"/>
                  <w:vAlign w:val="center"/>
                </w:tcPr>
                <w:p w14:paraId="286CFCF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生活垃圾</w:t>
                  </w:r>
                </w:p>
              </w:tc>
              <w:tc>
                <w:tcPr>
                  <w:tcW w:w="688" w:type="pct"/>
                  <w:vAlign w:val="center"/>
                </w:tcPr>
                <w:p w14:paraId="55EC4EE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3.5</w:t>
                  </w:r>
                </w:p>
              </w:tc>
              <w:tc>
                <w:tcPr>
                  <w:tcW w:w="651" w:type="pct"/>
                  <w:vAlign w:val="center"/>
                </w:tcPr>
                <w:p w14:paraId="5A14E7E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一般固废</w:t>
                  </w:r>
                </w:p>
              </w:tc>
              <w:tc>
                <w:tcPr>
                  <w:tcW w:w="791" w:type="pct"/>
                  <w:vAlign w:val="center"/>
                </w:tcPr>
                <w:p w14:paraId="5BE94FB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SW64 900-099-S64</w:t>
                  </w:r>
                </w:p>
              </w:tc>
              <w:tc>
                <w:tcPr>
                  <w:tcW w:w="1574" w:type="pct"/>
                  <w:vAlign w:val="center"/>
                </w:tcPr>
                <w:p w14:paraId="7A6D91C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施工结束后送附近垃圾中转站，由当地环卫部门统一拉运处置</w:t>
                  </w:r>
                </w:p>
              </w:tc>
            </w:tr>
            <w:tr w14:paraId="57EAE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4D14912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5</w:t>
                  </w:r>
                </w:p>
              </w:tc>
              <w:tc>
                <w:tcPr>
                  <w:tcW w:w="859" w:type="pct"/>
                  <w:vAlign w:val="center"/>
                </w:tcPr>
                <w:p w14:paraId="7C031BC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废机油</w:t>
                  </w:r>
                </w:p>
              </w:tc>
              <w:tc>
                <w:tcPr>
                  <w:tcW w:w="688" w:type="pct"/>
                  <w:vAlign w:val="center"/>
                </w:tcPr>
                <w:p w14:paraId="78059A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0.16</w:t>
                  </w:r>
                </w:p>
              </w:tc>
              <w:tc>
                <w:tcPr>
                  <w:tcW w:w="651" w:type="pct"/>
                  <w:vAlign w:val="center"/>
                </w:tcPr>
                <w:p w14:paraId="71AD3B7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危险废物</w:t>
                  </w:r>
                </w:p>
              </w:tc>
              <w:tc>
                <w:tcPr>
                  <w:tcW w:w="791" w:type="pct"/>
                  <w:shd w:val="clear" w:color="auto" w:fill="auto"/>
                  <w:vAlign w:val="center"/>
                </w:tcPr>
                <w:p w14:paraId="53CD07B6">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HW08</w:t>
                  </w:r>
                </w:p>
                <w:p w14:paraId="6FE27A9F">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eastAsia"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900-214-08</w:t>
                  </w:r>
                </w:p>
              </w:tc>
              <w:tc>
                <w:tcPr>
                  <w:tcW w:w="1574" w:type="pct"/>
                  <w:vAlign w:val="center"/>
                </w:tcPr>
                <w:p w14:paraId="7F1B93C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交有资质单位处置</w:t>
                  </w:r>
                </w:p>
              </w:tc>
            </w:tr>
            <w:tr w14:paraId="124AF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529B9E1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6</w:t>
                  </w:r>
                </w:p>
              </w:tc>
              <w:tc>
                <w:tcPr>
                  <w:tcW w:w="859" w:type="pct"/>
                  <w:vAlign w:val="center"/>
                </w:tcPr>
                <w:p w14:paraId="5241A06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废弃防渗膜</w:t>
                  </w:r>
                </w:p>
              </w:tc>
              <w:tc>
                <w:tcPr>
                  <w:tcW w:w="688" w:type="pct"/>
                  <w:vAlign w:val="center"/>
                </w:tcPr>
                <w:p w14:paraId="729CA5E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0.0</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c>
                <w:tcPr>
                  <w:tcW w:w="651" w:type="pct"/>
                  <w:vAlign w:val="center"/>
                </w:tcPr>
                <w:p w14:paraId="2DDD9E6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危险废物</w:t>
                  </w:r>
                </w:p>
              </w:tc>
              <w:tc>
                <w:tcPr>
                  <w:tcW w:w="791" w:type="pct"/>
                  <w:shd w:val="clear" w:color="auto" w:fill="auto"/>
                  <w:vAlign w:val="center"/>
                </w:tcPr>
                <w:p w14:paraId="4A1858FE">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HW49</w:t>
                  </w:r>
                </w:p>
                <w:p w14:paraId="380CA7B4">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eastAsia"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900-041-49</w:t>
                  </w:r>
                </w:p>
              </w:tc>
              <w:tc>
                <w:tcPr>
                  <w:tcW w:w="1574" w:type="pct"/>
                  <w:vAlign w:val="center"/>
                </w:tcPr>
                <w:p w14:paraId="7937AA8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交有资质单位处置</w:t>
                  </w:r>
                </w:p>
              </w:tc>
            </w:tr>
          </w:tbl>
          <w:p w14:paraId="55A382D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10</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 xml:space="preserve">  危险废物产生情况一览表</w:t>
            </w:r>
          </w:p>
          <w:tbl>
            <w:tblPr>
              <w:tblStyle w:val="2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5"/>
              <w:gridCol w:w="1116"/>
              <w:gridCol w:w="922"/>
              <w:gridCol w:w="1184"/>
              <w:gridCol w:w="795"/>
              <w:gridCol w:w="912"/>
              <w:gridCol w:w="494"/>
              <w:gridCol w:w="505"/>
              <w:gridCol w:w="707"/>
              <w:gridCol w:w="454"/>
              <w:gridCol w:w="1188"/>
            </w:tblGrid>
            <w:tr w14:paraId="7AEE6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55" w:type="pct"/>
                  <w:noWrap w:val="0"/>
                  <w:vAlign w:val="center"/>
                </w:tcPr>
                <w:p w14:paraId="2DE26B1D">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序号</w:t>
                  </w:r>
                </w:p>
              </w:tc>
              <w:tc>
                <w:tcPr>
                  <w:tcW w:w="639" w:type="pct"/>
                  <w:noWrap w:val="0"/>
                  <w:vAlign w:val="center"/>
                </w:tcPr>
                <w:p w14:paraId="0E96D3AA">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危险废物名称</w:t>
                  </w:r>
                </w:p>
              </w:tc>
              <w:tc>
                <w:tcPr>
                  <w:tcW w:w="528" w:type="pct"/>
                  <w:noWrap w:val="0"/>
                  <w:vAlign w:val="center"/>
                </w:tcPr>
                <w:p w14:paraId="7BF38445">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危险废物</w:t>
                  </w:r>
                </w:p>
                <w:p w14:paraId="47892C61">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类别</w:t>
                  </w:r>
                </w:p>
              </w:tc>
              <w:tc>
                <w:tcPr>
                  <w:tcW w:w="678" w:type="pct"/>
                  <w:noWrap w:val="0"/>
                  <w:vAlign w:val="center"/>
                </w:tcPr>
                <w:p w14:paraId="632720E9">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危险废物代码</w:t>
                  </w:r>
                </w:p>
              </w:tc>
              <w:tc>
                <w:tcPr>
                  <w:tcW w:w="455" w:type="pct"/>
                  <w:noWrap w:val="0"/>
                  <w:vAlign w:val="center"/>
                </w:tcPr>
                <w:p w14:paraId="65F526A3">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产生量</w:t>
                  </w:r>
                </w:p>
              </w:tc>
              <w:tc>
                <w:tcPr>
                  <w:tcW w:w="522" w:type="pct"/>
                  <w:noWrap w:val="0"/>
                  <w:vAlign w:val="center"/>
                </w:tcPr>
                <w:p w14:paraId="180FD043">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产生工序及装置</w:t>
                  </w:r>
                </w:p>
              </w:tc>
              <w:tc>
                <w:tcPr>
                  <w:tcW w:w="283" w:type="pct"/>
                  <w:noWrap w:val="0"/>
                  <w:vAlign w:val="center"/>
                </w:tcPr>
                <w:p w14:paraId="10F76B59">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形态</w:t>
                  </w:r>
                </w:p>
              </w:tc>
              <w:tc>
                <w:tcPr>
                  <w:tcW w:w="289" w:type="pct"/>
                  <w:noWrap w:val="0"/>
                  <w:vAlign w:val="center"/>
                </w:tcPr>
                <w:p w14:paraId="470D8AA4">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主要成分</w:t>
                  </w:r>
                </w:p>
              </w:tc>
              <w:tc>
                <w:tcPr>
                  <w:tcW w:w="405" w:type="pct"/>
                  <w:noWrap w:val="0"/>
                  <w:vAlign w:val="center"/>
                </w:tcPr>
                <w:p w14:paraId="5996138F">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产废</w:t>
                  </w:r>
                </w:p>
                <w:p w14:paraId="237E8C20">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周期</w:t>
                  </w:r>
                </w:p>
              </w:tc>
              <w:tc>
                <w:tcPr>
                  <w:tcW w:w="260" w:type="pct"/>
                  <w:noWrap w:val="0"/>
                  <w:vAlign w:val="center"/>
                </w:tcPr>
                <w:p w14:paraId="0590B9EB">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危险特性</w:t>
                  </w:r>
                </w:p>
              </w:tc>
              <w:tc>
                <w:tcPr>
                  <w:tcW w:w="680" w:type="pct"/>
                  <w:noWrap w:val="0"/>
                  <w:vAlign w:val="top"/>
                </w:tcPr>
                <w:p w14:paraId="4C0F0044">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污染防治措施</w:t>
                  </w:r>
                </w:p>
              </w:tc>
            </w:tr>
            <w:tr w14:paraId="69B4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55" w:type="pct"/>
                  <w:noWrap w:val="0"/>
                  <w:vAlign w:val="center"/>
                </w:tcPr>
                <w:p w14:paraId="639BA8AC">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639" w:type="pct"/>
                  <w:noWrap w:val="0"/>
                  <w:vAlign w:val="top"/>
                </w:tcPr>
                <w:p w14:paraId="34131328">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废机油</w:t>
                  </w:r>
                </w:p>
              </w:tc>
              <w:tc>
                <w:tcPr>
                  <w:tcW w:w="528" w:type="pct"/>
                  <w:noWrap w:val="0"/>
                  <w:vAlign w:val="center"/>
                </w:tcPr>
                <w:p w14:paraId="770719BD">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HW08</w:t>
                  </w:r>
                </w:p>
              </w:tc>
              <w:tc>
                <w:tcPr>
                  <w:tcW w:w="678" w:type="pct"/>
                  <w:noWrap w:val="0"/>
                  <w:vAlign w:val="center"/>
                </w:tcPr>
                <w:p w14:paraId="6DF36E80">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900-214-08</w:t>
                  </w:r>
                </w:p>
              </w:tc>
              <w:tc>
                <w:tcPr>
                  <w:tcW w:w="455" w:type="pct"/>
                  <w:noWrap w:val="0"/>
                  <w:vAlign w:val="center"/>
                </w:tcPr>
                <w:p w14:paraId="2DFEF07D">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44" w:leftChars="-20" w:right="-44" w:rightChars="-20" w:firstLine="0" w:firstLineChars="0"/>
                    <w:jc w:val="center"/>
                    <w:textAlignment w:val="center"/>
                    <w:rPr>
                      <w:rFonts w:hint="default" w:ascii="Times New Roman" w:hAnsi="Times New Roman" w:cs="Times New Roman"/>
                      <w:color w:val="000000" w:themeColor="text1"/>
                      <w:sz w:val="21"/>
                      <w:szCs w:val="21"/>
                      <w:highlight w:val="green"/>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0.16</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t</w:t>
                  </w:r>
                </w:p>
              </w:tc>
              <w:tc>
                <w:tcPr>
                  <w:tcW w:w="522" w:type="pct"/>
                  <w:noWrap w:val="0"/>
                  <w:vAlign w:val="center"/>
                </w:tcPr>
                <w:p w14:paraId="6E20616B">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钻井</w:t>
                  </w:r>
                </w:p>
              </w:tc>
              <w:tc>
                <w:tcPr>
                  <w:tcW w:w="283" w:type="pct"/>
                  <w:noWrap w:val="0"/>
                  <w:vAlign w:val="center"/>
                </w:tcPr>
                <w:p w14:paraId="52AD03D6">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液态</w:t>
                  </w:r>
                </w:p>
              </w:tc>
              <w:tc>
                <w:tcPr>
                  <w:tcW w:w="289" w:type="pct"/>
                  <w:noWrap w:val="0"/>
                  <w:vAlign w:val="center"/>
                </w:tcPr>
                <w:p w14:paraId="3CD713D1">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油</w:t>
                  </w:r>
                </w:p>
              </w:tc>
              <w:tc>
                <w:tcPr>
                  <w:tcW w:w="405" w:type="pct"/>
                  <w:noWrap w:val="0"/>
                  <w:vAlign w:val="center"/>
                </w:tcPr>
                <w:p w14:paraId="19D9B564">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探井期</w:t>
                  </w:r>
                </w:p>
              </w:tc>
              <w:tc>
                <w:tcPr>
                  <w:tcW w:w="260" w:type="pct"/>
                  <w:noWrap w:val="0"/>
                  <w:vAlign w:val="center"/>
                </w:tcPr>
                <w:p w14:paraId="06DBA149">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T,I</w:t>
                  </w:r>
                </w:p>
              </w:tc>
              <w:tc>
                <w:tcPr>
                  <w:tcW w:w="680" w:type="pct"/>
                  <w:vMerge w:val="restart"/>
                  <w:noWrap w:val="0"/>
                  <w:vAlign w:val="top"/>
                </w:tcPr>
                <w:p w14:paraId="58F1ECFB">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专用容器收集，待钻井结束后全部委托有资质单位拉运处置</w:t>
                  </w:r>
                </w:p>
              </w:tc>
            </w:tr>
            <w:tr w14:paraId="621B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55" w:type="pct"/>
                  <w:noWrap w:val="0"/>
                  <w:vAlign w:val="center"/>
                </w:tcPr>
                <w:p w14:paraId="5B97F0C4">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p>
              </w:tc>
              <w:tc>
                <w:tcPr>
                  <w:tcW w:w="639" w:type="pct"/>
                  <w:noWrap w:val="0"/>
                  <w:vAlign w:val="center"/>
                </w:tcPr>
                <w:p w14:paraId="4509F614">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含油废防渗布</w:t>
                  </w:r>
                </w:p>
              </w:tc>
              <w:tc>
                <w:tcPr>
                  <w:tcW w:w="528" w:type="pct"/>
                  <w:noWrap w:val="0"/>
                  <w:vAlign w:val="center"/>
                </w:tcPr>
                <w:p w14:paraId="03E3B4C3">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HW49</w:t>
                  </w:r>
                </w:p>
              </w:tc>
              <w:tc>
                <w:tcPr>
                  <w:tcW w:w="678" w:type="pct"/>
                  <w:noWrap w:val="0"/>
                  <w:vAlign w:val="center"/>
                </w:tcPr>
                <w:p w14:paraId="29B5E91D">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900-041-49</w:t>
                  </w:r>
                </w:p>
              </w:tc>
              <w:tc>
                <w:tcPr>
                  <w:tcW w:w="455" w:type="pct"/>
                  <w:noWrap w:val="0"/>
                  <w:vAlign w:val="center"/>
                </w:tcPr>
                <w:p w14:paraId="207F51EF">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44" w:leftChars="-20" w:right="-44" w:rightChars="-20" w:firstLine="0" w:firstLineChars="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0.02t</w:t>
                  </w:r>
                </w:p>
              </w:tc>
              <w:tc>
                <w:tcPr>
                  <w:tcW w:w="522" w:type="pct"/>
                  <w:noWrap w:val="0"/>
                  <w:vAlign w:val="center"/>
                </w:tcPr>
                <w:p w14:paraId="6E7B65B7">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钻井</w:t>
                  </w:r>
                </w:p>
              </w:tc>
              <w:tc>
                <w:tcPr>
                  <w:tcW w:w="283" w:type="pct"/>
                  <w:noWrap w:val="0"/>
                  <w:vAlign w:val="center"/>
                </w:tcPr>
                <w:p w14:paraId="3BFA8388">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固态</w:t>
                  </w:r>
                </w:p>
              </w:tc>
              <w:tc>
                <w:tcPr>
                  <w:tcW w:w="289" w:type="pct"/>
                  <w:noWrap w:val="0"/>
                  <w:vAlign w:val="center"/>
                </w:tcPr>
                <w:p w14:paraId="258D202D">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油</w:t>
                  </w:r>
                </w:p>
              </w:tc>
              <w:tc>
                <w:tcPr>
                  <w:tcW w:w="405" w:type="pct"/>
                  <w:noWrap w:val="0"/>
                  <w:vAlign w:val="center"/>
                </w:tcPr>
                <w:p w14:paraId="1CA0F6CC">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探井期</w:t>
                  </w:r>
                </w:p>
              </w:tc>
              <w:tc>
                <w:tcPr>
                  <w:tcW w:w="260" w:type="pct"/>
                  <w:noWrap w:val="0"/>
                  <w:vAlign w:val="center"/>
                </w:tcPr>
                <w:p w14:paraId="4A13B1D4">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T/In</w:t>
                  </w:r>
                </w:p>
              </w:tc>
              <w:tc>
                <w:tcPr>
                  <w:tcW w:w="680" w:type="pct"/>
                  <w:vMerge w:val="continue"/>
                  <w:noWrap w:val="0"/>
                  <w:vAlign w:val="top"/>
                </w:tcPr>
                <w:p w14:paraId="2C46CC33">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r>
          </w:tbl>
          <w:p w14:paraId="4E941FCA">
            <w:pPr>
              <w:keepNext w:val="0"/>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评价要求建设单位做好施工期固体废物管理工作，一般固体废物及危险废物均记录台账并妥善保管，台账包括废物名称、产生时间、产生量、储存位置、储存方式、转移时间、转移单位等信息，确保施工期各类固体废物全部得到妥善处置。</w:t>
            </w:r>
          </w:p>
          <w:p w14:paraId="5F8EC65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七</w:t>
            </w: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、土壤环境影响分析</w:t>
            </w:r>
          </w:p>
          <w:p w14:paraId="4483E4C4">
            <w:pPr>
              <w:pStyle w:val="2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钻前工程期间的开挖和填埋行为将会破坏土壤结构。对场地平整产生的剥离表层土，在井场的临时土石方堆存点集中临时堆放，完井后用于场地复垦用土。剥离表层土临时堆场地设置截排水沟等严格的水保措施防止水土流失。通井场地面采用碎石和混凝土敷设，有效保护占地原表层土壤。完井后，随着生态保护措施的进行，井场对土壤的影响将得到尽快恢复。项目对土壤环境的影响主要表现为对土壤性质、土壤肥力的影响以及土壤污染三个方面。</w:t>
            </w:r>
          </w:p>
          <w:p w14:paraId="5D206FA1">
            <w:pPr>
              <w:pStyle w:val="27"/>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（1）土壤性质影响</w:t>
            </w:r>
          </w:p>
          <w:p w14:paraId="29E38E84">
            <w:pPr>
              <w:pStyle w:val="2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钻井前会对井场进行场地的清理，土石方开挖、堆放、回填以及材料堆放、人工践踏、机械设备碾压等活动都将对土壤理化性质产生影响。</w:t>
            </w:r>
          </w:p>
          <w:p w14:paraId="5ED4650F">
            <w:pPr>
              <w:pStyle w:val="2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①扰乱土壤耕作层，破坏土壤耕层结构</w:t>
            </w:r>
          </w:p>
          <w:p w14:paraId="411C282E">
            <w:pPr>
              <w:pStyle w:val="2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地表开挖必定扰乱和破坏土壤耕作层，这种扰乱和破坏，除开挖处受到直接的破坏外，挖出土方的堆放将直接占压开挖处附近的土地，破坏土壤表层及其结构。由于表层的团粒结构是经过较长的历史时期形成的，一旦遭到破坏，短期内难以恢复。因此，施工过程中，对土壤表层的影响最为严重。</w:t>
            </w:r>
          </w:p>
          <w:p w14:paraId="5E3CC65E">
            <w:pPr>
              <w:pStyle w:val="2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②混合土壤层次，改变土体构型</w:t>
            </w:r>
          </w:p>
          <w:p w14:paraId="10BC88A6">
            <w:pPr>
              <w:pStyle w:val="2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壤在形成过程中，由于物质和能量长期垂直分异，形成质地、结构、性质和厚度差异明显的土壤剖面构型。项目的土石方的开挖与回填，使原土壤层次混合，原土体构型破坏。土体构型的破坏，将改变土体中物质和能量的运动变化规律，使表层通气透水性变差，使亚表层保水、保肥性能降低，造成对植物的生长、发育及其产量影响。</w:t>
            </w:r>
          </w:p>
          <w:p w14:paraId="1EE44854">
            <w:pPr>
              <w:pStyle w:val="2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③影响土壤紧实度</w:t>
            </w:r>
          </w:p>
          <w:p w14:paraId="3F69DD69">
            <w:pPr>
              <w:pStyle w:val="2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自然土壤在自重作用下，形成上松下紧的土壤紧实度垂直差异。施工过程中的机械碾压，尤其在坡度较大的地段，甚至进行掺灰固结，这种碾压或固结，将大大改变土壤的紧实程度，与原有的上松下紧结构相比，极不利于土壤的通气、透水作用，影响植被生长，甚至导致压实地表寸草不生，形成局部人工荒漠现象。</w:t>
            </w:r>
          </w:p>
          <w:p w14:paraId="0075D157">
            <w:pPr>
              <w:pStyle w:val="27"/>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（2）土壤肥力影响</w:t>
            </w:r>
          </w:p>
          <w:p w14:paraId="30231EE3">
            <w:pPr>
              <w:pStyle w:val="2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土壤中的有机质、氮、磷、钾等养分含量，均表现为表土层远高于心土层；在土壤肥力其它方面如紧实度、空隙性、适耕性、团粒结构含量等，也都表现为表土层优于心土层。施工期土石方的开挖与回填，将扰动甚至打乱原土体构型，使土壤养分、水分含量及肥力状况受到较大的影响，影响植被正常生长。因此在土石方开挖、回填过程中，必须严格对表层土实行分层堆放和分层回填。</w:t>
            </w:r>
          </w:p>
          <w:p w14:paraId="77A337D5">
            <w:pPr>
              <w:pStyle w:val="27"/>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（3）土壤污染影响</w:t>
            </w:r>
          </w:p>
          <w:p w14:paraId="1BC004A5">
            <w:pPr>
              <w:pStyle w:val="2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本项目为天然气勘探工程，不会导致场地土壤的盐化、碱化、酸化等，可能对土壤产生的影响主要为施工过程涉及的油类物质、钻井液、压裂液及其他原辅材料发生泄露通过地面漫流和垂直入渗的方式污染土壤。</w:t>
            </w:r>
          </w:p>
          <w:p w14:paraId="71D39E5A">
            <w:pPr>
              <w:pStyle w:val="2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为了减少本项目施工对土壤环境的影响，钻井工作区、泥浆不落地系统区、钻井液材料房、储罐区等采取重点防渗措施，地面底部利用机械将衬层压实，废液、固废储罐四周设置围堰，围堰内地面连同四周围堰整体铺设防渗材料（</w:t>
            </w:r>
            <w:r>
              <w:rPr>
                <w:rFonts w:hint="eastAsia" w:ascii="Times New Roman" w:hAnsi="Times New Roman" w:cs="Times New Roman"/>
                <w:color w:val="000000" w:themeColor="text1"/>
                <w:lang w:val="en-US" w:eastAsia="zh-CN"/>
                <w14:textFill>
                  <w14:solidFill>
                    <w14:schemeClr w14:val="tx1"/>
                  </w14:solidFill>
                </w14:textFill>
              </w:rPr>
              <w:t>双层</w:t>
            </w:r>
            <w:r>
              <w:rPr>
                <w:rFonts w:hint="default" w:ascii="Times New Roman" w:hAnsi="Times New Roman" w:cs="Times New Roman"/>
                <w:color w:val="000000" w:themeColor="text1"/>
                <w:lang w:val="en-US" w:eastAsia="zh-CN"/>
                <w14:textFill>
                  <w14:solidFill>
                    <w14:schemeClr w14:val="tx1"/>
                  </w14:solidFill>
                </w14:textFill>
              </w:rPr>
              <w:t>HDPE），等效黏土防渗层Mb≥6.0m，K≤1×10</w:t>
            </w:r>
            <w:r>
              <w:rPr>
                <w:rFonts w:hint="default" w:ascii="Times New Roman" w:hAnsi="Times New Roman" w:cs="Times New Roman"/>
                <w:color w:val="000000" w:themeColor="text1"/>
                <w:vertAlign w:val="superscript"/>
                <w:lang w:val="en-US" w:eastAsia="zh-CN"/>
                <w14:textFill>
                  <w14:solidFill>
                    <w14:schemeClr w14:val="tx1"/>
                  </w14:solidFill>
                </w14:textFill>
              </w:rPr>
              <w:t>-7</w:t>
            </w:r>
            <w:r>
              <w:rPr>
                <w:rFonts w:hint="default" w:ascii="Times New Roman" w:hAnsi="Times New Roman" w:cs="Times New Roman"/>
                <w:color w:val="000000" w:themeColor="text1"/>
                <w:lang w:val="en-US" w:eastAsia="zh-CN"/>
                <w14:textFill>
                  <w14:solidFill>
                    <w14:schemeClr w14:val="tx1"/>
                  </w14:solidFill>
                </w14:textFill>
              </w:rPr>
              <w:t>cm/s，HDPE膜敷设面积应适当扩大，覆盖围堰区外延1.0m范围；采用撬装式</w:t>
            </w:r>
            <w:r>
              <w:rPr>
                <w:rFonts w:hint="eastAsia" w:ascii="Times New Roman" w:hAnsi="Times New Roman" w:cs="Times New Roman"/>
                <w:color w:val="000000" w:themeColor="text1"/>
                <w:lang w:val="en-US" w:eastAsia="zh-CN"/>
                <w14:textFill>
                  <w14:solidFill>
                    <w14:schemeClr w14:val="tx1"/>
                  </w14:solidFill>
                </w14:textFill>
              </w:rPr>
              <w:t>危废贮存库</w:t>
            </w:r>
            <w:r>
              <w:rPr>
                <w:rFonts w:hint="default" w:ascii="Times New Roman" w:hAnsi="Times New Roman" w:cs="Times New Roman"/>
                <w:color w:val="000000" w:themeColor="text1"/>
                <w:lang w:val="en-US" w:eastAsia="zh-CN"/>
                <w14:textFill>
                  <w14:solidFill>
                    <w14:schemeClr w14:val="tx1"/>
                  </w14:solidFill>
                </w14:textFill>
              </w:rPr>
              <w:t>，渗透系数小于1×10</w:t>
            </w:r>
            <w:r>
              <w:rPr>
                <w:rFonts w:hint="default" w:ascii="Times New Roman" w:hAnsi="Times New Roman" w:cs="Times New Roman"/>
                <w:color w:val="000000" w:themeColor="text1"/>
                <w:vertAlign w:val="superscript"/>
                <w:lang w:val="en-US" w:eastAsia="zh-CN"/>
                <w14:textFill>
                  <w14:solidFill>
                    <w14:schemeClr w14:val="tx1"/>
                  </w14:solidFill>
                </w14:textFill>
              </w:rPr>
              <w:t>-10</w:t>
            </w:r>
            <w:r>
              <w:rPr>
                <w:rFonts w:hint="default" w:ascii="Times New Roman" w:hAnsi="Times New Roman" w:cs="Times New Roman"/>
                <w:color w:val="000000" w:themeColor="text1"/>
                <w:lang w:val="en-US" w:eastAsia="zh-CN"/>
                <w14:textFill>
                  <w14:solidFill>
                    <w14:schemeClr w14:val="tx1"/>
                  </w14:solidFill>
                </w14:textFill>
              </w:rPr>
              <w:t>cm/s。设置防渗防雨的应急罐，用于随钻不落地回收系统出现事故时，临时存放钻井泥浆和岩屑，避免钻井泥浆外泄。</w:t>
            </w:r>
          </w:p>
          <w:p w14:paraId="7EBA1C90">
            <w:pPr>
              <w:pStyle w:val="2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根据《陕西省煤炭石油天然气开发生态环境保护条例》（2019年9月27日修订）中“第三十一条 石油、天然气开发单位在生产过程中，有下列情形之一的，应当按照规定开展土壤污染状况调查、风险评估，实施风险管控和修复：（一）在钻井、压裂、固井、试井及开采过程中造成井场及周边土壤污染的；（二）关闭或者废弃油（气）井、油气站（场）等地面设施和工业固体废物集中处置设施的；（三）输油管线破裂或者原油泄露造成土壤污染的；（四）其他造成土壤污染情形的”的要求，本次评价提出如下要求：</w:t>
            </w:r>
          </w:p>
          <w:p w14:paraId="73104111">
            <w:pPr>
              <w:pStyle w:val="2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在钻井、压裂、固井、试井过程中造成探井场地及周边土壤污染的，以及出现其他造成土壤污染情形的，应立即按照规定开展土壤污染状况调查、风险评估，实施风险管控和修复。</w:t>
            </w:r>
          </w:p>
          <w:p w14:paraId="1C3399AC">
            <w:pPr>
              <w:pStyle w:val="2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综上，由于项目占地均为临时占地，占地规模小，施工期短，施工结束后即恢复原有土地利用类型，不改变原有土地性质，且对井场重点区域进行防渗处理，因此对土壤环境影响较小。</w:t>
            </w:r>
          </w:p>
          <w:p w14:paraId="05F62A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八</w:t>
            </w: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、环境风险影响分析</w:t>
            </w:r>
          </w:p>
          <w:p w14:paraId="5C153E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天然气勘探作业是多专业工种的野外作业，由于地下情况复杂，钻井作业隐藏着对环境的多种不安全因素，钻井作业可能出现的环境事故主要为洗井废水、压裂返排液泄漏以及井喷。</w:t>
            </w:r>
          </w:p>
          <w:p w14:paraId="25E4E5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（1）风险物质调查</w:t>
            </w:r>
          </w:p>
          <w:p w14:paraId="0AFEEB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本项目涉及到的物料主要有钻井过程地层中可能出现的天然气（CH</w:t>
            </w:r>
            <w:r>
              <w:rPr>
                <w:rFonts w:hint="default"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设备维修保养产生的废油、钻井液（及其主要添加剂纯碱、烧碱、乳化石蜡、重晶石粉等）、压裂返排液（及压裂液主要添加剂胍胶、氯化钾、氢氧化钠等）等，其中钻井液和压裂液的添加剂不属于危险物质，钻井液和压裂返排液主要成分为有机物类、无机盐类，均为无害物质，因此项目涉及的危险物质主要为钻井过程地层中可能出现的天然气（CH</w:t>
            </w:r>
            <w:r>
              <w:rPr>
                <w:rFonts w:hint="default"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）、设备维修保养产生的废机油，在输运及贮存过程中均存在一定危险有害性。</w:t>
            </w:r>
          </w:p>
          <w:p w14:paraId="3C14BB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（2）环境风险及环境影响途径识别</w:t>
            </w:r>
          </w:p>
          <w:p w14:paraId="42742B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勘探井开发过程环境风险事故中，影响范围较广的风险事故主要为井喷及井喷引起天然气（CH</w:t>
            </w:r>
            <w:r>
              <w:rPr>
                <w:rFonts w:hint="default"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）泄漏，可能影响环境的途径主要是井喷泄漏直接进入大气环境引发中毒，或天然气泄漏发生火灾爆炸事故时伴生污染物进入大气环境，通过大气扩散对项目周围环境造成危害，天然气（CH</w:t>
            </w:r>
            <w:r>
              <w:rPr>
                <w:rFonts w:hint="default"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）主要分布在钻井区域、天然气管道等处；废油主要分布在</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危废贮存库</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，可能影响环境的途径主要是油类物质泄露通过井场地面下渗至地下含水层并向下游迁移，对下游地下水环境造成污染事故，或油类泄漏发生火灾事故时伴生污染物进入大气环境，造成周围大气环境污染事故。</w:t>
            </w:r>
          </w:p>
          <w:p w14:paraId="467825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项目危险物质分布及环境影响途径见表4-</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11</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p>
          <w:p w14:paraId="5CD1C9B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11</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 xml:space="preserve">   项目环境风险及环境影响途径识别表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249"/>
              <w:gridCol w:w="1320"/>
              <w:gridCol w:w="1233"/>
              <w:gridCol w:w="1579"/>
              <w:gridCol w:w="1106"/>
              <w:gridCol w:w="1569"/>
            </w:tblGrid>
            <w:tr w14:paraId="57437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5" w:type="pct"/>
                  <w:vAlign w:val="center"/>
                </w:tcPr>
                <w:p w14:paraId="7022707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序号</w:t>
                  </w:r>
                </w:p>
              </w:tc>
              <w:tc>
                <w:tcPr>
                  <w:tcW w:w="715" w:type="pct"/>
                  <w:vAlign w:val="center"/>
                </w:tcPr>
                <w:p w14:paraId="66C1716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危险物质</w:t>
                  </w:r>
                </w:p>
              </w:tc>
              <w:tc>
                <w:tcPr>
                  <w:tcW w:w="756" w:type="pct"/>
                  <w:vAlign w:val="center"/>
                </w:tcPr>
                <w:p w14:paraId="4E3A38B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风险单元</w:t>
                  </w:r>
                </w:p>
              </w:tc>
              <w:tc>
                <w:tcPr>
                  <w:tcW w:w="706" w:type="pct"/>
                  <w:vAlign w:val="center"/>
                </w:tcPr>
                <w:p w14:paraId="6710047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作业特点</w:t>
                  </w:r>
                </w:p>
              </w:tc>
              <w:tc>
                <w:tcPr>
                  <w:tcW w:w="904" w:type="pct"/>
                  <w:vAlign w:val="center"/>
                </w:tcPr>
                <w:p w14:paraId="4727EBA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环境风险类型</w:t>
                  </w:r>
                </w:p>
              </w:tc>
              <w:tc>
                <w:tcPr>
                  <w:tcW w:w="633" w:type="pct"/>
                  <w:vAlign w:val="center"/>
                </w:tcPr>
                <w:p w14:paraId="513163A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环境影响途径</w:t>
                  </w:r>
                </w:p>
              </w:tc>
              <w:tc>
                <w:tcPr>
                  <w:tcW w:w="898" w:type="pct"/>
                  <w:vAlign w:val="center"/>
                </w:tcPr>
                <w:p w14:paraId="73E5EA9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可能受影响的环境敏感目标</w:t>
                  </w:r>
                </w:p>
              </w:tc>
            </w:tr>
            <w:tr w14:paraId="59176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14:paraId="0CB21A9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w:t>
                  </w:r>
                </w:p>
              </w:tc>
              <w:tc>
                <w:tcPr>
                  <w:tcW w:w="715" w:type="pct"/>
                  <w:vAlign w:val="center"/>
                </w:tcPr>
                <w:p w14:paraId="1852252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天然气（甲烷）</w:t>
                  </w:r>
                </w:p>
              </w:tc>
              <w:tc>
                <w:tcPr>
                  <w:tcW w:w="756" w:type="pct"/>
                  <w:vAlign w:val="center"/>
                </w:tcPr>
                <w:p w14:paraId="01E1435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钻井区域、天然气管道等处</w:t>
                  </w:r>
                </w:p>
              </w:tc>
              <w:tc>
                <w:tcPr>
                  <w:tcW w:w="706" w:type="pct"/>
                  <w:vAlign w:val="center"/>
                </w:tcPr>
                <w:p w14:paraId="7237D8A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常温、常压</w:t>
                  </w:r>
                </w:p>
              </w:tc>
              <w:tc>
                <w:tcPr>
                  <w:tcW w:w="904" w:type="pct"/>
                  <w:vAlign w:val="center"/>
                </w:tcPr>
                <w:p w14:paraId="34B8AE6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泄露、火灾、爆炸及次生污染物排放</w:t>
                  </w:r>
                </w:p>
              </w:tc>
              <w:tc>
                <w:tcPr>
                  <w:tcW w:w="633" w:type="pct"/>
                  <w:vAlign w:val="center"/>
                </w:tcPr>
                <w:p w14:paraId="394A538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大气扩散</w:t>
                  </w:r>
                </w:p>
              </w:tc>
              <w:tc>
                <w:tcPr>
                  <w:tcW w:w="898" w:type="pct"/>
                  <w:vAlign w:val="center"/>
                </w:tcPr>
                <w:p w14:paraId="69C2B8F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2CC4C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Merge w:val="restart"/>
                  <w:vAlign w:val="center"/>
                </w:tcPr>
                <w:p w14:paraId="7B4EC7D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w:t>
                  </w:r>
                </w:p>
              </w:tc>
              <w:tc>
                <w:tcPr>
                  <w:tcW w:w="715" w:type="pct"/>
                  <w:vMerge w:val="restart"/>
                  <w:vAlign w:val="center"/>
                </w:tcPr>
                <w:p w14:paraId="5109BFC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废机油</w:t>
                  </w:r>
                </w:p>
              </w:tc>
              <w:tc>
                <w:tcPr>
                  <w:tcW w:w="756" w:type="pct"/>
                  <w:vMerge w:val="restart"/>
                  <w:vAlign w:val="center"/>
                </w:tcPr>
                <w:p w14:paraId="5AD8A4E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危废贮存库</w:t>
                  </w:r>
                </w:p>
              </w:tc>
              <w:tc>
                <w:tcPr>
                  <w:tcW w:w="706" w:type="pct"/>
                  <w:vMerge w:val="restart"/>
                  <w:vAlign w:val="center"/>
                </w:tcPr>
                <w:p w14:paraId="229C3E5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常温、常压</w:t>
                  </w:r>
                </w:p>
              </w:tc>
              <w:tc>
                <w:tcPr>
                  <w:tcW w:w="904" w:type="pct"/>
                  <w:vMerge w:val="restart"/>
                  <w:vAlign w:val="center"/>
                </w:tcPr>
                <w:p w14:paraId="5FB4439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泄露、火灾、爆炸及次生污染物排放</w:t>
                  </w:r>
                </w:p>
              </w:tc>
              <w:tc>
                <w:tcPr>
                  <w:tcW w:w="633" w:type="pct"/>
                  <w:vAlign w:val="center"/>
                </w:tcPr>
                <w:p w14:paraId="733AAE3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大气扩散</w:t>
                  </w:r>
                </w:p>
              </w:tc>
              <w:tc>
                <w:tcPr>
                  <w:tcW w:w="898" w:type="pct"/>
                  <w:vAlign w:val="center"/>
                </w:tcPr>
                <w:p w14:paraId="6FA77A3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73B05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Merge w:val="continue"/>
                  <w:vAlign w:val="center"/>
                </w:tcPr>
                <w:p w14:paraId="035A15D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715" w:type="pct"/>
                  <w:vMerge w:val="continue"/>
                  <w:vAlign w:val="center"/>
                </w:tcPr>
                <w:p w14:paraId="6C415FE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756" w:type="pct"/>
                  <w:vMerge w:val="continue"/>
                  <w:vAlign w:val="center"/>
                </w:tcPr>
                <w:p w14:paraId="0954A96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706" w:type="pct"/>
                  <w:vMerge w:val="continue"/>
                  <w:vAlign w:val="center"/>
                </w:tcPr>
                <w:p w14:paraId="78ED29E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904" w:type="pct"/>
                  <w:vMerge w:val="continue"/>
                  <w:vAlign w:val="center"/>
                </w:tcPr>
                <w:p w14:paraId="36B8940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633" w:type="pct"/>
                  <w:vAlign w:val="center"/>
                </w:tcPr>
                <w:p w14:paraId="1788F96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地下水扩散</w:t>
                  </w:r>
                </w:p>
              </w:tc>
              <w:tc>
                <w:tcPr>
                  <w:tcW w:w="898" w:type="pct"/>
                  <w:vAlign w:val="center"/>
                </w:tcPr>
                <w:p w14:paraId="4A8DCB2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地下水</w:t>
                  </w:r>
                </w:p>
              </w:tc>
            </w:tr>
          </w:tbl>
          <w:p w14:paraId="3126629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4-</w:t>
            </w: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12</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 xml:space="preserve">   项目危险化学品储存状况一览表</w:t>
            </w:r>
          </w:p>
          <w:tbl>
            <w:tblPr>
              <w:tblStyle w:val="20"/>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4"/>
              <w:gridCol w:w="1881"/>
              <w:gridCol w:w="1297"/>
              <w:gridCol w:w="1373"/>
              <w:gridCol w:w="1082"/>
              <w:gridCol w:w="1365"/>
              <w:gridCol w:w="1220"/>
            </w:tblGrid>
            <w:tr w14:paraId="5243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noWrap w:val="0"/>
                  <w:vAlign w:val="center"/>
                </w:tcPr>
                <w:p w14:paraId="6B2DD745">
                  <w:pPr>
                    <w:pStyle w:val="31"/>
                    <w:adjustRightInd w:val="0"/>
                    <w:snapToGrid w:val="0"/>
                    <w:spacing w:line="320" w:lineRule="exact"/>
                    <w:ind w:firstLine="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1078" w:type="pct"/>
                  <w:noWrap w:val="0"/>
                  <w:vAlign w:val="center"/>
                </w:tcPr>
                <w:p w14:paraId="4785D800">
                  <w:pPr>
                    <w:pStyle w:val="31"/>
                    <w:adjustRightInd w:val="0"/>
                    <w:snapToGrid w:val="0"/>
                    <w:spacing w:line="320" w:lineRule="exact"/>
                    <w:ind w:firstLine="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危险物质名称</w:t>
                  </w:r>
                </w:p>
              </w:tc>
              <w:tc>
                <w:tcPr>
                  <w:tcW w:w="742" w:type="pct"/>
                  <w:noWrap w:val="0"/>
                  <w:vAlign w:val="center"/>
                </w:tcPr>
                <w:p w14:paraId="7707E133">
                  <w:pPr>
                    <w:pStyle w:val="31"/>
                    <w:adjustRightInd w:val="0"/>
                    <w:snapToGrid w:val="0"/>
                    <w:spacing w:line="320" w:lineRule="exact"/>
                    <w:ind w:firstLine="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CAS号</w:t>
                  </w:r>
                </w:p>
              </w:tc>
              <w:tc>
                <w:tcPr>
                  <w:tcW w:w="787" w:type="pct"/>
                  <w:noWrap w:val="0"/>
                  <w:vAlign w:val="center"/>
                </w:tcPr>
                <w:p w14:paraId="7E70909A">
                  <w:pPr>
                    <w:pStyle w:val="31"/>
                    <w:adjustRightInd w:val="0"/>
                    <w:snapToGrid w:val="0"/>
                    <w:spacing w:line="320" w:lineRule="exact"/>
                    <w:ind w:firstLine="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厂区最大储存量(t)</w:t>
                  </w:r>
                </w:p>
              </w:tc>
              <w:tc>
                <w:tcPr>
                  <w:tcW w:w="620" w:type="pct"/>
                  <w:noWrap w:val="0"/>
                  <w:vAlign w:val="center"/>
                </w:tcPr>
                <w:p w14:paraId="4A86A335">
                  <w:pPr>
                    <w:pStyle w:val="31"/>
                    <w:adjustRightInd w:val="0"/>
                    <w:snapToGrid w:val="0"/>
                    <w:spacing w:line="320" w:lineRule="exact"/>
                    <w:ind w:firstLine="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临界量（t）</w:t>
                  </w:r>
                </w:p>
              </w:tc>
              <w:tc>
                <w:tcPr>
                  <w:tcW w:w="781" w:type="pct"/>
                  <w:noWrap w:val="0"/>
                  <w:vAlign w:val="center"/>
                </w:tcPr>
                <w:p w14:paraId="3498C932">
                  <w:pPr>
                    <w:pStyle w:val="31"/>
                    <w:adjustRightInd w:val="0"/>
                    <w:snapToGrid w:val="0"/>
                    <w:spacing w:line="320" w:lineRule="exact"/>
                    <w:ind w:firstLine="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该物质Q值</w:t>
                  </w:r>
                </w:p>
              </w:tc>
              <w:tc>
                <w:tcPr>
                  <w:tcW w:w="699" w:type="pct"/>
                  <w:noWrap w:val="0"/>
                  <w:vAlign w:val="center"/>
                </w:tcPr>
                <w:p w14:paraId="3961290B">
                  <w:pPr>
                    <w:pStyle w:val="31"/>
                    <w:adjustRightInd w:val="0"/>
                    <w:snapToGrid w:val="0"/>
                    <w:spacing w:line="320" w:lineRule="exact"/>
                    <w:ind w:firstLine="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生产工艺特点</w:t>
                  </w:r>
                </w:p>
              </w:tc>
            </w:tr>
            <w:tr w14:paraId="78F0F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noWrap w:val="0"/>
                  <w:vAlign w:val="center"/>
                </w:tcPr>
                <w:p w14:paraId="5DA55136">
                  <w:pPr>
                    <w:pStyle w:val="31"/>
                    <w:adjustRightInd w:val="0"/>
                    <w:snapToGrid w:val="0"/>
                    <w:spacing w:line="320" w:lineRule="exact"/>
                    <w:ind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1078" w:type="pct"/>
                  <w:noWrap w:val="0"/>
                  <w:vAlign w:val="center"/>
                </w:tcPr>
                <w:p w14:paraId="3D058462">
                  <w:pPr>
                    <w:pStyle w:val="31"/>
                    <w:adjustRightInd w:val="0"/>
                    <w:snapToGrid w:val="0"/>
                    <w:spacing w:line="320" w:lineRule="exact"/>
                    <w:ind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废机油</w:t>
                  </w:r>
                </w:p>
              </w:tc>
              <w:tc>
                <w:tcPr>
                  <w:tcW w:w="742" w:type="pct"/>
                  <w:noWrap w:val="0"/>
                  <w:vAlign w:val="center"/>
                </w:tcPr>
                <w:p w14:paraId="120410D4">
                  <w:pPr>
                    <w:pStyle w:val="31"/>
                    <w:adjustRightInd w:val="0"/>
                    <w:snapToGrid w:val="0"/>
                    <w:spacing w:line="320" w:lineRule="exact"/>
                    <w:ind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787" w:type="pct"/>
                  <w:noWrap w:val="0"/>
                  <w:vAlign w:val="center"/>
                </w:tcPr>
                <w:p w14:paraId="66FE4D69">
                  <w:pPr>
                    <w:pStyle w:val="31"/>
                    <w:adjustRightInd w:val="0"/>
                    <w:snapToGrid w:val="0"/>
                    <w:spacing w:line="320" w:lineRule="exac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0.04</w:t>
                  </w:r>
                </w:p>
              </w:tc>
              <w:tc>
                <w:tcPr>
                  <w:tcW w:w="620" w:type="pct"/>
                  <w:noWrap w:val="0"/>
                  <w:vAlign w:val="center"/>
                </w:tcPr>
                <w:p w14:paraId="19C36D30">
                  <w:pPr>
                    <w:pStyle w:val="31"/>
                    <w:adjustRightInd w:val="0"/>
                    <w:snapToGrid w:val="0"/>
                    <w:spacing w:line="320" w:lineRule="exac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781" w:type="pct"/>
                  <w:noWrap w:val="0"/>
                  <w:vAlign w:val="center"/>
                </w:tcPr>
                <w:p w14:paraId="2F4EE867">
                  <w:pPr>
                    <w:pStyle w:val="31"/>
                    <w:adjustRightInd w:val="0"/>
                    <w:snapToGrid w:val="0"/>
                    <w:spacing w:line="320" w:lineRule="exac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0.0008</w:t>
                  </w:r>
                </w:p>
              </w:tc>
              <w:tc>
                <w:tcPr>
                  <w:tcW w:w="699" w:type="pct"/>
                  <w:noWrap w:val="0"/>
                  <w:vAlign w:val="center"/>
                </w:tcPr>
                <w:p w14:paraId="4241FCAC">
                  <w:pPr>
                    <w:pStyle w:val="31"/>
                    <w:adjustRightInd w:val="0"/>
                    <w:snapToGrid w:val="0"/>
                    <w:spacing w:line="320" w:lineRule="exact"/>
                    <w:ind w:firstLine="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常温常压</w:t>
                  </w:r>
                </w:p>
              </w:tc>
            </w:tr>
            <w:tr w14:paraId="1E17C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pct"/>
                  <w:gridSpan w:val="3"/>
                  <w:noWrap w:val="0"/>
                  <w:vAlign w:val="center"/>
                </w:tcPr>
                <w:p w14:paraId="64FC05F0">
                  <w:pPr>
                    <w:pStyle w:val="31"/>
                    <w:adjustRightInd w:val="0"/>
                    <w:snapToGrid w:val="0"/>
                    <w:spacing w:line="320" w:lineRule="exact"/>
                    <w:ind w:firstLine="0" w:firstLineChars="0"/>
                    <w:jc w:val="center"/>
                    <w:rPr>
                      <w:color w:val="000000" w:themeColor="text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合计</w:t>
                  </w:r>
                </w:p>
              </w:tc>
              <w:tc>
                <w:tcPr>
                  <w:tcW w:w="2189" w:type="pct"/>
                  <w:gridSpan w:val="3"/>
                  <w:noWrap w:val="0"/>
                  <w:vAlign w:val="center"/>
                </w:tcPr>
                <w:p w14:paraId="28C28DC2">
                  <w:pPr>
                    <w:pStyle w:val="31"/>
                    <w:adjustRightInd w:val="0"/>
                    <w:snapToGrid w:val="0"/>
                    <w:spacing w:line="320" w:lineRule="exac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0.0008</w:t>
                  </w:r>
                </w:p>
              </w:tc>
              <w:tc>
                <w:tcPr>
                  <w:tcW w:w="699" w:type="pct"/>
                  <w:noWrap w:val="0"/>
                  <w:vAlign w:val="center"/>
                </w:tcPr>
                <w:p w14:paraId="6ADF595E">
                  <w:pPr>
                    <w:pStyle w:val="31"/>
                    <w:adjustRightInd w:val="0"/>
                    <w:snapToGrid w:val="0"/>
                    <w:spacing w:line="320" w:lineRule="exact"/>
                    <w:ind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bl>
          <w:p w14:paraId="1A0172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由表4-</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11</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可知，项目</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单井</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Q=</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0.0008</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&lt;1，环境风险较小。</w:t>
            </w:r>
          </w:p>
          <w:p w14:paraId="6F61AA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各危险物质理化性质见下表：</w:t>
            </w:r>
          </w:p>
          <w:p w14:paraId="09986B10">
            <w:pPr>
              <w:pStyle w:val="27"/>
              <w:bidi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①天然气</w:t>
            </w:r>
          </w:p>
          <w:p w14:paraId="66D01D8C">
            <w:pPr>
              <w:pStyle w:val="6"/>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表</w:t>
            </w:r>
            <w:r>
              <w:rPr>
                <w:rFonts w:hint="default" w:ascii="Times New Roman" w:hAnsi="Times New Roman" w:cs="Times New Roman"/>
                <w:color w:val="000000" w:themeColor="text1"/>
                <w:sz w:val="21"/>
                <w:szCs w:val="21"/>
                <w:lang w:val="en-US" w:eastAsia="zh-CN"/>
                <w14:textFill>
                  <w14:solidFill>
                    <w14:schemeClr w14:val="tx1"/>
                  </w14:solidFill>
                </w14:textFill>
              </w:rPr>
              <w:t>4-</w:t>
            </w:r>
            <w:r>
              <w:rPr>
                <w:rFonts w:hint="eastAsia" w:ascii="Times New Roman" w:hAnsi="Times New Roman" w:cs="Times New Roman"/>
                <w:color w:val="000000" w:themeColor="text1"/>
                <w:sz w:val="21"/>
                <w:szCs w:val="21"/>
                <w:lang w:val="en-US" w:eastAsia="zh-CN"/>
                <w14:textFill>
                  <w14:solidFill>
                    <w14:schemeClr w14:val="tx1"/>
                  </w14:solidFill>
                </w14:textFill>
              </w:rPr>
              <w:t>13</w:t>
            </w:r>
            <w:r>
              <w:rPr>
                <w:rFonts w:hint="default" w:ascii="Times New Roman" w:hAnsi="Times New Roman" w:cs="Times New Roman"/>
                <w:color w:val="000000" w:themeColor="text1"/>
                <w:sz w:val="21"/>
                <w:szCs w:val="21"/>
                <w:lang w:eastAsia="zh-CN"/>
                <w14:textFill>
                  <w14:solidFill>
                    <w14:schemeClr w14:val="tx1"/>
                  </w14:solidFill>
                </w14:textFill>
              </w:rPr>
              <w:t xml:space="preserve">  </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天然气</w:t>
            </w:r>
            <w:r>
              <w:rPr>
                <w:rFonts w:hint="default" w:ascii="Times New Roman" w:hAnsi="Times New Roman" w:cs="Times New Roman"/>
                <w:color w:val="000000" w:themeColor="text1"/>
                <w:sz w:val="21"/>
                <w:szCs w:val="21"/>
                <w:lang w:eastAsia="zh-CN"/>
                <w14:textFill>
                  <w14:solidFill>
                    <w14:schemeClr w14:val="tx1"/>
                  </w14:solidFill>
                </w14:textFill>
              </w:rPr>
              <w:t>理化特性及危险性一览表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94"/>
              <w:gridCol w:w="1603"/>
              <w:gridCol w:w="2250"/>
              <w:gridCol w:w="2202"/>
              <w:gridCol w:w="1982"/>
            </w:tblGrid>
            <w:tr w14:paraId="6197F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restart"/>
                  <w:vAlign w:val="center"/>
                </w:tcPr>
                <w:p w14:paraId="42733011">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标识</w:t>
                  </w:r>
                </w:p>
              </w:tc>
              <w:tc>
                <w:tcPr>
                  <w:tcW w:w="1485" w:type="dxa"/>
                  <w:vAlign w:val="center"/>
                </w:tcPr>
                <w:p w14:paraId="772455D0">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中文名</w:t>
                  </w:r>
                </w:p>
              </w:tc>
              <w:tc>
                <w:tcPr>
                  <w:tcW w:w="2085" w:type="dxa"/>
                  <w:vAlign w:val="center"/>
                </w:tcPr>
                <w:p w14:paraId="297E5DF6">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天然气</w:t>
                  </w:r>
                </w:p>
              </w:tc>
              <w:tc>
                <w:tcPr>
                  <w:tcW w:w="2040" w:type="dxa"/>
                  <w:vAlign w:val="center"/>
                </w:tcPr>
                <w:p w14:paraId="183642F5">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英文名</w:t>
                  </w:r>
                </w:p>
              </w:tc>
              <w:tc>
                <w:tcPr>
                  <w:tcW w:w="1836" w:type="dxa"/>
                  <w:vAlign w:val="center"/>
                </w:tcPr>
                <w:p w14:paraId="02F8FC9D">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Marsh gas</w:t>
                  </w:r>
                </w:p>
              </w:tc>
            </w:tr>
            <w:tr w14:paraId="75E3D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126309F7">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485" w:type="dxa"/>
                  <w:vAlign w:val="center"/>
                </w:tcPr>
                <w:p w14:paraId="71AC8769">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分子式</w:t>
                  </w:r>
                </w:p>
              </w:tc>
              <w:tc>
                <w:tcPr>
                  <w:tcW w:w="2085" w:type="dxa"/>
                  <w:vAlign w:val="center"/>
                </w:tcPr>
                <w:p w14:paraId="5A87D6B2">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CH</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4</w:t>
                  </w:r>
                </w:p>
              </w:tc>
              <w:tc>
                <w:tcPr>
                  <w:tcW w:w="2040" w:type="dxa"/>
                  <w:vAlign w:val="center"/>
                </w:tcPr>
                <w:p w14:paraId="7EC5C080">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CAS号</w:t>
                  </w:r>
                </w:p>
              </w:tc>
              <w:tc>
                <w:tcPr>
                  <w:tcW w:w="1836" w:type="dxa"/>
                  <w:vAlign w:val="center"/>
                </w:tcPr>
                <w:p w14:paraId="1A921601">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74-82-8</w:t>
                  </w:r>
                </w:p>
              </w:tc>
            </w:tr>
            <w:tr w14:paraId="03DC6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restart"/>
                  <w:vAlign w:val="center"/>
                </w:tcPr>
                <w:p w14:paraId="70D6F878">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理化特性</w:t>
                  </w:r>
                </w:p>
              </w:tc>
              <w:tc>
                <w:tcPr>
                  <w:tcW w:w="1485" w:type="dxa"/>
                  <w:vAlign w:val="center"/>
                </w:tcPr>
                <w:p w14:paraId="1177CDEA">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沸点（℃）</w:t>
                  </w:r>
                </w:p>
              </w:tc>
              <w:tc>
                <w:tcPr>
                  <w:tcW w:w="2085" w:type="dxa"/>
                  <w:vAlign w:val="center"/>
                </w:tcPr>
                <w:p w14:paraId="6C8D1146">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-182.5</w:t>
                  </w:r>
                </w:p>
              </w:tc>
              <w:tc>
                <w:tcPr>
                  <w:tcW w:w="2040" w:type="dxa"/>
                  <w:vAlign w:val="center"/>
                </w:tcPr>
                <w:p w14:paraId="45045D02">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相对密度（空气=1）</w:t>
                  </w:r>
                </w:p>
              </w:tc>
              <w:tc>
                <w:tcPr>
                  <w:tcW w:w="1836" w:type="dxa"/>
                  <w:vAlign w:val="center"/>
                </w:tcPr>
                <w:p w14:paraId="24F4BAE0">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0.55</w:t>
                  </w:r>
                </w:p>
              </w:tc>
            </w:tr>
            <w:tr w14:paraId="1DCEF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1BD1DD3E">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485" w:type="dxa"/>
                  <w:vAlign w:val="center"/>
                </w:tcPr>
                <w:p w14:paraId="36F5EF58">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性状</w:t>
                  </w:r>
                </w:p>
              </w:tc>
              <w:tc>
                <w:tcPr>
                  <w:tcW w:w="5961" w:type="dxa"/>
                  <w:gridSpan w:val="3"/>
                  <w:vAlign w:val="center"/>
                </w:tcPr>
                <w:p w14:paraId="5C191F72">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无色或无臭气体（天然气中已加入识别臭味）。</w:t>
                  </w:r>
                </w:p>
              </w:tc>
            </w:tr>
            <w:tr w14:paraId="43CE8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235A9037">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485" w:type="dxa"/>
                  <w:vAlign w:val="center"/>
                </w:tcPr>
                <w:p w14:paraId="71C93A00">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溶解性</w:t>
                  </w:r>
                </w:p>
              </w:tc>
              <w:tc>
                <w:tcPr>
                  <w:tcW w:w="5961" w:type="dxa"/>
                  <w:gridSpan w:val="3"/>
                  <w:vAlign w:val="center"/>
                </w:tcPr>
                <w:p w14:paraId="22AE919D">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微溶于水，溶于醇、乙醚。</w:t>
                  </w:r>
                </w:p>
              </w:tc>
            </w:tr>
            <w:tr w14:paraId="468E7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restart"/>
                  <w:vAlign w:val="center"/>
                </w:tcPr>
                <w:p w14:paraId="57D64AE9">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燃爆特性</w:t>
                  </w:r>
                </w:p>
              </w:tc>
              <w:tc>
                <w:tcPr>
                  <w:tcW w:w="1485" w:type="dxa"/>
                  <w:vAlign w:val="center"/>
                </w:tcPr>
                <w:p w14:paraId="25B72C3C">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闪点（℃）</w:t>
                  </w:r>
                </w:p>
              </w:tc>
              <w:tc>
                <w:tcPr>
                  <w:tcW w:w="2085" w:type="dxa"/>
                  <w:vAlign w:val="center"/>
                </w:tcPr>
                <w:p w14:paraId="7B61B198">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-188</w:t>
                  </w:r>
                </w:p>
              </w:tc>
              <w:tc>
                <w:tcPr>
                  <w:tcW w:w="2040" w:type="dxa"/>
                  <w:vAlign w:val="center"/>
                </w:tcPr>
                <w:p w14:paraId="5488A540">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爆炸极限（%）</w:t>
                  </w:r>
                </w:p>
              </w:tc>
              <w:tc>
                <w:tcPr>
                  <w:tcW w:w="1836" w:type="dxa"/>
                  <w:vAlign w:val="center"/>
                </w:tcPr>
                <w:p w14:paraId="64E7B34A">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5.3～15</w:t>
                  </w:r>
                </w:p>
              </w:tc>
            </w:tr>
            <w:tr w14:paraId="4CD01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5725F6AD">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485" w:type="dxa"/>
                  <w:vAlign w:val="center"/>
                </w:tcPr>
                <w:p w14:paraId="2EBD1DAA">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引燃温度（℃）</w:t>
                  </w:r>
                </w:p>
              </w:tc>
              <w:tc>
                <w:tcPr>
                  <w:tcW w:w="2085" w:type="dxa"/>
                  <w:vAlign w:val="center"/>
                </w:tcPr>
                <w:p w14:paraId="4DCE73A2">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538</w:t>
                  </w:r>
                </w:p>
              </w:tc>
              <w:tc>
                <w:tcPr>
                  <w:tcW w:w="2040" w:type="dxa"/>
                  <w:vAlign w:val="center"/>
                </w:tcPr>
                <w:p w14:paraId="6B3CE0C6">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稳定性</w:t>
                  </w:r>
                </w:p>
              </w:tc>
              <w:tc>
                <w:tcPr>
                  <w:tcW w:w="1836" w:type="dxa"/>
                  <w:vAlign w:val="center"/>
                </w:tcPr>
                <w:p w14:paraId="7DE5A839">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稳定</w:t>
                  </w:r>
                </w:p>
              </w:tc>
            </w:tr>
            <w:tr w14:paraId="1C033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4E24F0B3">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485" w:type="dxa"/>
                  <w:vAlign w:val="center"/>
                </w:tcPr>
                <w:p w14:paraId="20A3A85D">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火灾危险类别</w:t>
                  </w:r>
                </w:p>
              </w:tc>
              <w:tc>
                <w:tcPr>
                  <w:tcW w:w="2085" w:type="dxa"/>
                  <w:vAlign w:val="center"/>
                </w:tcPr>
                <w:p w14:paraId="772EDF99">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第2.1类，易燃气体</w:t>
                  </w:r>
                </w:p>
              </w:tc>
              <w:tc>
                <w:tcPr>
                  <w:tcW w:w="2040" w:type="dxa"/>
                  <w:vAlign w:val="center"/>
                </w:tcPr>
                <w:p w14:paraId="2F99E2F9">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爆炸危险组别类别</w:t>
                  </w:r>
                </w:p>
              </w:tc>
              <w:tc>
                <w:tcPr>
                  <w:tcW w:w="1836" w:type="dxa"/>
                  <w:vAlign w:val="center"/>
                </w:tcPr>
                <w:p w14:paraId="15E1D7F6">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T3/ⅡΑ</w:t>
                  </w:r>
                </w:p>
              </w:tc>
            </w:tr>
            <w:tr w14:paraId="2A97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68B2F680">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485" w:type="dxa"/>
                  <w:vAlign w:val="center"/>
                </w:tcPr>
                <w:p w14:paraId="668C34A0">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危险特性</w:t>
                  </w:r>
                </w:p>
              </w:tc>
              <w:tc>
                <w:tcPr>
                  <w:tcW w:w="5961" w:type="dxa"/>
                  <w:gridSpan w:val="3"/>
                  <w:vAlign w:val="center"/>
                </w:tcPr>
                <w:p w14:paraId="5CC80F74">
                  <w:pPr>
                    <w:pStyle w:val="28"/>
                    <w:bidi w:val="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易燃，与与空气混合能形成爆炸性混合物，遇热源和明火易引起燃烧爆炸，与五氧化溴、氯气、次氯酸、三氟化氮、液氧、二氟化氮及其它强氧化剂接触能发生剧烈反应。</w:t>
                  </w:r>
                </w:p>
                <w:p w14:paraId="51EEE0F3">
                  <w:pPr>
                    <w:pStyle w:val="28"/>
                    <w:bidi w:val="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燃烧（分解）产物：一氧化碳、二氧化碳。</w:t>
                  </w:r>
                </w:p>
                <w:p w14:paraId="565FEBEC">
                  <w:pPr>
                    <w:pStyle w:val="28"/>
                    <w:bidi w:val="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天然气除了有上述危险特性外，还具有下列特性：天然气中含有少量的硫化氢，长期吸入，对人的神经系统有毒害；在高压、高温、有水的情况下，对金属可产生硫化氢应力开裂。</w:t>
                  </w:r>
                </w:p>
              </w:tc>
            </w:tr>
            <w:tr w14:paraId="29BC2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1C4E1464">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485" w:type="dxa"/>
                  <w:vAlign w:val="center"/>
                </w:tcPr>
                <w:p w14:paraId="0F6FBC76">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灭火剂</w:t>
                  </w:r>
                </w:p>
              </w:tc>
              <w:tc>
                <w:tcPr>
                  <w:tcW w:w="5961" w:type="dxa"/>
                  <w:gridSpan w:val="3"/>
                  <w:vAlign w:val="center"/>
                </w:tcPr>
                <w:p w14:paraId="4CB3C53B">
                  <w:pPr>
                    <w:pStyle w:val="28"/>
                    <w:bidi w:val="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泡沫、干粉、CO</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、雾状水。</w:t>
                  </w:r>
                </w:p>
              </w:tc>
            </w:tr>
            <w:tr w14:paraId="6E18E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Align w:val="center"/>
                </w:tcPr>
                <w:p w14:paraId="010F87FE">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对人体危害</w:t>
                  </w:r>
                </w:p>
              </w:tc>
              <w:tc>
                <w:tcPr>
                  <w:tcW w:w="7446" w:type="dxa"/>
                  <w:gridSpan w:val="4"/>
                  <w:vAlign w:val="center"/>
                </w:tcPr>
                <w:p w14:paraId="106E79A9">
                  <w:pPr>
                    <w:pStyle w:val="28"/>
                    <w:bidi w:val="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侵入途径：吸入。</w:t>
                  </w:r>
                </w:p>
                <w:p w14:paraId="61CFF7FE">
                  <w:pPr>
                    <w:pStyle w:val="28"/>
                    <w:bidi w:val="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健康危害：甲烷对人基本无毒，但浓度过高时，使空气中氧含量明显降低，使人窒息。当空气中甲烷达25%～30%时，可引起头痛、头晕、乏力、注意力不集中、呼吸和心跳加速、共济失调。若不及时脱离，可致窒息死亡。皮肤接触液化本品，可致冻伤。</w:t>
                  </w:r>
                </w:p>
              </w:tc>
            </w:tr>
            <w:tr w14:paraId="18FB9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Align w:val="center"/>
                </w:tcPr>
                <w:p w14:paraId="66B7111D">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急救</w:t>
                  </w:r>
                </w:p>
              </w:tc>
              <w:tc>
                <w:tcPr>
                  <w:tcW w:w="7446" w:type="dxa"/>
                  <w:gridSpan w:val="4"/>
                  <w:vAlign w:val="center"/>
                </w:tcPr>
                <w:p w14:paraId="43F259D2">
                  <w:pPr>
                    <w:pStyle w:val="28"/>
                    <w:bidi w:val="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皮肤冻伤：若有冻伤，就医治疗。</w:t>
                  </w:r>
                </w:p>
                <w:p w14:paraId="13D6A721">
                  <w:pPr>
                    <w:pStyle w:val="28"/>
                    <w:bidi w:val="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吸入：迅速脱离现场至空气新鲜处，保持呼吸道通畅。如呼吸困难，给输氧。如呼吸停止，立即进行人工呼吸。就医。</w:t>
                  </w:r>
                </w:p>
              </w:tc>
            </w:tr>
            <w:tr w14:paraId="0C306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Align w:val="center"/>
                </w:tcPr>
                <w:p w14:paraId="1D3810DA">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防护</w:t>
                  </w:r>
                </w:p>
              </w:tc>
              <w:tc>
                <w:tcPr>
                  <w:tcW w:w="7446" w:type="dxa"/>
                  <w:gridSpan w:val="4"/>
                  <w:vAlign w:val="center"/>
                </w:tcPr>
                <w:p w14:paraId="462225CD">
                  <w:pPr>
                    <w:pStyle w:val="28"/>
                    <w:bidi w:val="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工程防护：生产过程密闭，全面通风。</w:t>
                  </w:r>
                </w:p>
                <w:p w14:paraId="5F960F54">
                  <w:pPr>
                    <w:pStyle w:val="28"/>
                    <w:bidi w:val="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个人防护：一般不需要特殊防护，但建议特殊情况下，佩戴自吸过滤式防毒面具（半面罩）。眼睛防护一般不需要特殊防护，高浓度接触时可戴安全防护眼镜，穿防静电工作服。戴一般作业防护手套。工作现场严禁吸烟。避免长期反复接触，进入罐、限制性空间或其它高浓度区作业，须有人监护。</w:t>
                  </w:r>
                </w:p>
              </w:tc>
            </w:tr>
            <w:tr w14:paraId="4C68F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Align w:val="center"/>
                </w:tcPr>
                <w:p w14:paraId="01422ED1">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泄漏处理</w:t>
                  </w:r>
                </w:p>
              </w:tc>
              <w:tc>
                <w:tcPr>
                  <w:tcW w:w="7446" w:type="dxa"/>
                  <w:gridSpan w:val="4"/>
                  <w:vAlign w:val="center"/>
                </w:tcPr>
                <w:p w14:paraId="7CB1C563">
                  <w:pPr>
                    <w:pStyle w:val="28"/>
                    <w:bidi w:val="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迅速撤离泄漏污染区人员至上风处，并进行隔离，严格限制出入。切断火源。建议应急处理人员戴自给正压式呼吸器，穿消防防护服。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w:t>
                  </w:r>
                </w:p>
              </w:tc>
            </w:tr>
            <w:tr w14:paraId="019C1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Align w:val="center"/>
                </w:tcPr>
                <w:p w14:paraId="0098E65C">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贮运</w:t>
                  </w:r>
                </w:p>
              </w:tc>
              <w:tc>
                <w:tcPr>
                  <w:tcW w:w="7446" w:type="dxa"/>
                  <w:gridSpan w:val="4"/>
                  <w:vAlign w:val="center"/>
                </w:tcPr>
                <w:p w14:paraId="74A6DBB0">
                  <w:pPr>
                    <w:pStyle w:val="28"/>
                    <w:bidi w:val="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储运条件：易燃压缩气体。储存于阴凉、通风仓间内。仓温不宜超过30℃。远离火种、热源。防止阳光直射。应与氧气、压缩空气、卤素（氟、氯、溴）等分开存放。切忌混储混运。储存间的照明、通风等设施应采用防爆型，开关设在仓外。配备相应品种和数量的消防器材。罐储时要有防火防爆技术措施。露天贮罐夏季要有降温措施。禁止使用易产生火花的机械设备和工具。验收时要注意品名，注意验瓶日期，先进仓的先发用。搬运时轻装轻卸，防止钢瓶及附件破损。</w:t>
                  </w:r>
                </w:p>
              </w:tc>
            </w:tr>
          </w:tbl>
          <w:p w14:paraId="017A69A0">
            <w:pPr>
              <w:pStyle w:val="27"/>
              <w:keepNext w:val="0"/>
              <w:keepLines w:val="0"/>
              <w:pageBreakBefore w:val="0"/>
              <w:widowControl w:val="0"/>
              <w:kinsoku/>
              <w:wordWrap/>
              <w:overflowPunct/>
              <w:topLinePunct w:val="0"/>
              <w:autoSpaceDE/>
              <w:autoSpaceDN/>
              <w:bidi w:val="0"/>
              <w:adjustRightInd w:val="0"/>
              <w:snapToGrid w:val="0"/>
              <w:spacing w:before="79" w:beforeLines="25"/>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②</w:t>
            </w:r>
            <w:r>
              <w:rPr>
                <w:rFonts w:hint="default" w:ascii="Times New Roman" w:hAnsi="Times New Roman" w:cs="Times New Roman"/>
                <w:color w:val="000000" w:themeColor="text1"/>
                <w:sz w:val="24"/>
                <w:szCs w:val="24"/>
                <w:lang w:val="en-US" w:eastAsia="zh-CN"/>
                <w14:textFill>
                  <w14:solidFill>
                    <w14:schemeClr w14:val="tx1"/>
                  </w14:solidFill>
                </w14:textFill>
              </w:rPr>
              <w:t>机油</w:t>
            </w:r>
          </w:p>
          <w:p w14:paraId="4A700120">
            <w:pPr>
              <w:pStyle w:val="6"/>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表</w:t>
            </w:r>
            <w:r>
              <w:rPr>
                <w:rFonts w:hint="default" w:ascii="Times New Roman" w:hAnsi="Times New Roman" w:cs="Times New Roman"/>
                <w:color w:val="000000" w:themeColor="text1"/>
                <w:sz w:val="21"/>
                <w:szCs w:val="21"/>
                <w:lang w:val="en-US" w:eastAsia="zh-CN"/>
                <w14:textFill>
                  <w14:solidFill>
                    <w14:schemeClr w14:val="tx1"/>
                  </w14:solidFill>
                </w14:textFill>
              </w:rPr>
              <w:t>4-1</w:t>
            </w:r>
            <w:r>
              <w:rPr>
                <w:rFonts w:hint="eastAsia" w:ascii="Times New Roman" w:hAnsi="Times New Roman" w:cs="Times New Roman"/>
                <w:color w:val="000000" w:themeColor="text1"/>
                <w:sz w:val="21"/>
                <w:szCs w:val="21"/>
                <w:lang w:val="en-US" w:eastAsia="zh-CN"/>
                <w14:textFill>
                  <w14:solidFill>
                    <w14:schemeClr w14:val="tx1"/>
                  </w14:solidFill>
                </w14:textFill>
              </w:rPr>
              <w:t>4</w:t>
            </w:r>
            <w:r>
              <w:rPr>
                <w:rFonts w:hint="default" w:ascii="Times New Roman" w:hAnsi="Times New Roman" w:cs="Times New Roman"/>
                <w:color w:val="000000" w:themeColor="text1"/>
                <w:sz w:val="21"/>
                <w:szCs w:val="21"/>
                <w:lang w:eastAsia="zh-CN"/>
                <w14:textFill>
                  <w14:solidFill>
                    <w14:schemeClr w14:val="tx1"/>
                  </w14:solidFill>
                </w14:textFill>
              </w:rPr>
              <w:t xml:space="preserve"> </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lang w:eastAsia="zh-CN"/>
                <w14:textFill>
                  <w14:solidFill>
                    <w14:schemeClr w14:val="tx1"/>
                  </w14:solidFill>
                </w14:textFill>
              </w:rPr>
              <w:t>机油理化特性及危险性一览表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71"/>
              <w:gridCol w:w="1726"/>
              <w:gridCol w:w="1609"/>
              <w:gridCol w:w="2234"/>
              <w:gridCol w:w="2591"/>
            </w:tblGrid>
            <w:tr w14:paraId="1922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restart"/>
                  <w:vAlign w:val="center"/>
                </w:tcPr>
                <w:p w14:paraId="57BC6054">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标识</w:t>
                  </w:r>
                </w:p>
              </w:tc>
              <w:tc>
                <w:tcPr>
                  <w:tcW w:w="1599" w:type="dxa"/>
                  <w:vAlign w:val="center"/>
                </w:tcPr>
                <w:p w14:paraId="4241B032">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中文名</w:t>
                  </w:r>
                </w:p>
              </w:tc>
              <w:tc>
                <w:tcPr>
                  <w:tcW w:w="1491" w:type="dxa"/>
                  <w:vAlign w:val="center"/>
                </w:tcPr>
                <w:p w14:paraId="41FD0E20">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机油</w:t>
                  </w:r>
                </w:p>
              </w:tc>
              <w:tc>
                <w:tcPr>
                  <w:tcW w:w="2070" w:type="dxa"/>
                  <w:vAlign w:val="center"/>
                </w:tcPr>
                <w:p w14:paraId="21D497D1">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英文名</w:t>
                  </w:r>
                </w:p>
              </w:tc>
              <w:tc>
                <w:tcPr>
                  <w:tcW w:w="2400" w:type="dxa"/>
                  <w:vAlign w:val="center"/>
                </w:tcPr>
                <w:p w14:paraId="079F64DF">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lubricating oil；Lube oil</w:t>
                  </w:r>
                </w:p>
              </w:tc>
            </w:tr>
            <w:tr w14:paraId="1AB81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continue"/>
                  <w:vAlign w:val="center"/>
                </w:tcPr>
                <w:p w14:paraId="111209CD">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599" w:type="dxa"/>
                  <w:vAlign w:val="center"/>
                </w:tcPr>
                <w:p w14:paraId="260A281D">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分子式</w:t>
                  </w:r>
                </w:p>
              </w:tc>
              <w:tc>
                <w:tcPr>
                  <w:tcW w:w="1491" w:type="dxa"/>
                  <w:vAlign w:val="center"/>
                </w:tcPr>
                <w:p w14:paraId="7AE39385">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2070" w:type="dxa"/>
                  <w:vAlign w:val="center"/>
                </w:tcPr>
                <w:p w14:paraId="413A3CB4">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CAS号</w:t>
                  </w:r>
                </w:p>
              </w:tc>
              <w:tc>
                <w:tcPr>
                  <w:tcW w:w="2400" w:type="dxa"/>
                  <w:vAlign w:val="center"/>
                </w:tcPr>
                <w:p w14:paraId="6126FBE5">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14:paraId="5115B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restart"/>
                  <w:vAlign w:val="center"/>
                </w:tcPr>
                <w:p w14:paraId="2D4A2631">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理化特性</w:t>
                  </w:r>
                </w:p>
              </w:tc>
              <w:tc>
                <w:tcPr>
                  <w:tcW w:w="1599" w:type="dxa"/>
                  <w:vAlign w:val="center"/>
                </w:tcPr>
                <w:p w14:paraId="01CDB8D2">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沸点（℃）</w:t>
                  </w:r>
                </w:p>
              </w:tc>
              <w:tc>
                <w:tcPr>
                  <w:tcW w:w="1491" w:type="dxa"/>
                  <w:vAlign w:val="center"/>
                </w:tcPr>
                <w:p w14:paraId="394F5ADA">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2070" w:type="dxa"/>
                  <w:vAlign w:val="center"/>
                </w:tcPr>
                <w:p w14:paraId="43CC484D">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相对密度（空气=1）</w:t>
                  </w:r>
                </w:p>
              </w:tc>
              <w:tc>
                <w:tcPr>
                  <w:tcW w:w="2400" w:type="dxa"/>
                  <w:vAlign w:val="center"/>
                </w:tcPr>
                <w:p w14:paraId="3309A7A6">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14:paraId="6F0DB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continue"/>
                  <w:vAlign w:val="center"/>
                </w:tcPr>
                <w:p w14:paraId="4291C8D4">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599" w:type="dxa"/>
                  <w:vAlign w:val="center"/>
                </w:tcPr>
                <w:p w14:paraId="498F5F77">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性状</w:t>
                  </w:r>
                </w:p>
              </w:tc>
              <w:tc>
                <w:tcPr>
                  <w:tcW w:w="5961" w:type="dxa"/>
                  <w:gridSpan w:val="3"/>
                  <w:vAlign w:val="center"/>
                </w:tcPr>
                <w:p w14:paraId="044220EA">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油状液体，淡黄色至褐色，无气味或略带异味。</w:t>
                  </w:r>
                </w:p>
              </w:tc>
            </w:tr>
            <w:tr w14:paraId="1D325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continue"/>
                  <w:vAlign w:val="center"/>
                </w:tcPr>
                <w:p w14:paraId="4F132AFA">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599" w:type="dxa"/>
                  <w:vAlign w:val="center"/>
                </w:tcPr>
                <w:p w14:paraId="072A23EF">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溶解性</w:t>
                  </w:r>
                </w:p>
              </w:tc>
              <w:tc>
                <w:tcPr>
                  <w:tcW w:w="5961" w:type="dxa"/>
                  <w:gridSpan w:val="3"/>
                  <w:vAlign w:val="center"/>
                </w:tcPr>
                <w:p w14:paraId="042F8EEC">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不溶于水。</w:t>
                  </w:r>
                </w:p>
              </w:tc>
            </w:tr>
            <w:tr w14:paraId="04C43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restart"/>
                  <w:vAlign w:val="center"/>
                </w:tcPr>
                <w:p w14:paraId="0E22141C">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燃爆特性</w:t>
                  </w:r>
                </w:p>
              </w:tc>
              <w:tc>
                <w:tcPr>
                  <w:tcW w:w="1599" w:type="dxa"/>
                  <w:vAlign w:val="center"/>
                </w:tcPr>
                <w:p w14:paraId="21B3FC37">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闪点（℃）</w:t>
                  </w:r>
                </w:p>
              </w:tc>
              <w:tc>
                <w:tcPr>
                  <w:tcW w:w="1491" w:type="dxa"/>
                  <w:vAlign w:val="center"/>
                </w:tcPr>
                <w:p w14:paraId="7FE93D41">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76</w:t>
                  </w:r>
                </w:p>
              </w:tc>
              <w:tc>
                <w:tcPr>
                  <w:tcW w:w="2070" w:type="dxa"/>
                  <w:vAlign w:val="center"/>
                </w:tcPr>
                <w:p w14:paraId="1E1A1110">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爆炸极限（%）</w:t>
                  </w:r>
                </w:p>
              </w:tc>
              <w:tc>
                <w:tcPr>
                  <w:tcW w:w="2400" w:type="dxa"/>
                  <w:vAlign w:val="center"/>
                </w:tcPr>
                <w:p w14:paraId="6EC57633">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14:paraId="44456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continue"/>
                  <w:vAlign w:val="center"/>
                </w:tcPr>
                <w:p w14:paraId="0C44D45D">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599" w:type="dxa"/>
                  <w:vAlign w:val="center"/>
                </w:tcPr>
                <w:p w14:paraId="38C9F5AC">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引燃温度（℃）</w:t>
                  </w:r>
                </w:p>
              </w:tc>
              <w:tc>
                <w:tcPr>
                  <w:tcW w:w="1491" w:type="dxa"/>
                  <w:vAlign w:val="center"/>
                </w:tcPr>
                <w:p w14:paraId="79F300C3">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248</w:t>
                  </w:r>
                </w:p>
              </w:tc>
              <w:tc>
                <w:tcPr>
                  <w:tcW w:w="2070" w:type="dxa"/>
                  <w:vAlign w:val="center"/>
                </w:tcPr>
                <w:p w14:paraId="68DF2A08">
                  <w:pPr>
                    <w:pStyle w:val="28"/>
                    <w:bidi w:val="0"/>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稳定性</w:t>
                  </w:r>
                </w:p>
              </w:tc>
              <w:tc>
                <w:tcPr>
                  <w:tcW w:w="2400" w:type="dxa"/>
                  <w:vAlign w:val="center"/>
                </w:tcPr>
                <w:p w14:paraId="1B826358">
                  <w:pPr>
                    <w:pStyle w:val="28"/>
                    <w:bidi w:val="0"/>
                    <w:ind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稳定</w:t>
                  </w:r>
                </w:p>
              </w:tc>
            </w:tr>
            <w:tr w14:paraId="2B499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continue"/>
                  <w:vAlign w:val="center"/>
                </w:tcPr>
                <w:p w14:paraId="211570F0">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599" w:type="dxa"/>
                  <w:vAlign w:val="center"/>
                </w:tcPr>
                <w:p w14:paraId="48E9F1CD">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危险特性</w:t>
                  </w:r>
                </w:p>
              </w:tc>
              <w:tc>
                <w:tcPr>
                  <w:tcW w:w="5961" w:type="dxa"/>
                  <w:gridSpan w:val="3"/>
                  <w:vAlign w:val="center"/>
                </w:tcPr>
                <w:p w14:paraId="0E3AFE3F">
                  <w:pPr>
                    <w:pStyle w:val="28"/>
                    <w:bidi w:val="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遇明火、高热可燃。</w:t>
                  </w:r>
                </w:p>
              </w:tc>
            </w:tr>
            <w:tr w14:paraId="26582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continue"/>
                  <w:vAlign w:val="center"/>
                </w:tcPr>
                <w:p w14:paraId="0943E277">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599" w:type="dxa"/>
                  <w:vAlign w:val="center"/>
                </w:tcPr>
                <w:p w14:paraId="5DAE62B3">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灭火剂</w:t>
                  </w:r>
                </w:p>
              </w:tc>
              <w:tc>
                <w:tcPr>
                  <w:tcW w:w="5961" w:type="dxa"/>
                  <w:gridSpan w:val="3"/>
                  <w:vAlign w:val="center"/>
                </w:tcPr>
                <w:p w14:paraId="5C3F065B">
                  <w:pPr>
                    <w:pStyle w:val="28"/>
                    <w:bidi w:val="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雾状水、泡沫、干粉、二氧化碳、砂土。</w:t>
                  </w:r>
                </w:p>
              </w:tc>
            </w:tr>
            <w:tr w14:paraId="50DEE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Align w:val="center"/>
                </w:tcPr>
                <w:p w14:paraId="74C787D2">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对人体危害</w:t>
                  </w:r>
                </w:p>
              </w:tc>
              <w:tc>
                <w:tcPr>
                  <w:tcW w:w="7560" w:type="dxa"/>
                  <w:gridSpan w:val="4"/>
                  <w:vAlign w:val="center"/>
                </w:tcPr>
                <w:p w14:paraId="54B5CBFE">
                  <w:pPr>
                    <w:pStyle w:val="28"/>
                    <w:bidi w:val="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侵入途径：吸入、食入；</w:t>
                  </w:r>
                </w:p>
                <w:p w14:paraId="791F08B8">
                  <w:pPr>
                    <w:pStyle w:val="28"/>
                    <w:bidi w:val="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急性吸入，可出现乏力、头晕、头痛、恶心，严重者可引起油脂性肺炎。慢接触者，暴露部位可发生油性痤疮和接触性皮炎。可引起神经衰弱综合征，呼吸道和眼刺激症状及慢性油脂性肺炎。</w:t>
                  </w:r>
                </w:p>
              </w:tc>
            </w:tr>
            <w:tr w14:paraId="65CC9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Align w:val="center"/>
                </w:tcPr>
                <w:p w14:paraId="1585A975">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急救</w:t>
                  </w:r>
                </w:p>
              </w:tc>
              <w:tc>
                <w:tcPr>
                  <w:tcW w:w="7560" w:type="dxa"/>
                  <w:gridSpan w:val="4"/>
                  <w:vAlign w:val="center"/>
                </w:tcPr>
                <w:p w14:paraId="24960206">
                  <w:pPr>
                    <w:pStyle w:val="28"/>
                    <w:bidi w:val="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皮肤接触：立即脱去被污染的衣着，用大量清水冲洗；</w:t>
                  </w:r>
                </w:p>
                <w:p w14:paraId="3EA36F9D">
                  <w:pPr>
                    <w:pStyle w:val="28"/>
                    <w:bidi w:val="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眼睛接触：立即提起眼睑，用大量流动清水或生理盐水冲洗，就医；</w:t>
                  </w:r>
                </w:p>
                <w:p w14:paraId="3719DBCB">
                  <w:pPr>
                    <w:pStyle w:val="28"/>
                    <w:bidi w:val="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吸入：迅速脱离现场至空气新鲜处，保持呼吸道通畅，如呼吸困难，给输氧；如呼吸停止，立即进行人工呼吸，就医；</w:t>
                  </w:r>
                </w:p>
                <w:p w14:paraId="0559FF44">
                  <w:pPr>
                    <w:pStyle w:val="28"/>
                    <w:bidi w:val="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食入：饮足量温水，催吐，就医。</w:t>
                  </w:r>
                </w:p>
              </w:tc>
            </w:tr>
            <w:tr w14:paraId="188C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Align w:val="center"/>
                </w:tcPr>
                <w:p w14:paraId="3330569B">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防护</w:t>
                  </w:r>
                </w:p>
              </w:tc>
              <w:tc>
                <w:tcPr>
                  <w:tcW w:w="7560" w:type="dxa"/>
                  <w:gridSpan w:val="4"/>
                  <w:vAlign w:val="center"/>
                </w:tcPr>
                <w:p w14:paraId="2E57B596">
                  <w:pPr>
                    <w:pStyle w:val="28"/>
                    <w:bidi w:val="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工程控制：密闭操作，注意通风；</w:t>
                  </w:r>
                </w:p>
                <w:p w14:paraId="30FE0F94">
                  <w:pPr>
                    <w:pStyle w:val="28"/>
                    <w:bidi w:val="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呼吸系统防护：空气中浓度超标时，建议佩戴自吸过滤式防毒面具(半面)。紧急事态抢救或撤离时，应该佩戴空气呼吸器。</w:t>
                  </w:r>
                </w:p>
                <w:p w14:paraId="6C06C250">
                  <w:pPr>
                    <w:pStyle w:val="28"/>
                    <w:bidi w:val="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眼睛防护：戴化学安全防护眼镜；</w:t>
                  </w:r>
                </w:p>
                <w:p w14:paraId="38D00E4F">
                  <w:pPr>
                    <w:pStyle w:val="28"/>
                    <w:bidi w:val="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身体防护:穿防毒物渗透工作服；</w:t>
                  </w:r>
                </w:p>
                <w:p w14:paraId="22C708FE">
                  <w:pPr>
                    <w:pStyle w:val="28"/>
                    <w:bidi w:val="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手防护：戴橡胶耐油手套；</w:t>
                  </w:r>
                </w:p>
                <w:p w14:paraId="48FC267B">
                  <w:pPr>
                    <w:pStyle w:val="28"/>
                    <w:bidi w:val="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其他：工作现场严禁吸烟，避免长期反复接触。</w:t>
                  </w:r>
                </w:p>
              </w:tc>
            </w:tr>
            <w:tr w14:paraId="39DFC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Align w:val="center"/>
                </w:tcPr>
                <w:p w14:paraId="2BC8606C">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泄漏处理</w:t>
                  </w:r>
                </w:p>
              </w:tc>
              <w:tc>
                <w:tcPr>
                  <w:tcW w:w="7560" w:type="dxa"/>
                  <w:gridSpan w:val="4"/>
                  <w:vAlign w:val="center"/>
                </w:tcPr>
                <w:p w14:paraId="53E2C494">
                  <w:pPr>
                    <w:pStyle w:val="28"/>
                    <w:bidi w:val="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迅速撤离泄漏污染区人员至安全区，并进行隔离，严格限制出入。切断火源。建议应急处理人员戴自给正压式呼吸器，穿防毒服。尽可能切断泄漏源。防止流入下水道、排洪沟等限制性空间。</w:t>
                  </w:r>
                </w:p>
                <w:p w14:paraId="57061EE2">
                  <w:pPr>
                    <w:pStyle w:val="28"/>
                    <w:bidi w:val="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小量泄漏：用砂土或其它不燃材料吸附或吸收。</w:t>
                  </w:r>
                </w:p>
                <w:p w14:paraId="13E74041">
                  <w:pPr>
                    <w:pStyle w:val="28"/>
                    <w:bidi w:val="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大量泄漏：构筑围堤或挖坑收容。用泵转移至槽车或专用收集器内，回收或运至废物处理场所处置。</w:t>
                  </w:r>
                </w:p>
              </w:tc>
            </w:tr>
            <w:tr w14:paraId="2778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Align w:val="center"/>
                </w:tcPr>
                <w:p w14:paraId="375E75B5">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贮运</w:t>
                  </w:r>
                </w:p>
              </w:tc>
              <w:tc>
                <w:tcPr>
                  <w:tcW w:w="7560" w:type="dxa"/>
                  <w:gridSpan w:val="4"/>
                  <w:vAlign w:val="center"/>
                </w:tcPr>
                <w:p w14:paraId="208810DA">
                  <w:pPr>
                    <w:pStyle w:val="28"/>
                    <w:bidi w:val="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储存于阴凉、通风的库房。远离火种、热源。应与氧化剂分开存放，切忌混储。配备相应品种和数量的消防器材。储区应备有泄漏应急处理设备和合适的收容材料。</w:t>
                  </w:r>
                </w:p>
                <w:p w14:paraId="69F06786">
                  <w:pPr>
                    <w:pStyle w:val="28"/>
                    <w:bidi w:val="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运输前应先检查包装容器是否完整、密封，运输过程中要确保容器不泄漏、不倒塌、不落、不损坏。严禁与氧化剂、食用化学品等混装混运。运输车船必须彻底清洗、消毒，否则不得装运其它物品。船运时，配装位置应远离卧室、厨房，并与机舱、电源、火源等部位隔离。公路运输时要按规定路线行驶。</w:t>
                  </w:r>
                </w:p>
              </w:tc>
            </w:tr>
          </w:tbl>
          <w:p w14:paraId="473FF28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（3）环境风险分析</w:t>
            </w:r>
          </w:p>
          <w:p w14:paraId="7F47F8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1）大气环境风险分析</w:t>
            </w:r>
          </w:p>
          <w:p w14:paraId="63C313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①井喷事故</w:t>
            </w:r>
          </w:p>
          <w:p w14:paraId="040C49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当钻井进入气层后，遇到高压气流，因各种原因使井底压力不能平衡底层压力时而造成井喷和井喷失控事故。井喷失控发生的机率虽然很小，但危害较大，主要表现在井喷后会有大量的天然气逸散到空气中，对周围的环境空气造成一定的影响；井喷失控喷射出的天然气遇火燃烧爆炸造成冲击波和热辐射伤人。尽管井喷造成的后果是严重的，但井喷发生的概率非常小，只有在钻井遇</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高压采</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气层且操作不当时才有可能发生。而由于操作者直接责任而引起井控措施不当、违反操作规程、井控措施故障等是造成井喷失控事故的主要因素。本项目在钻井时采用了安装防喷器和控制装置等防喷措施，项目发生井喷的概率很小。</w:t>
            </w:r>
          </w:p>
          <w:p w14:paraId="440E5E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②放喷事故</w:t>
            </w:r>
          </w:p>
          <w:p w14:paraId="233DC5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为了解气井的产气量，在完井及压裂后，需进行测试放喷，项目通过</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放喷池</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进行测试。</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放喷池</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周围50m范围内进行清理，远离易燃物品，同时应远离居民区，放喷口置于</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放喷池</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水面上，</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放喷池</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用于储存随放喷气体带出的地下水及洗井废水。项目设置10</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放喷池</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，能够满足放喷气体带出的废水存储。</w:t>
            </w:r>
          </w:p>
          <w:p w14:paraId="7D7789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③</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危废贮存库</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废油泄漏</w:t>
            </w:r>
          </w:p>
          <w:p w14:paraId="24DA8E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危废贮存库</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废油泄漏，若遇明火引发的火灾事故，不会超过井喷时因伴生气排放对大气的影响强度，更不会导致大气环境的明显恶化。火灾或爆炸时产生的次生污染物CO或有害气体的浓度较低，因此，对空气环境影响较小。</w:t>
            </w:r>
          </w:p>
          <w:p w14:paraId="6287BA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危废贮存库</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内废油储存量较少，发生泄漏后全部收集在</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危废贮存库</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内，工作人员可及时发现并清理，引发环境风险事故的可能性极低。</w:t>
            </w:r>
          </w:p>
          <w:p w14:paraId="4C220E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2）地表水环境风险分析</w:t>
            </w:r>
          </w:p>
          <w:p w14:paraId="651661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正常情况下，本项目井场设置泥浆不落地系统，生产废水全部妥善处置，不会外排出场地，井喷等事故情况下，喷出的泥浆废液可由井场内应急储罐收集处理，不会外排引发地表水体污染。</w:t>
            </w:r>
          </w:p>
          <w:p w14:paraId="228946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3）地下水环境风险分析</w:t>
            </w:r>
          </w:p>
          <w:p w14:paraId="4323AD1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①</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危废贮存库</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废油泄漏</w:t>
            </w:r>
          </w:p>
          <w:p w14:paraId="14696C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危废贮存库</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的废油泄漏，石油烃类污染物可能通过井场地面下渗至地下含水层并向下游迁移，对下游地下水环境造成风险事故，由于项目</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危废贮存库</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按照相关要求采取分区防渗，可有效防止污染物下渗进入地下水。</w:t>
            </w:r>
          </w:p>
          <w:p w14:paraId="52376F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②井漏事故</w:t>
            </w:r>
          </w:p>
          <w:p w14:paraId="71D3B8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井漏事故对地下水的污染是指在钻井过程中，钻井废水、泥浆漏失于地下水含水层中，造成地下含水层水质污染。就钻井漏失而言，发生在局部且持续时间较短。</w:t>
            </w:r>
          </w:p>
          <w:p w14:paraId="6D6623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一开钻井泥浆主要成分为膨润土和碳酸钠等，不含有毒有害物质，一开井深基本涵盖了可能具有使用功能的地下水，因此本项目一开钻井过程不会对可能具备使用功能的地下水造成影响。二开施工时，表层套管已完成固井，因此钻井泥浆不会在表层套管范围内漏失，漏失发生在表层套管以下的二开范围内，二开范围内的地层地下水埋深较深，不具备使用功能。</w:t>
            </w:r>
          </w:p>
          <w:p w14:paraId="25A1AD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井漏主要发生于具有特殊地质结构的气藏区，如具有溶洞、裂隙等不稳定的地层构造区域。本企业在油气资源勘探过程中未发现不稳定地质因素。另外，施工单位针对井漏制定有完善的应对措施，钻井过程中一旦发现异常，施工单位将立即停钻采取添加桥堵剂、打水泥塞等措施，防止井漏事故的发生，可有效减轻井漏对地下水的影响。</w:t>
            </w:r>
          </w:p>
          <w:p w14:paraId="710386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综上，在采取一系列风险防范措施之后，项目环境风险在可控范围内，对周边环境影响较小。</w:t>
            </w:r>
          </w:p>
          <w:p w14:paraId="05E2DA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十</w:t>
            </w: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、封井环境影响分析</w:t>
            </w:r>
          </w:p>
          <w:p w14:paraId="22EA61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本项目为天然气评价井项目，封井分为临时封井和永久封井，当评价井具有开发价值时对其进行管网建设用于生产输送，或采取临时封井等待管网建设以及开发生产。当评价井不具有开发价值时，采取永久封井。</w:t>
            </w:r>
          </w:p>
          <w:p w14:paraId="29CF16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（1）临时封井</w:t>
            </w:r>
          </w:p>
          <w:p w14:paraId="0630BB98">
            <w:pPr>
              <w:pStyle w:val="2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临时封井时按行业规范进行封井作业，对钻井设备、基础进行拆除、搬迁，井口安装采气设施。在井口位置设标记，注明该井的启用与封闭时间及使用单位等，在封井结束后清理井场，</w:t>
            </w:r>
            <w:r>
              <w:rPr>
                <w:rFonts w:hint="default" w:ascii="Times New Roman" w:hAnsi="Times New Roman" w:cs="Times New Roman"/>
                <w:color w:val="000000" w:themeColor="text1"/>
                <w:sz w:val="24"/>
                <w:lang w:val="en-US" w:eastAsia="zh-CN"/>
                <w14:textFill>
                  <w14:solidFill>
                    <w14:schemeClr w14:val="tx1"/>
                  </w14:solidFill>
                </w14:textFill>
              </w:rPr>
              <w:t>移交给</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长庆油田分公司第二采气厂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按标准化井场进行建设和管理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由于钻井与标准化井场建设属于不同的单位，经核实，钻井工程结束后，钻井单位即按照要求对临时占地进行生态恢复</w:t>
            </w:r>
            <w:r>
              <w:rPr>
                <w:rFonts w:hint="default" w:ascii="Times New Roman" w:hAnsi="Times New Roman" w:cs="Times New Roman"/>
                <w:color w:val="000000" w:themeColor="text1"/>
                <w:sz w:val="24"/>
                <w14:textFill>
                  <w14:solidFill>
                    <w14:schemeClr w14:val="tx1"/>
                  </w14:solidFill>
                </w14:textFill>
              </w:rPr>
              <w:t>。</w:t>
            </w:r>
          </w:p>
          <w:p w14:paraId="59ABA8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（2）永久封井</w:t>
            </w:r>
          </w:p>
          <w:p w14:paraId="41B446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封井的目的主要包括：保护淡水层免受地层流体或地表水窜入的污染；隔离开采井段与未开采利用井段；保护地表土壤和地面水不受地层流体污染；隔离开污水的层段；封井措施按照中石油企业标准《废弃井封井处置规范》（QSH0653-2015）要求执行，关键性层段之间应隔离开，主要包括以下工作：</w:t>
            </w:r>
          </w:p>
          <w:p w14:paraId="1FEFB9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①隔离各个</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采</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气层和处理废水的层段，并在最下部淡水层的底部打一个水泥塞；</w:t>
            </w:r>
          </w:p>
          <w:p w14:paraId="518708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②打地表水泥塞，阻止地面水渗入井内，并流入淡水层，同时限制境内流体流出地表，从而保护土壤和地面水；</w:t>
            </w:r>
          </w:p>
          <w:p w14:paraId="7DE788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③为防止层间窜流干扰邻井开发，在废弃井井内选择水泥塞或桥塞的位置，要确保隔离开已确认有生产能力的气层或注水层，使井内所有注采井段都被隔离开，将油气及注入液限值在各自的层段内，阻止各层之间的井内窜流；</w:t>
            </w:r>
          </w:p>
          <w:p w14:paraId="66F412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④恢复地貌，去掉井口装置和割掉一定深度以上的表层套管，使井与土地使用的矛盾最小化。</w:t>
            </w:r>
          </w:p>
          <w:p w14:paraId="7EA3E3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⑤封井后使用GPS重新定位，建立档案。</w:t>
            </w:r>
          </w:p>
          <w:p w14:paraId="690AAD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（3）其他影响</w:t>
            </w:r>
          </w:p>
          <w:p w14:paraId="063173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封井期还需对井场的地面设施进行拆除，在拆除过程中会产生少量扬尘扬尘受影响人群主要为拆除人员，拆除时间较短，且与当地自然条件导致的风沙相比较，清理过程中扬尘造成的环境影响可忽略不计。</w:t>
            </w:r>
          </w:p>
          <w:p w14:paraId="42A60C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封井之后需进行场地生态恢复，并进行植树种草，播撒种植当地适宜生长的草籽，以促进当地生态环境的恢复，项目占地面积较小，故对生态环境影响较小。</w:t>
            </w:r>
          </w:p>
          <w:p w14:paraId="17FD99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综上，项目封井对周边环境影响较小。</w:t>
            </w:r>
          </w:p>
        </w:tc>
      </w:tr>
      <w:tr w14:paraId="58C44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8" w:type="dxa"/>
            <w:vAlign w:val="center"/>
          </w:tcPr>
          <w:p w14:paraId="4D2C5AFA">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运营期生态环境影响分析</w:t>
            </w:r>
          </w:p>
        </w:tc>
        <w:tc>
          <w:tcPr>
            <w:tcW w:w="8520" w:type="dxa"/>
            <w:vAlign w:val="center"/>
          </w:tcPr>
          <w:p w14:paraId="684E3A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本项目为天然气评价井的钻井工程，使用功能为天然气勘探、完井并测试，不涉及运营期。</w:t>
            </w:r>
          </w:p>
        </w:tc>
      </w:tr>
      <w:tr w14:paraId="4BA3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8" w:type="dxa"/>
            <w:vAlign w:val="top"/>
          </w:tcPr>
          <w:p w14:paraId="12F9E06C">
            <w:pPr>
              <w:numPr>
                <w:ilvl w:val="0"/>
                <w:numId w:val="0"/>
              </w:numPr>
              <w:jc w:val="both"/>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选址选线环境合理性分析</w:t>
            </w:r>
          </w:p>
        </w:tc>
        <w:tc>
          <w:tcPr>
            <w:tcW w:w="8520" w:type="dxa"/>
            <w:vAlign w:val="top"/>
          </w:tcPr>
          <w:p w14:paraId="2B8B7BE4">
            <w:pPr>
              <w:autoSpaceDE w:val="0"/>
              <w:autoSpaceDN w:val="0"/>
              <w:adjustRightInd w:val="0"/>
              <w:snapToGrid w:val="0"/>
              <w:spacing w:line="360" w:lineRule="auto"/>
              <w:jc w:val="both"/>
              <w:rPr>
                <w:rFonts w:hint="default" w:ascii="Times New Roman" w:hAnsi="Times New Roman" w:cs="Times New Roman"/>
                <w:b/>
                <w:color w:val="000000" w:themeColor="text1"/>
                <w:kern w:val="0"/>
                <w:sz w:val="24"/>
                <w14:textFill>
                  <w14:solidFill>
                    <w14:schemeClr w14:val="tx1"/>
                  </w14:solidFill>
                </w14:textFill>
              </w:rPr>
            </w:pPr>
            <w:r>
              <w:rPr>
                <w:rFonts w:hint="default" w:ascii="Times New Roman" w:hAnsi="Times New Roman" w:cs="Times New Roman"/>
                <w:b/>
                <w:color w:val="000000" w:themeColor="text1"/>
                <w:kern w:val="0"/>
                <w:sz w:val="24"/>
                <w:lang w:val="en-US" w:eastAsia="zh-CN"/>
                <w14:textFill>
                  <w14:solidFill>
                    <w14:schemeClr w14:val="tx1"/>
                  </w14:solidFill>
                </w14:textFill>
              </w:rPr>
              <w:t>1.</w:t>
            </w:r>
            <w:r>
              <w:rPr>
                <w:rFonts w:hint="default" w:ascii="Times New Roman" w:hAnsi="Times New Roman" w:cs="Times New Roman"/>
                <w:b/>
                <w:color w:val="000000" w:themeColor="text1"/>
                <w:kern w:val="0"/>
                <w:sz w:val="24"/>
                <w14:textFill>
                  <w14:solidFill>
                    <w14:schemeClr w14:val="tx1"/>
                  </w14:solidFill>
                </w14:textFill>
              </w:rPr>
              <w:t>占地合理性</w:t>
            </w:r>
          </w:p>
          <w:p w14:paraId="160FD01E">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lang w:val="en-US" w:eastAsia="zh-CN"/>
                <w14:textFill>
                  <w14:solidFill>
                    <w14:schemeClr w14:val="tx1"/>
                  </w14:solidFill>
                </w14:textFill>
              </w:rPr>
              <w:t>探井</w:t>
            </w:r>
            <w:r>
              <w:rPr>
                <w:color w:val="000000" w:themeColor="text1"/>
                <w:sz w:val="24"/>
                <w14:textFill>
                  <w14:solidFill>
                    <w14:schemeClr w14:val="tx1"/>
                  </w14:solidFill>
                </w14:textFill>
              </w:rPr>
              <w:t>勘探</w:t>
            </w:r>
            <w:r>
              <w:rPr>
                <w:rFonts w:hint="eastAsia"/>
                <w:color w:val="000000" w:themeColor="text1"/>
                <w:sz w:val="24"/>
                <w:lang w:val="en-US" w:eastAsia="zh-CN"/>
                <w14:textFill>
                  <w14:solidFill>
                    <w14:schemeClr w14:val="tx1"/>
                  </w14:solidFill>
                </w14:textFill>
              </w:rPr>
              <w:t>测试</w:t>
            </w:r>
            <w:r>
              <w:rPr>
                <w:color w:val="000000" w:themeColor="text1"/>
                <w:sz w:val="24"/>
                <w14:textFill>
                  <w14:solidFill>
                    <w14:schemeClr w14:val="tx1"/>
                  </w14:solidFill>
                </w14:textFill>
              </w:rPr>
              <w:t>后如有开采价值，将依法办理国土征地手续等，无开采价值将恢复原貌</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本项目临时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总</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占地面积</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46940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bCs/>
                <w:color w:val="000000" w:themeColor="text1"/>
                <w:sz w:val="24"/>
                <w:szCs w:val="24"/>
                <w:highlight w:val="none"/>
                <w:lang w:val="en-US" w:eastAsia="zh-CN" w:bidi="ar"/>
                <w14:textFill>
                  <w14:solidFill>
                    <w14:schemeClr w14:val="tx1"/>
                  </w14:solidFill>
                </w14:textFill>
              </w:rPr>
              <w:t>目前正在办理临时用地手续，</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占地类型主要为</w:t>
            </w:r>
            <w:r>
              <w:rPr>
                <w:rFonts w:hint="eastAsia"/>
                <w:bCs/>
                <w:color w:val="000000" w:themeColor="text1"/>
                <w:sz w:val="24"/>
                <w:szCs w:val="24"/>
                <w:highlight w:val="none"/>
                <w:lang w:val="en-US" w:eastAsia="zh-CN" w:bidi="ar"/>
                <w14:textFill>
                  <w14:solidFill>
                    <w14:schemeClr w14:val="tx1"/>
                  </w14:solidFill>
                </w14:textFill>
              </w:rPr>
              <w:t>林地、园地及交通运输用地，</w:t>
            </w:r>
            <w:r>
              <w:rPr>
                <w:rFonts w:hint="default" w:ascii="Times New Roman" w:hAnsi="Times New Roman" w:cs="Times New Roman"/>
                <w:color w:val="000000" w:themeColor="text1"/>
                <w:sz w:val="24"/>
                <w:lang w:eastAsia="zh-CN"/>
                <w14:textFill>
                  <w14:solidFill>
                    <w14:schemeClr w14:val="tx1"/>
                  </w14:solidFill>
                </w14:textFill>
              </w:rPr>
              <w:t>不涉及基本农田、生态红线和禁止建设区，</w:t>
            </w:r>
            <w:r>
              <w:rPr>
                <w:rFonts w:hint="eastAsia" w:ascii="Times New Roman" w:hAnsi="Times New Roman" w:eastAsia="宋体" w:cs="Times New Roman"/>
                <w:bCs/>
                <w:snapToGrid w:val="0"/>
                <w:color w:val="000000" w:themeColor="text1"/>
                <w:kern w:val="0"/>
                <w:sz w:val="24"/>
                <w:highlight w:val="none"/>
                <w14:textFill>
                  <w14:solidFill>
                    <w14:schemeClr w14:val="tx1"/>
                  </w14:solidFill>
                </w14:textFill>
              </w:rPr>
              <w:t>项目建设符合榆林市投资项目选址“一张图”控制线要求</w:t>
            </w:r>
            <w:r>
              <w:rPr>
                <w:rFonts w:hint="eastAsia" w:ascii="Times New Roman" w:hAnsi="Times New Roman" w:eastAsia="宋体" w:cs="Times New Roman"/>
                <w:bCs/>
                <w:snapToGrid w:val="0"/>
                <w:color w:val="000000" w:themeColor="text1"/>
                <w:kern w:val="0"/>
                <w:sz w:val="24"/>
                <w:highlight w:val="none"/>
                <w:lang w:eastAsia="zh-CN"/>
                <w14:textFill>
                  <w14:solidFill>
                    <w14:schemeClr w14:val="tx1"/>
                  </w14:solidFill>
                </w14:textFill>
              </w:rPr>
              <w:t>，</w:t>
            </w:r>
            <w:r>
              <w:rPr>
                <w:rFonts w:hint="eastAsia" w:ascii="Times New Roman" w:hAnsi="Times New Roman" w:eastAsia="宋体" w:cs="Times New Roman"/>
                <w:bCs/>
                <w:snapToGrid w:val="0"/>
                <w:color w:val="000000" w:themeColor="text1"/>
                <w:kern w:val="0"/>
                <w:sz w:val="24"/>
                <w:highlight w:val="none"/>
                <w:lang w:val="en-US" w:eastAsia="zh-CN"/>
                <w14:textFill>
                  <w14:solidFill>
                    <w14:schemeClr w14:val="tx1"/>
                  </w14:solidFill>
                </w14:textFill>
              </w:rPr>
              <w:t>故项目</w:t>
            </w:r>
            <w:r>
              <w:rPr>
                <w:rFonts w:hint="default" w:ascii="Times New Roman" w:hAnsi="Times New Roman" w:cs="Times New Roman"/>
                <w:color w:val="000000" w:themeColor="text1"/>
                <w:sz w:val="24"/>
                <w14:textFill>
                  <w14:solidFill>
                    <w14:schemeClr w14:val="tx1"/>
                  </w14:solidFill>
                </w14:textFill>
              </w:rPr>
              <w:t>占地合理。</w:t>
            </w:r>
          </w:p>
          <w:p w14:paraId="1CAF6A93">
            <w:pPr>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hint="default" w:ascii="Times New Roman" w:hAnsi="Times New Roman" w:cs="Times New Roman"/>
                <w:b/>
                <w:color w:val="000000" w:themeColor="text1"/>
                <w:kern w:val="0"/>
                <w:sz w:val="24"/>
                <w14:textFill>
                  <w14:solidFill>
                    <w14:schemeClr w14:val="tx1"/>
                  </w14:solidFill>
                </w14:textFill>
              </w:rPr>
            </w:pPr>
            <w:r>
              <w:rPr>
                <w:rFonts w:hint="default" w:ascii="Times New Roman" w:hAnsi="Times New Roman" w:cs="Times New Roman"/>
                <w:b/>
                <w:color w:val="000000" w:themeColor="text1"/>
                <w:kern w:val="0"/>
                <w:sz w:val="24"/>
                <w:lang w:val="en-US" w:eastAsia="zh-CN"/>
                <w14:textFill>
                  <w14:solidFill>
                    <w14:schemeClr w14:val="tx1"/>
                  </w14:solidFill>
                </w14:textFill>
              </w:rPr>
              <w:t>2.</w:t>
            </w:r>
            <w:r>
              <w:rPr>
                <w:rFonts w:hint="default" w:ascii="Times New Roman" w:hAnsi="Times New Roman" w:cs="Times New Roman"/>
                <w:b/>
                <w:color w:val="000000" w:themeColor="text1"/>
                <w:kern w:val="0"/>
                <w:sz w:val="24"/>
                <w14:textFill>
                  <w14:solidFill>
                    <w14:schemeClr w14:val="tx1"/>
                  </w14:solidFill>
                </w14:textFill>
              </w:rPr>
              <w:t>选址合理性</w:t>
            </w:r>
          </w:p>
          <w:p w14:paraId="625D5F42">
            <w:pPr>
              <w:keepNext w:val="0"/>
              <w:keepLines w:val="0"/>
              <w:pageBreakBefore w:val="0"/>
              <w:widowControl w:val="0"/>
              <w:kinsoku/>
              <w:wordWrap/>
              <w:overflowPunct/>
              <w:topLinePunct w:val="0"/>
              <w:bidi w:val="0"/>
              <w:adjustRightInd w:val="0"/>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w:t>
            </w:r>
            <w:r>
              <w:rPr>
                <w:rFonts w:hint="default" w:ascii="Times New Roman" w:hAnsi="Times New Roman" w:cs="Times New Roman"/>
                <w:color w:val="000000" w:themeColor="text1"/>
                <w:sz w:val="24"/>
                <w:szCs w:val="24"/>
                <w:highlight w:val="none"/>
                <w14:textFill>
                  <w14:solidFill>
                    <w14:schemeClr w14:val="tx1"/>
                  </w14:solidFill>
                </w14:textFill>
              </w:rPr>
              <w:t>目位于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榆林市佳县方塌镇</w:t>
            </w:r>
            <w:r>
              <w:rPr>
                <w:rFonts w:hint="default" w:ascii="Times New Roman" w:hAnsi="Times New Roman" w:cs="Times New Roman"/>
                <w:color w:val="000000" w:themeColor="text1"/>
                <w:sz w:val="24"/>
                <w:szCs w:val="24"/>
                <w:highlight w:val="none"/>
                <w14:textFill>
                  <w14:solidFill>
                    <w14:schemeClr w14:val="tx1"/>
                  </w14:solidFill>
                </w14:textFill>
              </w:rPr>
              <w:t>，</w:t>
            </w:r>
            <w:bookmarkStart w:id="2" w:name="_GoBack"/>
            <w:bookmarkEnd w:id="2"/>
            <w:r>
              <w:rPr>
                <w:rFonts w:hint="eastAsia" w:ascii="Times New Roman" w:hAnsi="Times New Roman" w:cs="Times New Roman"/>
                <w:color w:val="000000" w:themeColor="text1"/>
                <w:sz w:val="24"/>
                <w:szCs w:val="24"/>
                <w:lang w:val="en-US" w:eastAsia="zh-CN"/>
                <w14:textFill>
                  <w14:solidFill>
                    <w14:schemeClr w14:val="tx1"/>
                  </w14:solidFill>
                </w14:textFill>
              </w:rPr>
              <w:t>临时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占地类型主要为</w:t>
            </w:r>
            <w:r>
              <w:rPr>
                <w:rFonts w:hint="eastAsia"/>
                <w:bCs/>
                <w:color w:val="000000" w:themeColor="text1"/>
                <w:sz w:val="24"/>
                <w:szCs w:val="24"/>
                <w:highlight w:val="none"/>
                <w:lang w:val="en-US" w:eastAsia="zh-CN" w:bidi="ar"/>
                <w14:textFill>
                  <w14:solidFill>
                    <w14:schemeClr w14:val="tx1"/>
                  </w14:solidFill>
                </w14:textFill>
              </w:rPr>
              <w:t>林地、园地及交通运输用地</w:t>
            </w: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不</w:t>
            </w:r>
            <w:r>
              <w:rPr>
                <w:rFonts w:hint="default" w:ascii="Times New Roman" w:hAnsi="Times New Roman" w:cs="Times New Roman"/>
                <w:color w:val="000000" w:themeColor="text1"/>
                <w:sz w:val="24"/>
                <w:szCs w:val="24"/>
                <w:highlight w:val="none"/>
                <w:lang w:eastAsia="zh-CN"/>
                <w14:textFill>
                  <w14:solidFill>
                    <w14:schemeClr w14:val="tx1"/>
                  </w14:solidFill>
                </w14:textFill>
              </w:rPr>
              <w:t>占</w:t>
            </w:r>
            <w:r>
              <w:rPr>
                <w:rFonts w:hint="default" w:ascii="Times New Roman" w:hAnsi="Times New Roman" w:cs="Times New Roman"/>
                <w:color w:val="000000" w:themeColor="text1"/>
                <w:sz w:val="24"/>
                <w:szCs w:val="24"/>
                <w:lang w:eastAsia="zh-CN"/>
                <w14:textFill>
                  <w14:solidFill>
                    <w14:schemeClr w14:val="tx1"/>
                  </w14:solidFill>
                </w14:textFill>
              </w:rPr>
              <w:t>用</w:t>
            </w:r>
            <w:r>
              <w:rPr>
                <w:rFonts w:hint="default" w:ascii="Times New Roman" w:hAnsi="Times New Roman" w:cs="Times New Roman"/>
                <w:color w:val="000000" w:themeColor="text1"/>
                <w:sz w:val="24"/>
                <w:szCs w:val="24"/>
                <w14:textFill>
                  <w14:solidFill>
                    <w14:schemeClr w14:val="tx1"/>
                  </w14:solidFill>
                </w14:textFill>
              </w:rPr>
              <w:t>基本农田</w:t>
            </w:r>
            <w:r>
              <w:rPr>
                <w:rFonts w:hint="default" w:ascii="Times New Roman" w:hAnsi="Times New Roman" w:cs="Times New Roman"/>
                <w:color w:val="000000" w:themeColor="text1"/>
                <w:sz w:val="24"/>
                <w:szCs w:val="24"/>
                <w:lang w:eastAsia="zh-CN"/>
                <w14:textFill>
                  <w14:solidFill>
                    <w14:schemeClr w14:val="tx1"/>
                  </w14:solidFill>
                </w14:textFill>
              </w:rPr>
              <w:t>和生态红线</w:t>
            </w:r>
            <w:r>
              <w:rPr>
                <w:rFonts w:hint="default" w:ascii="Times New Roman" w:hAnsi="Times New Roman" w:cs="Times New Roman"/>
                <w:color w:val="000000" w:themeColor="text1"/>
                <w:sz w:val="24"/>
                <w:szCs w:val="24"/>
                <w14:textFill>
                  <w14:solidFill>
                    <w14:schemeClr w14:val="tx1"/>
                  </w14:solidFill>
                </w14:textFill>
              </w:rPr>
              <w:t>。根据《建设项目环境影响评价分类管理名录（2021年版）》中关于环境敏感因素的界定原则，本项目影响区不涉及饮用水水源保护区、自然保护区、风景名胜区等环境敏感区域。</w:t>
            </w:r>
          </w:p>
          <w:p w14:paraId="5674DD9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项目探井建设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临时用地较小，工程仅涉及施工期，施工期采取各类措施后污染物可实现达标排放或不外排</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施工结束后，对不具有利用价值的勘探井进行永久封井，</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现有井场内占地恢复原状，临时占地</w:t>
            </w:r>
            <w:r>
              <w:rPr>
                <w:rFonts w:hint="default" w:ascii="Times New Roman" w:hAnsi="Times New Roman" w:eastAsia="宋体" w:cs="Times New Roman"/>
                <w:color w:val="000000" w:themeColor="text1"/>
                <w:sz w:val="24"/>
                <w:szCs w:val="24"/>
                <w14:textFill>
                  <w14:solidFill>
                    <w14:schemeClr w14:val="tx1"/>
                  </w14:solidFill>
                </w14:textFill>
              </w:rPr>
              <w:t>恢复原土地类型</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若测试具有工业产能，</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交</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长庆油田分公司第二采气厂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按标准化建设进行建设。经分析，项目建设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符合榆林市</w:t>
            </w:r>
            <w:r>
              <w:rPr>
                <w:rFonts w:hint="default" w:ascii="Times New Roman" w:hAnsi="Times New Roman" w:eastAsia="宋体" w:cs="Times New Roman"/>
                <w:color w:val="000000" w:themeColor="text1"/>
                <w:sz w:val="24"/>
                <w:szCs w:val="24"/>
                <w14:textFill>
                  <w14:solidFill>
                    <w14:schemeClr w14:val="tx1"/>
                  </w14:solidFill>
                </w14:textFill>
              </w:rPr>
              <w:t>生态环境分区管控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要求。</w:t>
            </w:r>
          </w:p>
          <w:p w14:paraId="3221545B">
            <w:pPr>
              <w:keepNext w:val="0"/>
              <w:keepLines w:val="0"/>
              <w:pageBreakBefore w:val="0"/>
              <w:widowControl w:val="0"/>
              <w:kinsoku/>
              <w:wordWrap/>
              <w:overflowPunct/>
              <w:topLinePunct w:val="0"/>
              <w:bidi w:val="0"/>
              <w:adjustRightInd w:val="0"/>
              <w:snapToGrid/>
              <w:spacing w:line="360" w:lineRule="auto"/>
              <w:ind w:firstLine="480" w:firstLineChars="200"/>
              <w:jc w:val="both"/>
              <w:textAlignment w:val="auto"/>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本次新建4口气勘探层位与探井周边已有气井层位不同，属于新气层层位勘探</w:t>
            </w:r>
            <w:r>
              <w:rPr>
                <w:rFonts w:hint="eastAsia" w:ascii="Times New Roman" w:hAnsi="Times New Roman" w:eastAsia="宋体" w:cs="Times New Roman"/>
                <w:b w:val="0"/>
                <w:color w:val="000000" w:themeColor="text1"/>
                <w:sz w:val="24"/>
                <w:szCs w:val="24"/>
                <w:lang w:val="en-US" w:eastAsia="zh-CN"/>
                <w14:textFill>
                  <w14:solidFill>
                    <w14:schemeClr w14:val="tx1"/>
                  </w14:solidFill>
                </w14:textFill>
              </w:rPr>
              <w:t>，符合天然气探井勘探布局要求，旨在现有气田区域内</w:t>
            </w:r>
            <w:r>
              <w:rPr>
                <w:rFonts w:hint="default" w:ascii="Times New Roman" w:hAnsi="Times New Roman" w:eastAsia="宋体" w:cs="Times New Roman"/>
                <w:color w:val="000000" w:themeColor="text1"/>
                <w:sz w:val="24"/>
                <w14:textFill>
                  <w14:solidFill>
                    <w14:schemeClr w14:val="tx1"/>
                  </w14:solidFill>
                </w14:textFill>
              </w:rPr>
              <w:t>寻找新的适合开发的</w:t>
            </w:r>
            <w:r>
              <w:rPr>
                <w:rFonts w:hint="eastAsia" w:ascii="Times New Roman" w:hAnsi="Times New Roman" w:eastAsia="宋体" w:cs="Times New Roman"/>
                <w:color w:val="000000" w:themeColor="text1"/>
                <w:sz w:val="24"/>
                <w:lang w:val="en-US" w:eastAsia="zh-CN"/>
                <w14:textFill>
                  <w14:solidFill>
                    <w14:schemeClr w14:val="tx1"/>
                  </w14:solidFill>
                </w14:textFill>
              </w:rPr>
              <w:t>气藏</w:t>
            </w:r>
            <w:r>
              <w:rPr>
                <w:rFonts w:hint="default" w:ascii="Times New Roman" w:hAnsi="Times New Roman" w:eastAsia="宋体" w:cs="Times New Roman"/>
                <w:color w:val="000000" w:themeColor="text1"/>
                <w:sz w:val="24"/>
                <w14:textFill>
                  <w14:solidFill>
                    <w14:schemeClr w14:val="tx1"/>
                  </w14:solidFill>
                </w14:textFill>
              </w:rPr>
              <w:t>层位</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为气田后续产能建设提供决策依据</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w:t>
            </w:r>
          </w:p>
          <w:p w14:paraId="7D58791F">
            <w:pPr>
              <w:keepNext w:val="0"/>
              <w:keepLines w:val="0"/>
              <w:pageBreakBefore w:val="0"/>
              <w:widowControl w:val="0"/>
              <w:kinsoku/>
              <w:wordWrap/>
              <w:overflowPunct/>
              <w:topLinePunct w:val="0"/>
              <w:bidi w:val="0"/>
              <w:adjustRightInd w:val="0"/>
              <w:snapToGrid/>
              <w:spacing w:line="360" w:lineRule="auto"/>
              <w:ind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据现场调查，本项目探井</w:t>
            </w: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00m范围内无学校、医院和大型油库等密集型、高危性场所，</w:t>
            </w: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100</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m范围内无高压线及其它永久性设施，</w:t>
            </w: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00m范围内无铁路、高速公路等，</w:t>
            </w: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100m范围内无居民点，探井选址</w:t>
            </w:r>
            <w:r>
              <w:rPr>
                <w:rFonts w:hint="default" w:ascii="Times New Roman" w:hAnsi="Times New Roman" w:cs="Times New Roman"/>
                <w:color w:val="000000" w:themeColor="text1"/>
                <w:sz w:val="24"/>
                <w14:textFill>
                  <w14:solidFill>
                    <w14:schemeClr w14:val="tx1"/>
                  </w14:solidFill>
                </w14:textFill>
              </w:rPr>
              <w:t>符合《钻前工程及井场布置技术要求》（SY/T5466-2013）中3.2.2节规定。</w:t>
            </w:r>
            <w:r>
              <w:rPr>
                <w:rFonts w:hint="eastAsia" w:ascii="Times New Roman" w:hAnsi="Times New Roman" w:cs="Times New Roman"/>
                <w:color w:val="000000" w:themeColor="text1"/>
                <w:sz w:val="24"/>
                <w:lang w:val="en-US" w:eastAsia="zh-CN"/>
                <w14:textFill>
                  <w14:solidFill>
                    <w14:schemeClr w14:val="tx1"/>
                  </w14:solidFill>
                </w14:textFill>
              </w:rPr>
              <w:t>根据项目施工期平面布置图，放喷池位于井场外，与井口距离大于30m，放散管位于井场外下风向，与井口距离大于50m，</w:t>
            </w:r>
            <w:r>
              <w:rPr>
                <w:rFonts w:hint="default" w:ascii="Times New Roman" w:hAnsi="Times New Roman" w:cs="Times New Roman"/>
                <w:color w:val="000000" w:themeColor="text1"/>
                <w:sz w:val="24"/>
                <w14:textFill>
                  <w14:solidFill>
                    <w14:schemeClr w14:val="tx1"/>
                  </w14:solidFill>
                </w14:textFill>
              </w:rPr>
              <w:t>符合《钻前工程及井场布置技术要求》（SY/T5466-2013）</w:t>
            </w:r>
            <w:r>
              <w:rPr>
                <w:rFonts w:hint="eastAsia" w:ascii="Times New Roman" w:hAnsi="Times New Roman" w:cs="Times New Roman"/>
                <w:color w:val="000000" w:themeColor="text1"/>
                <w:sz w:val="24"/>
                <w:lang w:val="en-US" w:eastAsia="zh-CN"/>
                <w14:textFill>
                  <w14:solidFill>
                    <w14:schemeClr w14:val="tx1"/>
                  </w14:solidFill>
                </w14:textFill>
              </w:rPr>
              <w:t>相关</w:t>
            </w:r>
            <w:r>
              <w:rPr>
                <w:rFonts w:hint="default" w:ascii="Times New Roman" w:hAnsi="Times New Roman" w:cs="Times New Roman"/>
                <w:color w:val="000000" w:themeColor="text1"/>
                <w:sz w:val="24"/>
                <w14:textFill>
                  <w14:solidFill>
                    <w14:schemeClr w14:val="tx1"/>
                  </w14:solidFill>
                </w14:textFill>
              </w:rPr>
              <w:t>规定</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放喷池和放散管选址合理</w:t>
            </w:r>
            <w:r>
              <w:rPr>
                <w:rFonts w:hint="eastAsia" w:ascii="Times New Roman" w:hAnsi="Times New Roman" w:cs="Times New Roman"/>
                <w:color w:val="000000" w:themeColor="text1"/>
                <w:sz w:val="24"/>
                <w:lang w:eastAsia="zh-CN"/>
                <w14:textFill>
                  <w14:solidFill>
                    <w14:schemeClr w14:val="tx1"/>
                  </w14:solidFill>
                </w14:textFill>
              </w:rPr>
              <w:t>。</w:t>
            </w:r>
          </w:p>
          <w:p w14:paraId="21A4E897">
            <w:pPr>
              <w:keepNext w:val="0"/>
              <w:keepLines w:val="0"/>
              <w:pageBreakBefore w:val="0"/>
              <w:widowControl w:val="0"/>
              <w:kinsoku/>
              <w:wordWrap/>
              <w:overflowPunct/>
              <w:topLinePunct w:val="0"/>
              <w:bidi w:val="0"/>
              <w:adjustRightInd w:val="0"/>
              <w:snapToGrid/>
              <w:spacing w:line="360" w:lineRule="auto"/>
              <w:ind w:firstLine="480" w:firstLineChars="200"/>
              <w:jc w:val="both"/>
              <w:textAlignment w:val="auto"/>
              <w:rPr>
                <w:rFonts w:hint="default" w:ascii="Times New Roman" w:hAnsi="Times New Roman" w:eastAsia="宋体" w:cs="Times New Roman"/>
                <w:b w:val="0"/>
                <w:color w:val="000000" w:themeColor="text1"/>
                <w:kern w:val="2"/>
                <w:sz w:val="24"/>
                <w:szCs w:val="24"/>
                <w:highlight w:val="green"/>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项目选址与重要设施或民宅的距离下表4-</w:t>
            </w: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15</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和附图。</w:t>
            </w:r>
          </w:p>
          <w:p w14:paraId="04E0AA5B">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240" w:lineRule="auto"/>
              <w:ind w:leftChars="0"/>
              <w:jc w:val="center"/>
              <w:textAlignment w:val="auto"/>
              <w:rPr>
                <w:rFonts w:hint="default" w:ascii="Times New Roman" w:hAnsi="Times New Roman" w:eastAsia="等线"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表</w:t>
            </w:r>
            <w:r>
              <w:rPr>
                <w:rFonts w:hint="default" w:ascii="Times New Roman" w:hAnsi="Times New Roman" w:cs="Times New Roman"/>
                <w:color w:val="000000" w:themeColor="text1"/>
                <w:sz w:val="21"/>
                <w:szCs w:val="21"/>
                <w14:textFill>
                  <w14:solidFill>
                    <w14:schemeClr w14:val="tx1"/>
                  </w14:solidFill>
                </w14:textFill>
              </w:rPr>
              <w:t>4-</w:t>
            </w:r>
            <w:r>
              <w:rPr>
                <w:rFonts w:hint="eastAsia" w:cs="Times New Roman"/>
                <w:color w:val="000000" w:themeColor="text1"/>
                <w:sz w:val="21"/>
                <w:szCs w:val="21"/>
                <w:lang w:val="en-US" w:eastAsia="zh-CN"/>
                <w14:textFill>
                  <w14:solidFill>
                    <w14:schemeClr w14:val="tx1"/>
                  </w14:solidFill>
                </w14:textFill>
              </w:rPr>
              <w:t>15</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钻井井口周边</w:t>
            </w:r>
            <w:r>
              <w:rPr>
                <w:rFonts w:hint="default" w:ascii="Times New Roman" w:hAnsi="Times New Roman" w:eastAsia="宋体" w:cs="Times New Roman"/>
                <w:color w:val="000000" w:themeColor="text1"/>
                <w:sz w:val="21"/>
                <w:szCs w:val="21"/>
                <w14:textFill>
                  <w14:solidFill>
                    <w14:schemeClr w14:val="tx1"/>
                  </w14:solidFill>
                </w14:textFill>
              </w:rPr>
              <w:t>敏感目标调查表</w:t>
            </w:r>
          </w:p>
          <w:tbl>
            <w:tblPr>
              <w:tblStyle w:val="20"/>
              <w:tblW w:w="5000" w:type="pct"/>
              <w:jc w:val="center"/>
              <w:tblLayout w:type="autofit"/>
              <w:tblCellMar>
                <w:top w:w="0" w:type="dxa"/>
                <w:left w:w="108" w:type="dxa"/>
                <w:bottom w:w="0" w:type="dxa"/>
                <w:right w:w="108" w:type="dxa"/>
              </w:tblCellMar>
            </w:tblPr>
            <w:tblGrid>
              <w:gridCol w:w="647"/>
              <w:gridCol w:w="1091"/>
              <w:gridCol w:w="1080"/>
              <w:gridCol w:w="1539"/>
              <w:gridCol w:w="1331"/>
              <w:gridCol w:w="439"/>
              <w:gridCol w:w="375"/>
              <w:gridCol w:w="492"/>
              <w:gridCol w:w="472"/>
              <w:gridCol w:w="508"/>
              <w:gridCol w:w="548"/>
              <w:gridCol w:w="219"/>
            </w:tblGrid>
            <w:tr w14:paraId="53FC158C">
              <w:tblPrEx>
                <w:tblCellMar>
                  <w:top w:w="0" w:type="dxa"/>
                  <w:left w:w="108" w:type="dxa"/>
                  <w:bottom w:w="0" w:type="dxa"/>
                  <w:right w:w="108" w:type="dxa"/>
                </w:tblCellMar>
              </w:tblPrEx>
              <w:trPr>
                <w:trHeight w:val="283" w:hRule="atLeast"/>
                <w:jc w:val="center"/>
              </w:trPr>
              <w:tc>
                <w:tcPr>
                  <w:tcW w:w="490" w:type="pct"/>
                  <w:vMerge w:val="restart"/>
                  <w:tcBorders>
                    <w:top w:val="single" w:color="auto" w:sz="4" w:space="0"/>
                    <w:left w:val="single" w:color="auto" w:sz="4" w:space="0"/>
                    <w:bottom w:val="single" w:color="auto" w:sz="4" w:space="0"/>
                    <w:right w:val="single" w:color="auto" w:sz="4" w:space="0"/>
                  </w:tcBorders>
                  <w:noWrap/>
                  <w:vAlign w:val="center"/>
                </w:tcPr>
                <w:p w14:paraId="44CE8378">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eastAsia" w:ascii="Times New Roman" w:hAnsi="Times New Roman" w:cs="Times New Roman"/>
                      <w:b/>
                      <w:bCs/>
                      <w:color w:val="000000" w:themeColor="text1"/>
                      <w:kern w:val="0"/>
                      <w:sz w:val="21"/>
                      <w:szCs w:val="21"/>
                      <w:lang w:val="en-US" w:eastAsia="zh-CN"/>
                      <w14:textFill>
                        <w14:solidFill>
                          <w14:schemeClr w14:val="tx1"/>
                        </w14:solidFill>
                      </w14:textFill>
                    </w:rPr>
                    <w:t>实施</w:t>
                  </w:r>
                  <w:r>
                    <w:rPr>
                      <w:rFonts w:hint="default" w:ascii="Times New Roman" w:hAnsi="Times New Roman" w:cs="Times New Roman"/>
                      <w:b/>
                      <w:bCs/>
                      <w:color w:val="000000" w:themeColor="text1"/>
                      <w:kern w:val="0"/>
                      <w:sz w:val="21"/>
                      <w:szCs w:val="21"/>
                      <w14:textFill>
                        <w14:solidFill>
                          <w14:schemeClr w14:val="tx1"/>
                        </w14:solidFill>
                      </w14:textFill>
                    </w:rPr>
                    <w:t>井号</w:t>
                  </w:r>
                </w:p>
              </w:tc>
              <w:tc>
                <w:tcPr>
                  <w:tcW w:w="1615" w:type="pct"/>
                  <w:gridSpan w:val="2"/>
                  <w:tcBorders>
                    <w:top w:val="single" w:color="auto" w:sz="4" w:space="0"/>
                    <w:left w:val="nil"/>
                    <w:bottom w:val="single" w:color="auto" w:sz="4" w:space="0"/>
                    <w:right w:val="single" w:color="auto" w:sz="4" w:space="0"/>
                  </w:tcBorders>
                  <w:noWrap/>
                  <w:vAlign w:val="center"/>
                </w:tcPr>
                <w:p w14:paraId="77067843">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学校、医院和大型油库等密集型、高危性场所</w:t>
                  </w:r>
                </w:p>
              </w:tc>
              <w:tc>
                <w:tcPr>
                  <w:tcW w:w="814" w:type="pct"/>
                  <w:gridSpan w:val="2"/>
                  <w:tcBorders>
                    <w:top w:val="single" w:color="auto" w:sz="4" w:space="0"/>
                    <w:left w:val="single" w:color="auto" w:sz="4" w:space="0"/>
                    <w:bottom w:val="single" w:color="auto" w:sz="4" w:space="0"/>
                    <w:right w:val="single" w:color="auto" w:sz="4" w:space="0"/>
                  </w:tcBorders>
                  <w:noWrap/>
                  <w:vAlign w:val="center"/>
                </w:tcPr>
                <w:p w14:paraId="0FE43A4A">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lang w:val="en-US" w:eastAsia="zh-CN"/>
                      <w14:textFill>
                        <w14:solidFill>
                          <w14:schemeClr w14:val="tx1"/>
                        </w14:solidFill>
                      </w14:textFill>
                    </w:rPr>
                    <w:t>民宅</w:t>
                  </w:r>
                </w:p>
              </w:tc>
              <w:tc>
                <w:tcPr>
                  <w:tcW w:w="548" w:type="pct"/>
                  <w:gridSpan w:val="2"/>
                  <w:tcBorders>
                    <w:top w:val="single" w:color="auto" w:sz="4" w:space="0"/>
                    <w:left w:val="single" w:color="auto" w:sz="4" w:space="0"/>
                    <w:bottom w:val="single" w:color="auto" w:sz="4" w:space="0"/>
                    <w:right w:val="single" w:color="auto" w:sz="4" w:space="0"/>
                  </w:tcBorders>
                  <w:noWrap/>
                  <w:vAlign w:val="center"/>
                </w:tcPr>
                <w:p w14:paraId="09779E3B">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高压线及其它</w:t>
                  </w:r>
                </w:p>
                <w:p w14:paraId="7BF01911">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永久性设施</w:t>
                  </w:r>
                </w:p>
              </w:tc>
              <w:tc>
                <w:tcPr>
                  <w:tcW w:w="666" w:type="pct"/>
                  <w:gridSpan w:val="2"/>
                  <w:tcBorders>
                    <w:top w:val="single" w:color="auto" w:sz="4" w:space="0"/>
                    <w:left w:val="nil"/>
                    <w:bottom w:val="single" w:color="auto" w:sz="4" w:space="0"/>
                    <w:right w:val="single" w:color="auto" w:sz="4" w:space="0"/>
                  </w:tcBorders>
                  <w:noWrap/>
                  <w:vAlign w:val="center"/>
                </w:tcPr>
                <w:p w14:paraId="00AB64F7">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铁路</w:t>
                  </w:r>
                </w:p>
              </w:tc>
              <w:tc>
                <w:tcPr>
                  <w:tcW w:w="738" w:type="pct"/>
                  <w:gridSpan w:val="2"/>
                  <w:tcBorders>
                    <w:top w:val="single" w:color="auto" w:sz="4" w:space="0"/>
                    <w:left w:val="nil"/>
                    <w:bottom w:val="single" w:color="auto" w:sz="4" w:space="0"/>
                    <w:right w:val="single" w:color="auto" w:sz="4" w:space="0"/>
                  </w:tcBorders>
                  <w:noWrap/>
                  <w:vAlign w:val="center"/>
                </w:tcPr>
                <w:p w14:paraId="29C23B7C">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高速公路</w:t>
                  </w:r>
                </w:p>
              </w:tc>
              <w:tc>
                <w:tcPr>
                  <w:tcW w:w="126" w:type="pct"/>
                  <w:vMerge w:val="restart"/>
                  <w:tcBorders>
                    <w:top w:val="single" w:color="auto" w:sz="4" w:space="0"/>
                    <w:left w:val="single" w:color="auto" w:sz="4" w:space="0"/>
                    <w:bottom w:val="single" w:color="auto" w:sz="4" w:space="0"/>
                    <w:right w:val="single" w:color="auto" w:sz="4" w:space="0"/>
                  </w:tcBorders>
                  <w:noWrap w:val="0"/>
                  <w:vAlign w:val="center"/>
                </w:tcPr>
                <w:p w14:paraId="15B3E789">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是否符合要求</w:t>
                  </w:r>
                </w:p>
              </w:tc>
            </w:tr>
            <w:tr w14:paraId="05E5B58D">
              <w:tblPrEx>
                <w:tblCellMar>
                  <w:top w:w="0" w:type="dxa"/>
                  <w:left w:w="108" w:type="dxa"/>
                  <w:bottom w:w="0" w:type="dxa"/>
                  <w:right w:w="108" w:type="dxa"/>
                </w:tblCellMar>
              </w:tblPrEx>
              <w:trPr>
                <w:trHeight w:val="283" w:hRule="atLeast"/>
                <w:jc w:val="center"/>
              </w:trPr>
              <w:tc>
                <w:tcPr>
                  <w:tcW w:w="490" w:type="pct"/>
                  <w:vMerge w:val="continue"/>
                  <w:tcBorders>
                    <w:top w:val="single" w:color="auto" w:sz="4" w:space="0"/>
                    <w:left w:val="single" w:color="auto" w:sz="4" w:space="0"/>
                    <w:bottom w:val="single" w:color="auto" w:sz="4" w:space="0"/>
                    <w:right w:val="single" w:color="auto" w:sz="4" w:space="0"/>
                  </w:tcBorders>
                  <w:noWrap w:val="0"/>
                  <w:vAlign w:val="center"/>
                </w:tcPr>
                <w:p w14:paraId="7CA50BE4">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p>
              </w:tc>
              <w:tc>
                <w:tcPr>
                  <w:tcW w:w="812" w:type="pct"/>
                  <w:tcBorders>
                    <w:top w:val="nil"/>
                    <w:left w:val="nil"/>
                    <w:bottom w:val="single" w:color="auto" w:sz="4" w:space="0"/>
                    <w:right w:val="single" w:color="auto" w:sz="4" w:space="0"/>
                  </w:tcBorders>
                  <w:noWrap/>
                  <w:vAlign w:val="center"/>
                </w:tcPr>
                <w:p w14:paraId="624DFB89">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名称</w:t>
                  </w:r>
                </w:p>
              </w:tc>
              <w:tc>
                <w:tcPr>
                  <w:tcW w:w="803" w:type="pct"/>
                  <w:tcBorders>
                    <w:top w:val="nil"/>
                    <w:left w:val="single" w:color="auto" w:sz="4" w:space="0"/>
                    <w:bottom w:val="single" w:color="auto" w:sz="4" w:space="0"/>
                    <w:right w:val="single" w:color="auto" w:sz="4" w:space="0"/>
                  </w:tcBorders>
                  <w:noWrap/>
                  <w:vAlign w:val="center"/>
                </w:tcPr>
                <w:p w14:paraId="248D3020">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距离</w:t>
                  </w:r>
                </w:p>
              </w:tc>
              <w:tc>
                <w:tcPr>
                  <w:tcW w:w="439" w:type="pct"/>
                  <w:tcBorders>
                    <w:top w:val="nil"/>
                    <w:left w:val="single" w:color="auto" w:sz="4" w:space="0"/>
                    <w:bottom w:val="single" w:color="auto" w:sz="4" w:space="0"/>
                    <w:right w:val="single" w:color="auto" w:sz="4" w:space="0"/>
                  </w:tcBorders>
                  <w:noWrap/>
                  <w:vAlign w:val="center"/>
                </w:tcPr>
                <w:p w14:paraId="2984B85B">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名称</w:t>
                  </w:r>
                </w:p>
              </w:tc>
              <w:tc>
                <w:tcPr>
                  <w:tcW w:w="374" w:type="pct"/>
                  <w:tcBorders>
                    <w:top w:val="nil"/>
                    <w:left w:val="single" w:color="auto" w:sz="4" w:space="0"/>
                    <w:bottom w:val="single" w:color="auto" w:sz="4" w:space="0"/>
                    <w:right w:val="single" w:color="auto" w:sz="4" w:space="0"/>
                  </w:tcBorders>
                  <w:noWrap/>
                  <w:vAlign w:val="center"/>
                </w:tcPr>
                <w:p w14:paraId="08672DBF">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距离</w:t>
                  </w:r>
                </w:p>
              </w:tc>
              <w:tc>
                <w:tcPr>
                  <w:tcW w:w="304" w:type="pct"/>
                  <w:tcBorders>
                    <w:top w:val="nil"/>
                    <w:left w:val="single" w:color="auto" w:sz="4" w:space="0"/>
                    <w:bottom w:val="single" w:color="auto" w:sz="4" w:space="0"/>
                    <w:right w:val="single" w:color="auto" w:sz="4" w:space="0"/>
                  </w:tcBorders>
                  <w:noWrap/>
                  <w:vAlign w:val="center"/>
                </w:tcPr>
                <w:p w14:paraId="49294E9B">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名称</w:t>
                  </w:r>
                </w:p>
              </w:tc>
              <w:tc>
                <w:tcPr>
                  <w:tcW w:w="244" w:type="pct"/>
                  <w:tcBorders>
                    <w:top w:val="nil"/>
                    <w:left w:val="single" w:color="auto" w:sz="4" w:space="0"/>
                    <w:bottom w:val="single" w:color="auto" w:sz="4" w:space="0"/>
                    <w:right w:val="single" w:color="auto" w:sz="4" w:space="0"/>
                  </w:tcBorders>
                  <w:noWrap/>
                  <w:vAlign w:val="center"/>
                </w:tcPr>
                <w:p w14:paraId="3DF707CD">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距离</w:t>
                  </w:r>
                </w:p>
              </w:tc>
              <w:tc>
                <w:tcPr>
                  <w:tcW w:w="342" w:type="pct"/>
                  <w:tcBorders>
                    <w:top w:val="nil"/>
                    <w:left w:val="nil"/>
                    <w:bottom w:val="single" w:color="auto" w:sz="4" w:space="0"/>
                    <w:right w:val="single" w:color="auto" w:sz="4" w:space="0"/>
                  </w:tcBorders>
                  <w:noWrap/>
                  <w:vAlign w:val="center"/>
                </w:tcPr>
                <w:p w14:paraId="4AFBEAE0">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名称</w:t>
                  </w:r>
                </w:p>
              </w:tc>
              <w:tc>
                <w:tcPr>
                  <w:tcW w:w="323" w:type="pct"/>
                  <w:tcBorders>
                    <w:top w:val="nil"/>
                    <w:left w:val="single" w:color="auto" w:sz="4" w:space="0"/>
                    <w:bottom w:val="single" w:color="auto" w:sz="4" w:space="0"/>
                    <w:right w:val="single" w:color="auto" w:sz="4" w:space="0"/>
                  </w:tcBorders>
                  <w:noWrap/>
                  <w:vAlign w:val="center"/>
                </w:tcPr>
                <w:p w14:paraId="52B960F9">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距离</w:t>
                  </w:r>
                </w:p>
              </w:tc>
              <w:tc>
                <w:tcPr>
                  <w:tcW w:w="351" w:type="pct"/>
                  <w:tcBorders>
                    <w:top w:val="nil"/>
                    <w:left w:val="nil"/>
                    <w:bottom w:val="single" w:color="auto" w:sz="4" w:space="0"/>
                    <w:right w:val="single" w:color="auto" w:sz="4" w:space="0"/>
                  </w:tcBorders>
                  <w:noWrap/>
                  <w:vAlign w:val="center"/>
                </w:tcPr>
                <w:p w14:paraId="435B122E">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名称</w:t>
                  </w:r>
                </w:p>
              </w:tc>
              <w:tc>
                <w:tcPr>
                  <w:tcW w:w="387" w:type="pct"/>
                  <w:tcBorders>
                    <w:top w:val="nil"/>
                    <w:left w:val="single" w:color="auto" w:sz="4" w:space="0"/>
                    <w:bottom w:val="single" w:color="auto" w:sz="4" w:space="0"/>
                    <w:right w:val="single" w:color="auto" w:sz="4" w:space="0"/>
                  </w:tcBorders>
                  <w:noWrap/>
                  <w:vAlign w:val="center"/>
                </w:tcPr>
                <w:p w14:paraId="01EDCBB3">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距离</w:t>
                  </w:r>
                </w:p>
              </w:tc>
              <w:tc>
                <w:tcPr>
                  <w:tcW w:w="126" w:type="pct"/>
                  <w:vMerge w:val="continue"/>
                  <w:tcBorders>
                    <w:top w:val="single" w:color="auto" w:sz="4" w:space="0"/>
                    <w:left w:val="single" w:color="auto" w:sz="4" w:space="0"/>
                    <w:bottom w:val="single" w:color="auto" w:sz="4" w:space="0"/>
                    <w:right w:val="single" w:color="auto" w:sz="4" w:space="0"/>
                  </w:tcBorders>
                  <w:noWrap w:val="0"/>
                  <w:vAlign w:val="center"/>
                </w:tcPr>
                <w:p w14:paraId="225033C4">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p>
              </w:tc>
            </w:tr>
            <w:tr w14:paraId="6FEE4723">
              <w:tblPrEx>
                <w:tblCellMar>
                  <w:top w:w="0" w:type="dxa"/>
                  <w:left w:w="108" w:type="dxa"/>
                  <w:bottom w:w="0" w:type="dxa"/>
                  <w:right w:w="108" w:type="dxa"/>
                </w:tblCellMar>
              </w:tblPrEx>
              <w:trPr>
                <w:trHeight w:val="283" w:hRule="atLeast"/>
                <w:jc w:val="center"/>
              </w:trPr>
              <w:tc>
                <w:tcPr>
                  <w:tcW w:w="490" w:type="pct"/>
                  <w:tcBorders>
                    <w:top w:val="nil"/>
                    <w:left w:val="single" w:color="auto" w:sz="4" w:space="0"/>
                    <w:bottom w:val="single" w:color="auto" w:sz="4" w:space="0"/>
                    <w:right w:val="single" w:color="auto" w:sz="4" w:space="0"/>
                  </w:tcBorders>
                  <w:shd w:val="clear" w:color="auto" w:fill="auto"/>
                  <w:noWrap/>
                  <w:vAlign w:val="center"/>
                </w:tcPr>
                <w:p w14:paraId="46825A54">
                  <w:pPr>
                    <w:spacing w:line="240" w:lineRule="auto"/>
                    <w:ind w:firstLine="0" w:firstLineChars="0"/>
                    <w:jc w:val="center"/>
                    <w:rPr>
                      <w:rFonts w:hint="default" w:ascii="Times New Roman" w:hAnsi="Times New Roman" w:cs="Times New Roman" w:eastAsiaTheme="minorHAnsi"/>
                      <w:color w:val="000000" w:themeColor="text1"/>
                      <w:sz w:val="21"/>
                      <w:szCs w:val="21"/>
                      <w:lang w:val="en-US" w:eastAsia="en-US" w:bidi="ar-SA"/>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米172-08</w:t>
                  </w:r>
                </w:p>
              </w:tc>
              <w:tc>
                <w:tcPr>
                  <w:tcW w:w="1615" w:type="pct"/>
                  <w:gridSpan w:val="2"/>
                  <w:tcBorders>
                    <w:top w:val="single" w:color="auto" w:sz="4" w:space="0"/>
                    <w:left w:val="nil"/>
                    <w:bottom w:val="single" w:color="auto" w:sz="4" w:space="0"/>
                    <w:right w:val="single" w:color="auto" w:sz="4" w:space="0"/>
                  </w:tcBorders>
                  <w:noWrap/>
                  <w:vAlign w:val="center"/>
                </w:tcPr>
                <w:p w14:paraId="1873C48D">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5</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00m内无上述敏感建筑</w:t>
                  </w:r>
                </w:p>
              </w:tc>
              <w:tc>
                <w:tcPr>
                  <w:tcW w:w="814" w:type="pct"/>
                  <w:gridSpan w:val="2"/>
                  <w:tcBorders>
                    <w:top w:val="single" w:color="auto" w:sz="4" w:space="0"/>
                    <w:left w:val="single" w:color="auto" w:sz="4" w:space="0"/>
                    <w:bottom w:val="single" w:color="auto" w:sz="4" w:space="0"/>
                    <w:right w:val="single" w:color="auto" w:sz="4" w:space="0"/>
                  </w:tcBorders>
                  <w:noWrap/>
                  <w:vAlign w:val="center"/>
                </w:tcPr>
                <w:p w14:paraId="4F8351EA">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100m范围内无居民点（距离井口最近敏感目标在499m以外）</w:t>
                  </w:r>
                </w:p>
              </w:tc>
              <w:tc>
                <w:tcPr>
                  <w:tcW w:w="548" w:type="pct"/>
                  <w:gridSpan w:val="2"/>
                  <w:tcBorders>
                    <w:top w:val="single" w:color="auto" w:sz="4" w:space="0"/>
                    <w:left w:val="single" w:color="auto" w:sz="4" w:space="0"/>
                    <w:bottom w:val="single" w:color="auto" w:sz="4" w:space="0"/>
                    <w:right w:val="single" w:color="000000" w:sz="4" w:space="0"/>
                  </w:tcBorders>
                  <w:noWrap/>
                  <w:vAlign w:val="center"/>
                </w:tcPr>
                <w:p w14:paraId="23F21149">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val="0"/>
                      <w:bCs w:val="0"/>
                      <w:color w:val="000000" w:themeColor="text1"/>
                      <w:kern w:val="0"/>
                      <w:sz w:val="21"/>
                      <w:szCs w:val="21"/>
                      <w14:textFill>
                        <w14:solidFill>
                          <w14:schemeClr w14:val="tx1"/>
                        </w14:solidFill>
                      </w14:textFill>
                    </w:rPr>
                  </w:pP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1</w:t>
                  </w: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00</w:t>
                  </w:r>
                  <w:r>
                    <w:rPr>
                      <w:rFonts w:hint="default" w:ascii="Times New Roman" w:hAnsi="Times New Roman" w:cs="Times New Roman"/>
                      <w:b w:val="0"/>
                      <w:bCs w:val="0"/>
                      <w:color w:val="000000" w:themeColor="text1"/>
                      <w:kern w:val="0"/>
                      <w:sz w:val="21"/>
                      <w:szCs w:val="21"/>
                      <w14:textFill>
                        <w14:solidFill>
                          <w14:schemeClr w14:val="tx1"/>
                        </w14:solidFill>
                      </w14:textFill>
                    </w:rPr>
                    <w:t>m内无</w:t>
                  </w:r>
                </w:p>
                <w:p w14:paraId="1330EFBB">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高压线及其它</w:t>
                  </w:r>
                </w:p>
                <w:p w14:paraId="0CEDB09E">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永久性设施</w:t>
                  </w:r>
                </w:p>
              </w:tc>
              <w:tc>
                <w:tcPr>
                  <w:tcW w:w="666" w:type="pct"/>
                  <w:gridSpan w:val="2"/>
                  <w:tcBorders>
                    <w:top w:val="nil"/>
                    <w:left w:val="nil"/>
                    <w:bottom w:val="single" w:color="auto" w:sz="4" w:space="0"/>
                    <w:right w:val="single" w:color="auto" w:sz="4" w:space="0"/>
                  </w:tcBorders>
                  <w:noWrap/>
                  <w:vAlign w:val="center"/>
                </w:tcPr>
                <w:p w14:paraId="6B32D612">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2</w:t>
                  </w:r>
                  <w:r>
                    <w:rPr>
                      <w:rFonts w:hint="default" w:ascii="Times New Roman" w:hAnsi="Times New Roman" w:cs="Times New Roman"/>
                      <w:color w:val="000000" w:themeColor="text1"/>
                      <w:kern w:val="0"/>
                      <w:sz w:val="21"/>
                      <w:szCs w:val="21"/>
                      <w14:textFill>
                        <w14:solidFill>
                          <w14:schemeClr w14:val="tx1"/>
                        </w14:solidFill>
                      </w14:textFill>
                    </w:rPr>
                    <w:t>00m内无铁路</w:t>
                  </w:r>
                </w:p>
              </w:tc>
              <w:tc>
                <w:tcPr>
                  <w:tcW w:w="738" w:type="pct"/>
                  <w:gridSpan w:val="2"/>
                  <w:tcBorders>
                    <w:top w:val="single" w:color="auto" w:sz="4" w:space="0"/>
                    <w:left w:val="nil"/>
                    <w:bottom w:val="single" w:color="auto" w:sz="4" w:space="0"/>
                    <w:right w:val="single" w:color="000000" w:sz="4" w:space="0"/>
                  </w:tcBorders>
                  <w:noWrap/>
                  <w:vAlign w:val="center"/>
                </w:tcPr>
                <w:p w14:paraId="78276D9F">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2</w:t>
                  </w:r>
                  <w:r>
                    <w:rPr>
                      <w:rFonts w:hint="default" w:ascii="Times New Roman" w:hAnsi="Times New Roman" w:cs="Times New Roman"/>
                      <w:color w:val="000000" w:themeColor="text1"/>
                      <w:kern w:val="0"/>
                      <w:sz w:val="21"/>
                      <w:szCs w:val="21"/>
                      <w14:textFill>
                        <w14:solidFill>
                          <w14:schemeClr w14:val="tx1"/>
                        </w14:solidFill>
                      </w14:textFill>
                    </w:rPr>
                    <w:t>00m内无</w:t>
                  </w:r>
                  <w:r>
                    <w:rPr>
                      <w:rFonts w:hint="default" w:ascii="Times New Roman" w:hAnsi="Times New Roman" w:cs="Times New Roman"/>
                      <w:color w:val="000000" w:themeColor="text1"/>
                      <w:kern w:val="0"/>
                      <w:sz w:val="21"/>
                      <w:szCs w:val="21"/>
                      <w:lang w:val="en-US" w:eastAsia="zh-CN"/>
                      <w14:textFill>
                        <w14:solidFill>
                          <w14:schemeClr w14:val="tx1"/>
                        </w14:solidFill>
                      </w14:textFill>
                    </w:rPr>
                    <w:t>高速公路</w:t>
                  </w:r>
                </w:p>
              </w:tc>
              <w:tc>
                <w:tcPr>
                  <w:tcW w:w="126" w:type="pct"/>
                  <w:tcBorders>
                    <w:top w:val="nil"/>
                    <w:left w:val="nil"/>
                    <w:bottom w:val="single" w:color="auto" w:sz="4" w:space="0"/>
                    <w:right w:val="single" w:color="auto" w:sz="4" w:space="0"/>
                  </w:tcBorders>
                  <w:noWrap/>
                  <w:vAlign w:val="center"/>
                </w:tcPr>
                <w:p w14:paraId="2090C66D">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是</w:t>
                  </w:r>
                </w:p>
              </w:tc>
            </w:tr>
            <w:tr w14:paraId="732327FA">
              <w:tblPrEx>
                <w:tblCellMar>
                  <w:top w:w="0" w:type="dxa"/>
                  <w:left w:w="108" w:type="dxa"/>
                  <w:bottom w:w="0" w:type="dxa"/>
                  <w:right w:w="108" w:type="dxa"/>
                </w:tblCellMar>
              </w:tblPrEx>
              <w:trPr>
                <w:trHeight w:val="283" w:hRule="atLeast"/>
                <w:jc w:val="center"/>
              </w:trPr>
              <w:tc>
                <w:tcPr>
                  <w:tcW w:w="4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343D62D">
                  <w:pPr>
                    <w:spacing w:line="240" w:lineRule="auto"/>
                    <w:ind w:firstLine="0" w:firstLineChars="0"/>
                    <w:jc w:val="center"/>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米37-14M</w:t>
                  </w:r>
                </w:p>
              </w:tc>
              <w:tc>
                <w:tcPr>
                  <w:tcW w:w="1615" w:type="pct"/>
                  <w:gridSpan w:val="2"/>
                  <w:tcBorders>
                    <w:top w:val="single" w:color="auto" w:sz="4" w:space="0"/>
                    <w:left w:val="nil"/>
                    <w:right w:val="single" w:color="auto" w:sz="4" w:space="0"/>
                  </w:tcBorders>
                  <w:noWrap/>
                  <w:vAlign w:val="center"/>
                </w:tcPr>
                <w:p w14:paraId="1DF52322">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5</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00m内无上述敏感建筑</w:t>
                  </w:r>
                </w:p>
              </w:tc>
              <w:tc>
                <w:tcPr>
                  <w:tcW w:w="814" w:type="pct"/>
                  <w:gridSpan w:val="2"/>
                  <w:tcBorders>
                    <w:top w:val="single" w:color="auto" w:sz="4" w:space="0"/>
                    <w:left w:val="single" w:color="auto" w:sz="4" w:space="0"/>
                    <w:right w:val="single" w:color="auto" w:sz="4" w:space="0"/>
                  </w:tcBorders>
                  <w:noWrap/>
                  <w:vAlign w:val="center"/>
                </w:tcPr>
                <w:p w14:paraId="2B7CD658">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100m范围内无居民点（距离井口最近敏感目标在660m以外）</w:t>
                  </w:r>
                </w:p>
              </w:tc>
              <w:tc>
                <w:tcPr>
                  <w:tcW w:w="548" w:type="pct"/>
                  <w:gridSpan w:val="2"/>
                  <w:tcBorders>
                    <w:top w:val="single" w:color="auto" w:sz="4" w:space="0"/>
                    <w:left w:val="single" w:color="auto" w:sz="4" w:space="0"/>
                    <w:right w:val="single" w:color="000000" w:sz="4" w:space="0"/>
                  </w:tcBorders>
                  <w:noWrap/>
                  <w:vAlign w:val="center"/>
                </w:tcPr>
                <w:p w14:paraId="62D5E945">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val="0"/>
                      <w:bCs w:val="0"/>
                      <w:color w:val="000000" w:themeColor="text1"/>
                      <w:kern w:val="0"/>
                      <w:sz w:val="21"/>
                      <w:szCs w:val="21"/>
                      <w14:textFill>
                        <w14:solidFill>
                          <w14:schemeClr w14:val="tx1"/>
                        </w14:solidFill>
                      </w14:textFill>
                    </w:rPr>
                  </w:pP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1</w:t>
                  </w: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00</w:t>
                  </w:r>
                  <w:r>
                    <w:rPr>
                      <w:rFonts w:hint="default" w:ascii="Times New Roman" w:hAnsi="Times New Roman" w:cs="Times New Roman"/>
                      <w:b w:val="0"/>
                      <w:bCs w:val="0"/>
                      <w:color w:val="000000" w:themeColor="text1"/>
                      <w:kern w:val="0"/>
                      <w:sz w:val="21"/>
                      <w:szCs w:val="21"/>
                      <w14:textFill>
                        <w14:solidFill>
                          <w14:schemeClr w14:val="tx1"/>
                        </w14:solidFill>
                      </w14:textFill>
                    </w:rPr>
                    <w:t>m内无</w:t>
                  </w:r>
                </w:p>
                <w:p w14:paraId="78DA8C63">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高压线及其它</w:t>
                  </w:r>
                </w:p>
                <w:p w14:paraId="7D6B7380">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永久性设施</w:t>
                  </w:r>
                </w:p>
              </w:tc>
              <w:tc>
                <w:tcPr>
                  <w:tcW w:w="666" w:type="pct"/>
                  <w:gridSpan w:val="2"/>
                  <w:tcBorders>
                    <w:top w:val="single" w:color="auto" w:sz="4" w:space="0"/>
                    <w:left w:val="nil"/>
                    <w:bottom w:val="single" w:color="auto" w:sz="4" w:space="0"/>
                    <w:right w:val="single" w:color="auto" w:sz="4" w:space="0"/>
                  </w:tcBorders>
                  <w:noWrap/>
                  <w:vAlign w:val="center"/>
                </w:tcPr>
                <w:p w14:paraId="37A347E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2</w:t>
                  </w:r>
                  <w:r>
                    <w:rPr>
                      <w:rFonts w:hint="default" w:ascii="Times New Roman" w:hAnsi="Times New Roman" w:cs="Times New Roman"/>
                      <w:color w:val="000000" w:themeColor="text1"/>
                      <w:kern w:val="0"/>
                      <w:sz w:val="21"/>
                      <w:szCs w:val="21"/>
                      <w14:textFill>
                        <w14:solidFill>
                          <w14:schemeClr w14:val="tx1"/>
                        </w14:solidFill>
                      </w14:textFill>
                    </w:rPr>
                    <w:t>00m内无铁路</w:t>
                  </w:r>
                </w:p>
              </w:tc>
              <w:tc>
                <w:tcPr>
                  <w:tcW w:w="738" w:type="pct"/>
                  <w:gridSpan w:val="2"/>
                  <w:tcBorders>
                    <w:top w:val="single" w:color="auto" w:sz="4" w:space="0"/>
                    <w:left w:val="nil"/>
                    <w:right w:val="single" w:color="000000" w:sz="4" w:space="0"/>
                  </w:tcBorders>
                  <w:noWrap/>
                  <w:vAlign w:val="center"/>
                </w:tcPr>
                <w:p w14:paraId="0B1CCA9B">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2</w:t>
                  </w:r>
                  <w:r>
                    <w:rPr>
                      <w:rFonts w:hint="default" w:ascii="Times New Roman" w:hAnsi="Times New Roman" w:cs="Times New Roman"/>
                      <w:color w:val="000000" w:themeColor="text1"/>
                      <w:kern w:val="0"/>
                      <w:sz w:val="21"/>
                      <w:szCs w:val="21"/>
                      <w14:textFill>
                        <w14:solidFill>
                          <w14:schemeClr w14:val="tx1"/>
                        </w14:solidFill>
                      </w14:textFill>
                    </w:rPr>
                    <w:t>00m内无</w:t>
                  </w:r>
                  <w:r>
                    <w:rPr>
                      <w:rFonts w:hint="default" w:ascii="Times New Roman" w:hAnsi="Times New Roman" w:cs="Times New Roman"/>
                      <w:color w:val="000000" w:themeColor="text1"/>
                      <w:kern w:val="0"/>
                      <w:sz w:val="21"/>
                      <w:szCs w:val="21"/>
                      <w:lang w:val="en-US" w:eastAsia="zh-CN"/>
                      <w14:textFill>
                        <w14:solidFill>
                          <w14:schemeClr w14:val="tx1"/>
                        </w14:solidFill>
                      </w14:textFill>
                    </w:rPr>
                    <w:t>高速公路</w:t>
                  </w:r>
                </w:p>
              </w:tc>
              <w:tc>
                <w:tcPr>
                  <w:tcW w:w="126" w:type="pct"/>
                  <w:tcBorders>
                    <w:top w:val="single" w:color="auto" w:sz="4" w:space="0"/>
                    <w:left w:val="nil"/>
                    <w:bottom w:val="single" w:color="auto" w:sz="4" w:space="0"/>
                    <w:right w:val="single" w:color="auto" w:sz="4" w:space="0"/>
                  </w:tcBorders>
                  <w:noWrap/>
                  <w:vAlign w:val="center"/>
                </w:tcPr>
                <w:p w14:paraId="01B7B8BE">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是</w:t>
                  </w:r>
                </w:p>
              </w:tc>
            </w:tr>
            <w:tr w14:paraId="6E3B57F9">
              <w:tblPrEx>
                <w:tblCellMar>
                  <w:top w:w="0" w:type="dxa"/>
                  <w:left w:w="108" w:type="dxa"/>
                  <w:bottom w:w="0" w:type="dxa"/>
                  <w:right w:w="108" w:type="dxa"/>
                </w:tblCellMar>
              </w:tblPrEx>
              <w:trPr>
                <w:trHeight w:val="283" w:hRule="atLeast"/>
                <w:jc w:val="center"/>
              </w:trPr>
              <w:tc>
                <w:tcPr>
                  <w:tcW w:w="490" w:type="pct"/>
                  <w:tcBorders>
                    <w:top w:val="nil"/>
                    <w:left w:val="single" w:color="auto" w:sz="4" w:space="0"/>
                    <w:bottom w:val="single" w:color="auto" w:sz="4" w:space="0"/>
                    <w:right w:val="single" w:color="auto" w:sz="4" w:space="0"/>
                  </w:tcBorders>
                  <w:shd w:val="clear" w:color="auto" w:fill="auto"/>
                  <w:noWrap/>
                  <w:vAlign w:val="center"/>
                </w:tcPr>
                <w:p w14:paraId="7FAFE061">
                  <w:pPr>
                    <w:spacing w:line="240" w:lineRule="auto"/>
                    <w:ind w:firstLine="0" w:firstLineChars="0"/>
                    <w:jc w:val="center"/>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米172-06</w:t>
                  </w:r>
                </w:p>
              </w:tc>
              <w:tc>
                <w:tcPr>
                  <w:tcW w:w="1615" w:type="pct"/>
                  <w:gridSpan w:val="2"/>
                  <w:tcBorders>
                    <w:top w:val="single" w:color="auto" w:sz="4" w:space="0"/>
                    <w:left w:val="nil"/>
                    <w:right w:val="single" w:color="auto" w:sz="4" w:space="0"/>
                  </w:tcBorders>
                  <w:noWrap/>
                  <w:vAlign w:val="center"/>
                </w:tcPr>
                <w:p w14:paraId="75C7F8B8">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5</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00m内无上述敏感建筑</w:t>
                  </w:r>
                </w:p>
              </w:tc>
              <w:tc>
                <w:tcPr>
                  <w:tcW w:w="814" w:type="pct"/>
                  <w:gridSpan w:val="2"/>
                  <w:tcBorders>
                    <w:top w:val="single" w:color="auto" w:sz="4" w:space="0"/>
                    <w:left w:val="single" w:color="auto" w:sz="4" w:space="0"/>
                    <w:right w:val="single" w:color="auto" w:sz="4" w:space="0"/>
                  </w:tcBorders>
                  <w:noWrap/>
                  <w:vAlign w:val="center"/>
                </w:tcPr>
                <w:p w14:paraId="78F2D410">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100m范围内无居民点（距离井口最近敏感目标在836m以外）</w:t>
                  </w:r>
                </w:p>
              </w:tc>
              <w:tc>
                <w:tcPr>
                  <w:tcW w:w="548" w:type="pct"/>
                  <w:gridSpan w:val="2"/>
                  <w:tcBorders>
                    <w:top w:val="single" w:color="auto" w:sz="4" w:space="0"/>
                    <w:left w:val="single" w:color="auto" w:sz="4" w:space="0"/>
                    <w:right w:val="single" w:color="000000" w:sz="4" w:space="0"/>
                  </w:tcBorders>
                  <w:shd w:val="clear" w:color="auto" w:fill="auto"/>
                  <w:noWrap/>
                  <w:vAlign w:val="center"/>
                </w:tcPr>
                <w:p w14:paraId="6B6401F2">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val="0"/>
                      <w:bCs w:val="0"/>
                      <w:color w:val="000000" w:themeColor="text1"/>
                      <w:kern w:val="0"/>
                      <w:sz w:val="21"/>
                      <w:szCs w:val="21"/>
                      <w14:textFill>
                        <w14:solidFill>
                          <w14:schemeClr w14:val="tx1"/>
                        </w14:solidFill>
                      </w14:textFill>
                    </w:rPr>
                  </w:pP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1</w:t>
                  </w: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00</w:t>
                  </w:r>
                  <w:r>
                    <w:rPr>
                      <w:rFonts w:hint="default" w:ascii="Times New Roman" w:hAnsi="Times New Roman" w:cs="Times New Roman"/>
                      <w:b w:val="0"/>
                      <w:bCs w:val="0"/>
                      <w:color w:val="000000" w:themeColor="text1"/>
                      <w:kern w:val="0"/>
                      <w:sz w:val="21"/>
                      <w:szCs w:val="21"/>
                      <w14:textFill>
                        <w14:solidFill>
                          <w14:schemeClr w14:val="tx1"/>
                        </w14:solidFill>
                      </w14:textFill>
                    </w:rPr>
                    <w:t>m内无</w:t>
                  </w:r>
                </w:p>
                <w:p w14:paraId="01AEA1AB">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高压线及其它</w:t>
                  </w:r>
                </w:p>
                <w:p w14:paraId="167CC965">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永久性设施</w:t>
                  </w:r>
                </w:p>
              </w:tc>
              <w:tc>
                <w:tcPr>
                  <w:tcW w:w="666" w:type="pct"/>
                  <w:gridSpan w:val="2"/>
                  <w:tcBorders>
                    <w:top w:val="single" w:color="auto" w:sz="4" w:space="0"/>
                    <w:left w:val="nil"/>
                    <w:right w:val="single" w:color="auto" w:sz="4" w:space="0"/>
                  </w:tcBorders>
                  <w:shd w:val="clear" w:color="auto" w:fill="auto"/>
                  <w:noWrap/>
                  <w:vAlign w:val="center"/>
                </w:tcPr>
                <w:p w14:paraId="1E08C170">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HAnsi"/>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2</w:t>
                  </w:r>
                  <w:r>
                    <w:rPr>
                      <w:rFonts w:hint="default" w:ascii="Times New Roman" w:hAnsi="Times New Roman" w:cs="Times New Roman"/>
                      <w:color w:val="000000" w:themeColor="text1"/>
                      <w:kern w:val="0"/>
                      <w:sz w:val="21"/>
                      <w:szCs w:val="21"/>
                      <w14:textFill>
                        <w14:solidFill>
                          <w14:schemeClr w14:val="tx1"/>
                        </w14:solidFill>
                      </w14:textFill>
                    </w:rPr>
                    <w:t>00m内无铁路</w:t>
                  </w:r>
                </w:p>
              </w:tc>
              <w:tc>
                <w:tcPr>
                  <w:tcW w:w="738" w:type="pct"/>
                  <w:gridSpan w:val="2"/>
                  <w:tcBorders>
                    <w:top w:val="single" w:color="auto" w:sz="4" w:space="0"/>
                    <w:left w:val="nil"/>
                    <w:right w:val="single" w:color="000000" w:sz="4" w:space="0"/>
                  </w:tcBorders>
                  <w:shd w:val="clear" w:color="auto" w:fill="auto"/>
                  <w:noWrap/>
                  <w:vAlign w:val="center"/>
                </w:tcPr>
                <w:p w14:paraId="1A034830">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cs="Times New Roman" w:eastAsiaTheme="minorHAnsi"/>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2</w:t>
                  </w:r>
                  <w:r>
                    <w:rPr>
                      <w:rFonts w:hint="default" w:ascii="Times New Roman" w:hAnsi="Times New Roman" w:cs="Times New Roman"/>
                      <w:color w:val="000000" w:themeColor="text1"/>
                      <w:kern w:val="0"/>
                      <w:sz w:val="21"/>
                      <w:szCs w:val="21"/>
                      <w14:textFill>
                        <w14:solidFill>
                          <w14:schemeClr w14:val="tx1"/>
                        </w14:solidFill>
                      </w14:textFill>
                    </w:rPr>
                    <w:t>00m内无</w:t>
                  </w:r>
                  <w:r>
                    <w:rPr>
                      <w:rFonts w:hint="default" w:ascii="Times New Roman" w:hAnsi="Times New Roman" w:cs="Times New Roman"/>
                      <w:color w:val="000000" w:themeColor="text1"/>
                      <w:kern w:val="0"/>
                      <w:sz w:val="21"/>
                      <w:szCs w:val="21"/>
                      <w:lang w:val="en-US" w:eastAsia="zh-CN"/>
                      <w14:textFill>
                        <w14:solidFill>
                          <w14:schemeClr w14:val="tx1"/>
                        </w14:solidFill>
                      </w14:textFill>
                    </w:rPr>
                    <w:t>高速公路</w:t>
                  </w:r>
                </w:p>
              </w:tc>
              <w:tc>
                <w:tcPr>
                  <w:tcW w:w="126" w:type="pct"/>
                  <w:tcBorders>
                    <w:top w:val="nil"/>
                    <w:left w:val="nil"/>
                    <w:bottom w:val="single" w:color="auto" w:sz="4" w:space="0"/>
                    <w:right w:val="single" w:color="auto" w:sz="4" w:space="0"/>
                  </w:tcBorders>
                  <w:shd w:val="clear" w:color="auto" w:fill="auto"/>
                  <w:noWrap/>
                  <w:vAlign w:val="center"/>
                </w:tcPr>
                <w:p w14:paraId="3BFF0173">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eastAsiaTheme="minorHAnsi"/>
                      <w:color w:val="000000" w:themeColor="text1"/>
                      <w:kern w:val="0"/>
                      <w:sz w:val="21"/>
                      <w:szCs w:val="21"/>
                      <w:lang w:val="en-US" w:eastAsia="en-US" w:bidi="ar-SA"/>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是</w:t>
                  </w:r>
                </w:p>
              </w:tc>
            </w:tr>
            <w:tr w14:paraId="27623792">
              <w:tblPrEx>
                <w:tblCellMar>
                  <w:top w:w="0" w:type="dxa"/>
                  <w:left w:w="108" w:type="dxa"/>
                  <w:bottom w:w="0" w:type="dxa"/>
                  <w:right w:w="108" w:type="dxa"/>
                </w:tblCellMar>
              </w:tblPrEx>
              <w:trPr>
                <w:trHeight w:val="283" w:hRule="atLeast"/>
                <w:jc w:val="center"/>
              </w:trPr>
              <w:tc>
                <w:tcPr>
                  <w:tcW w:w="490" w:type="pct"/>
                  <w:tcBorders>
                    <w:top w:val="nil"/>
                    <w:left w:val="single" w:color="auto" w:sz="4" w:space="0"/>
                    <w:bottom w:val="single" w:color="auto" w:sz="4" w:space="0"/>
                    <w:right w:val="single" w:color="auto" w:sz="4" w:space="0"/>
                  </w:tcBorders>
                  <w:shd w:val="clear" w:color="auto" w:fill="auto"/>
                  <w:noWrap/>
                  <w:vAlign w:val="center"/>
                </w:tcPr>
                <w:p w14:paraId="48AE2717">
                  <w:pPr>
                    <w:spacing w:line="240" w:lineRule="auto"/>
                    <w:ind w:firstLine="0" w:firstLineChars="0"/>
                    <w:jc w:val="center"/>
                    <w:rPr>
                      <w:rFonts w:hint="default" w:ascii="Times New Roman" w:hAnsi="Times New Roman" w:cs="Times New Roman" w:eastAsiaTheme="minorHAnsi"/>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u w:val="none"/>
                      <w:vertAlign w:val="baseline"/>
                      <w:lang w:val="en-US" w:eastAsia="zh-CN"/>
                      <w14:textFill>
                        <w14:solidFill>
                          <w14:schemeClr w14:val="tx1"/>
                        </w14:solidFill>
                      </w14:textFill>
                    </w:rPr>
                    <w:t>米172-07</w:t>
                  </w:r>
                </w:p>
              </w:tc>
              <w:tc>
                <w:tcPr>
                  <w:tcW w:w="1615" w:type="pct"/>
                  <w:gridSpan w:val="2"/>
                  <w:tcBorders>
                    <w:top w:val="single" w:color="auto" w:sz="4" w:space="0"/>
                    <w:left w:val="nil"/>
                    <w:right w:val="single" w:color="auto" w:sz="4" w:space="0"/>
                  </w:tcBorders>
                  <w:noWrap/>
                  <w:vAlign w:val="center"/>
                </w:tcPr>
                <w:p w14:paraId="372FEFED">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5</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00m内无上述敏感建筑</w:t>
                  </w:r>
                </w:p>
              </w:tc>
              <w:tc>
                <w:tcPr>
                  <w:tcW w:w="814" w:type="pct"/>
                  <w:gridSpan w:val="2"/>
                  <w:tcBorders>
                    <w:top w:val="single" w:color="auto" w:sz="4" w:space="0"/>
                    <w:left w:val="single" w:color="auto" w:sz="4" w:space="0"/>
                    <w:right w:val="single" w:color="auto" w:sz="4" w:space="0"/>
                  </w:tcBorders>
                  <w:noWrap/>
                  <w:vAlign w:val="center"/>
                </w:tcPr>
                <w:p w14:paraId="4DE4579F">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100m范围内无居民点（距离井口最近敏感目标在466m以外）</w:t>
                  </w:r>
                </w:p>
              </w:tc>
              <w:tc>
                <w:tcPr>
                  <w:tcW w:w="548" w:type="pct"/>
                  <w:gridSpan w:val="2"/>
                  <w:tcBorders>
                    <w:top w:val="single" w:color="auto" w:sz="4" w:space="0"/>
                    <w:left w:val="single" w:color="auto" w:sz="4" w:space="0"/>
                    <w:right w:val="single" w:color="000000" w:sz="4" w:space="0"/>
                  </w:tcBorders>
                  <w:shd w:val="clear" w:color="auto" w:fill="auto"/>
                  <w:noWrap/>
                  <w:vAlign w:val="center"/>
                </w:tcPr>
                <w:p w14:paraId="4997FA6D">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val="0"/>
                      <w:bCs w:val="0"/>
                      <w:color w:val="000000" w:themeColor="text1"/>
                      <w:kern w:val="0"/>
                      <w:sz w:val="21"/>
                      <w:szCs w:val="21"/>
                      <w14:textFill>
                        <w14:solidFill>
                          <w14:schemeClr w14:val="tx1"/>
                        </w14:solidFill>
                      </w14:textFill>
                    </w:rPr>
                  </w:pP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1</w:t>
                  </w:r>
                  <w:r>
                    <w:rPr>
                      <w:rFonts w:hint="default" w:ascii="Times New Roman" w:hAnsi="Times New Roman" w:cs="Times New Roman"/>
                      <w:b w:val="0"/>
                      <w:bCs w:val="0"/>
                      <w:color w:val="000000" w:themeColor="text1"/>
                      <w:kern w:val="0"/>
                      <w:sz w:val="21"/>
                      <w:szCs w:val="21"/>
                      <w:lang w:val="en-US" w:eastAsia="zh-CN"/>
                      <w14:textFill>
                        <w14:solidFill>
                          <w14:schemeClr w14:val="tx1"/>
                        </w14:solidFill>
                      </w14:textFill>
                    </w:rPr>
                    <w:t>00</w:t>
                  </w:r>
                  <w:r>
                    <w:rPr>
                      <w:rFonts w:hint="default" w:ascii="Times New Roman" w:hAnsi="Times New Roman" w:cs="Times New Roman"/>
                      <w:b w:val="0"/>
                      <w:bCs w:val="0"/>
                      <w:color w:val="000000" w:themeColor="text1"/>
                      <w:kern w:val="0"/>
                      <w:sz w:val="21"/>
                      <w:szCs w:val="21"/>
                      <w14:textFill>
                        <w14:solidFill>
                          <w14:schemeClr w14:val="tx1"/>
                        </w14:solidFill>
                      </w14:textFill>
                    </w:rPr>
                    <w:t>m内无</w:t>
                  </w:r>
                </w:p>
                <w:p w14:paraId="6C18CF87">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高压线及其它</w:t>
                  </w:r>
                </w:p>
                <w:p w14:paraId="337F39DE">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永久性设施</w:t>
                  </w:r>
                </w:p>
              </w:tc>
              <w:tc>
                <w:tcPr>
                  <w:tcW w:w="666" w:type="pct"/>
                  <w:gridSpan w:val="2"/>
                  <w:tcBorders>
                    <w:top w:val="single" w:color="auto" w:sz="4" w:space="0"/>
                    <w:left w:val="nil"/>
                    <w:right w:val="single" w:color="auto" w:sz="4" w:space="0"/>
                  </w:tcBorders>
                  <w:shd w:val="clear" w:color="auto" w:fill="auto"/>
                  <w:noWrap/>
                  <w:vAlign w:val="center"/>
                </w:tcPr>
                <w:p w14:paraId="487BF32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eastAsiaTheme="minorHAnsi"/>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2</w:t>
                  </w:r>
                  <w:r>
                    <w:rPr>
                      <w:rFonts w:hint="default" w:ascii="Times New Roman" w:hAnsi="Times New Roman" w:cs="Times New Roman"/>
                      <w:color w:val="000000" w:themeColor="text1"/>
                      <w:kern w:val="0"/>
                      <w:sz w:val="21"/>
                      <w:szCs w:val="21"/>
                      <w14:textFill>
                        <w14:solidFill>
                          <w14:schemeClr w14:val="tx1"/>
                        </w14:solidFill>
                      </w14:textFill>
                    </w:rPr>
                    <w:t>00m内无铁路</w:t>
                  </w:r>
                </w:p>
              </w:tc>
              <w:tc>
                <w:tcPr>
                  <w:tcW w:w="738" w:type="pct"/>
                  <w:gridSpan w:val="2"/>
                  <w:tcBorders>
                    <w:top w:val="single" w:color="auto" w:sz="4" w:space="0"/>
                    <w:left w:val="nil"/>
                    <w:right w:val="single" w:color="000000" w:sz="4" w:space="0"/>
                  </w:tcBorders>
                  <w:shd w:val="clear" w:color="auto" w:fill="auto"/>
                  <w:noWrap/>
                  <w:vAlign w:val="center"/>
                </w:tcPr>
                <w:p w14:paraId="04202234">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cs="Times New Roman" w:eastAsiaTheme="minorHAnsi"/>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2</w:t>
                  </w:r>
                  <w:r>
                    <w:rPr>
                      <w:rFonts w:hint="default" w:ascii="Times New Roman" w:hAnsi="Times New Roman" w:cs="Times New Roman"/>
                      <w:color w:val="000000" w:themeColor="text1"/>
                      <w:kern w:val="0"/>
                      <w:sz w:val="21"/>
                      <w:szCs w:val="21"/>
                      <w14:textFill>
                        <w14:solidFill>
                          <w14:schemeClr w14:val="tx1"/>
                        </w14:solidFill>
                      </w14:textFill>
                    </w:rPr>
                    <w:t>00m内无</w:t>
                  </w:r>
                  <w:r>
                    <w:rPr>
                      <w:rFonts w:hint="default" w:ascii="Times New Roman" w:hAnsi="Times New Roman" w:cs="Times New Roman"/>
                      <w:color w:val="000000" w:themeColor="text1"/>
                      <w:kern w:val="0"/>
                      <w:sz w:val="21"/>
                      <w:szCs w:val="21"/>
                      <w:lang w:val="en-US" w:eastAsia="zh-CN"/>
                      <w14:textFill>
                        <w14:solidFill>
                          <w14:schemeClr w14:val="tx1"/>
                        </w14:solidFill>
                      </w14:textFill>
                    </w:rPr>
                    <w:t>高速公路</w:t>
                  </w:r>
                </w:p>
              </w:tc>
              <w:tc>
                <w:tcPr>
                  <w:tcW w:w="126" w:type="pct"/>
                  <w:tcBorders>
                    <w:top w:val="nil"/>
                    <w:left w:val="nil"/>
                    <w:bottom w:val="single" w:color="auto" w:sz="4" w:space="0"/>
                    <w:right w:val="single" w:color="auto" w:sz="4" w:space="0"/>
                  </w:tcBorders>
                  <w:shd w:val="clear" w:color="auto" w:fill="auto"/>
                  <w:noWrap/>
                  <w:vAlign w:val="center"/>
                </w:tcPr>
                <w:p w14:paraId="20B0D084">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eastAsiaTheme="minorHAnsi"/>
                      <w:color w:val="000000" w:themeColor="text1"/>
                      <w:kern w:val="0"/>
                      <w:sz w:val="21"/>
                      <w:szCs w:val="21"/>
                      <w:lang w:val="en-US" w:eastAsia="en-US" w:bidi="ar-SA"/>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是</w:t>
                  </w:r>
                </w:p>
              </w:tc>
            </w:tr>
            <w:tr w14:paraId="6B6C85CF">
              <w:tblPrEx>
                <w:tblCellMar>
                  <w:top w:w="0" w:type="dxa"/>
                  <w:left w:w="108" w:type="dxa"/>
                  <w:bottom w:w="0" w:type="dxa"/>
                  <w:right w:w="108" w:type="dxa"/>
                </w:tblCellMar>
              </w:tblPrEx>
              <w:trPr>
                <w:trHeight w:val="283" w:hRule="atLeast"/>
                <w:jc w:val="center"/>
              </w:trPr>
              <w:tc>
                <w:tcPr>
                  <w:tcW w:w="490" w:type="pct"/>
                  <w:tcBorders>
                    <w:top w:val="single" w:color="auto" w:sz="4" w:space="0"/>
                    <w:left w:val="single" w:color="auto" w:sz="4" w:space="0"/>
                    <w:bottom w:val="single" w:color="auto" w:sz="4" w:space="0"/>
                    <w:right w:val="single" w:color="auto" w:sz="4" w:space="0"/>
                  </w:tcBorders>
                  <w:noWrap/>
                  <w:vAlign w:val="center"/>
                </w:tcPr>
                <w:p w14:paraId="188C4178">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规范要求</w:t>
                  </w:r>
                </w:p>
              </w:tc>
              <w:tc>
                <w:tcPr>
                  <w:tcW w:w="1615" w:type="pct"/>
                  <w:gridSpan w:val="2"/>
                  <w:tcBorders>
                    <w:top w:val="single" w:color="auto" w:sz="4" w:space="0"/>
                    <w:left w:val="nil"/>
                    <w:bottom w:val="single" w:color="auto" w:sz="4" w:space="0"/>
                    <w:right w:val="single" w:color="auto" w:sz="4" w:space="0"/>
                  </w:tcBorders>
                  <w:noWrap/>
                  <w:vAlign w:val="center"/>
                </w:tcPr>
                <w:p w14:paraId="7F001BD7">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w:t>
                  </w:r>
                  <w:r>
                    <w:rPr>
                      <w:rFonts w:hint="default" w:ascii="Times New Roman" w:hAnsi="Times New Roman" w:cs="Times New Roman"/>
                      <w:color w:val="000000" w:themeColor="text1"/>
                      <w:kern w:val="0"/>
                      <w:sz w:val="21"/>
                      <w:szCs w:val="21"/>
                      <w:lang w:val="en-US" w:eastAsia="zh-CN"/>
                      <w14:textFill>
                        <w14:solidFill>
                          <w14:schemeClr w14:val="tx1"/>
                        </w14:solidFill>
                      </w14:textFill>
                    </w:rPr>
                    <w:t>5</w:t>
                  </w:r>
                  <w:r>
                    <w:rPr>
                      <w:rFonts w:hint="default" w:ascii="Times New Roman" w:hAnsi="Times New Roman" w:cs="Times New Roman"/>
                      <w:color w:val="000000" w:themeColor="text1"/>
                      <w:kern w:val="0"/>
                      <w:sz w:val="21"/>
                      <w:szCs w:val="21"/>
                      <w14:textFill>
                        <w14:solidFill>
                          <w14:schemeClr w14:val="tx1"/>
                        </w14:solidFill>
                      </w14:textFill>
                    </w:rPr>
                    <w:t>00</w:t>
                  </w:r>
                </w:p>
              </w:tc>
              <w:tc>
                <w:tcPr>
                  <w:tcW w:w="814" w:type="pct"/>
                  <w:gridSpan w:val="2"/>
                  <w:tcBorders>
                    <w:top w:val="single" w:color="auto" w:sz="4" w:space="0"/>
                    <w:left w:val="single" w:color="auto" w:sz="4" w:space="0"/>
                    <w:bottom w:val="single" w:color="auto" w:sz="4" w:space="0"/>
                    <w:right w:val="single" w:color="auto" w:sz="4" w:space="0"/>
                  </w:tcBorders>
                  <w:noWrap/>
                  <w:vAlign w:val="center"/>
                </w:tcPr>
                <w:p w14:paraId="6D3A9B12">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w:t>
                  </w:r>
                  <w:r>
                    <w:rPr>
                      <w:rFonts w:hint="default" w:ascii="Times New Roman" w:hAnsi="Times New Roman" w:cs="Times New Roman"/>
                      <w:color w:val="000000" w:themeColor="text1"/>
                      <w:kern w:val="0"/>
                      <w:sz w:val="21"/>
                      <w:szCs w:val="21"/>
                      <w:lang w:val="en-US" w:eastAsia="zh-CN"/>
                      <w14:textFill>
                        <w14:solidFill>
                          <w14:schemeClr w14:val="tx1"/>
                        </w14:solidFill>
                      </w14:textFill>
                    </w:rPr>
                    <w:t>1</w:t>
                  </w:r>
                  <w:r>
                    <w:rPr>
                      <w:rFonts w:hint="default" w:ascii="Times New Roman" w:hAnsi="Times New Roman" w:cs="Times New Roman"/>
                      <w:color w:val="000000" w:themeColor="text1"/>
                      <w:kern w:val="0"/>
                      <w:sz w:val="21"/>
                      <w:szCs w:val="21"/>
                      <w14:textFill>
                        <w14:solidFill>
                          <w14:schemeClr w14:val="tx1"/>
                        </w14:solidFill>
                      </w14:textFill>
                    </w:rPr>
                    <w:t>00</w:t>
                  </w:r>
                </w:p>
              </w:tc>
              <w:tc>
                <w:tcPr>
                  <w:tcW w:w="548" w:type="pct"/>
                  <w:gridSpan w:val="2"/>
                  <w:tcBorders>
                    <w:top w:val="single" w:color="auto" w:sz="4" w:space="0"/>
                    <w:left w:val="single" w:color="auto" w:sz="4" w:space="0"/>
                    <w:bottom w:val="single" w:color="auto" w:sz="4" w:space="0"/>
                    <w:right w:val="single" w:color="auto" w:sz="4" w:space="0"/>
                  </w:tcBorders>
                  <w:noWrap/>
                  <w:vAlign w:val="center"/>
                </w:tcPr>
                <w:p w14:paraId="09C13AC1">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w:t>
                  </w:r>
                  <w:r>
                    <w:rPr>
                      <w:rFonts w:hint="default" w:ascii="Times New Roman" w:hAnsi="Times New Roman" w:cs="Times New Roman"/>
                      <w:color w:val="000000" w:themeColor="text1"/>
                      <w:kern w:val="0"/>
                      <w:sz w:val="21"/>
                      <w:szCs w:val="21"/>
                      <w:lang w:val="en-US" w:eastAsia="zh-CN"/>
                      <w14:textFill>
                        <w14:solidFill>
                          <w14:schemeClr w14:val="tx1"/>
                        </w14:solidFill>
                      </w14:textFill>
                    </w:rPr>
                    <w:t>75</w:t>
                  </w:r>
                </w:p>
              </w:tc>
              <w:tc>
                <w:tcPr>
                  <w:tcW w:w="666" w:type="pct"/>
                  <w:gridSpan w:val="2"/>
                  <w:tcBorders>
                    <w:top w:val="single" w:color="auto" w:sz="4" w:space="0"/>
                    <w:left w:val="nil"/>
                    <w:bottom w:val="single" w:color="auto" w:sz="4" w:space="0"/>
                    <w:right w:val="single" w:color="auto" w:sz="4" w:space="0"/>
                  </w:tcBorders>
                  <w:noWrap/>
                  <w:vAlign w:val="center"/>
                </w:tcPr>
                <w:p w14:paraId="32E97CD2">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≥200</w:t>
                  </w:r>
                </w:p>
              </w:tc>
              <w:tc>
                <w:tcPr>
                  <w:tcW w:w="738" w:type="pct"/>
                  <w:gridSpan w:val="2"/>
                  <w:tcBorders>
                    <w:top w:val="single" w:color="auto" w:sz="4" w:space="0"/>
                    <w:left w:val="nil"/>
                    <w:bottom w:val="single" w:color="auto" w:sz="4" w:space="0"/>
                    <w:right w:val="single" w:color="auto" w:sz="4" w:space="0"/>
                  </w:tcBorders>
                  <w:noWrap/>
                  <w:vAlign w:val="center"/>
                </w:tcPr>
                <w:p w14:paraId="7226B4FA">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≥200</w:t>
                  </w:r>
                </w:p>
              </w:tc>
              <w:tc>
                <w:tcPr>
                  <w:tcW w:w="126" w:type="pct"/>
                  <w:tcBorders>
                    <w:top w:val="single" w:color="auto" w:sz="4" w:space="0"/>
                    <w:left w:val="nil"/>
                    <w:bottom w:val="single" w:color="auto" w:sz="4" w:space="0"/>
                    <w:right w:val="single" w:color="auto" w:sz="4" w:space="0"/>
                  </w:tcBorders>
                  <w:noWrap/>
                  <w:vAlign w:val="center"/>
                </w:tcPr>
                <w:p w14:paraId="6D739DA3">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w:t>
                  </w:r>
                </w:p>
              </w:tc>
            </w:tr>
          </w:tbl>
          <w:p w14:paraId="4620F31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sz w:val="24"/>
                <w:szCs w:val="32"/>
                <w:lang w:eastAsia="zh-CN"/>
                <w14:textFill>
                  <w14:solidFill>
                    <w14:schemeClr w14:val="tx1"/>
                  </w14:solidFill>
                </w14:textFill>
              </w:rPr>
            </w:pPr>
            <w:r>
              <w:rPr>
                <w:rFonts w:hint="default" w:ascii="Times New Roman" w:hAnsi="Times New Roman" w:cs="Times New Roman"/>
                <w:color w:val="000000" w:themeColor="text1"/>
                <w:sz w:val="24"/>
                <w:szCs w:val="32"/>
                <w14:textFill>
                  <w14:solidFill>
                    <w14:schemeClr w14:val="tx1"/>
                  </w14:solidFill>
                </w14:textFill>
              </w:rPr>
              <w:t>综上</w:t>
            </w:r>
            <w:r>
              <w:rPr>
                <w:rFonts w:hint="eastAsia" w:ascii="Times New Roman" w:hAnsi="Times New Roman" w:cs="Times New Roman"/>
                <w:color w:val="000000" w:themeColor="text1"/>
                <w:sz w:val="24"/>
                <w:szCs w:val="32"/>
                <w:lang w:val="en-US" w:eastAsia="zh-CN"/>
                <w14:textFill>
                  <w14:solidFill>
                    <w14:schemeClr w14:val="tx1"/>
                  </w14:solidFill>
                </w14:textFill>
              </w:rPr>
              <w:t>所述</w:t>
            </w:r>
            <w:r>
              <w:rPr>
                <w:rFonts w:hint="default" w:ascii="Times New Roman" w:hAnsi="Times New Roman" w:cs="Times New Roman"/>
                <w:color w:val="000000" w:themeColor="text1"/>
                <w:sz w:val="24"/>
                <w:szCs w:val="32"/>
                <w14:textFill>
                  <w14:solidFill>
                    <w14:schemeClr w14:val="tx1"/>
                  </w14:solidFill>
                </w14:textFill>
              </w:rPr>
              <w:t>，本工程的建设选址具有环境合理性</w:t>
            </w:r>
            <w:r>
              <w:rPr>
                <w:rFonts w:hint="default" w:ascii="Times New Roman" w:hAnsi="Times New Roman" w:cs="Times New Roman"/>
                <w:color w:val="000000" w:themeColor="text1"/>
                <w:sz w:val="24"/>
                <w:szCs w:val="32"/>
                <w:lang w:eastAsia="zh-CN"/>
                <w14:textFill>
                  <w14:solidFill>
                    <w14:schemeClr w14:val="tx1"/>
                  </w14:solidFill>
                </w14:textFill>
              </w:rPr>
              <w:t>。</w:t>
            </w:r>
          </w:p>
          <w:p w14:paraId="4E7414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p>
          <w:p w14:paraId="122914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p>
          <w:p w14:paraId="6F9C53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p>
          <w:p w14:paraId="526F10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p>
          <w:p w14:paraId="40D8F0F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p>
          <w:p w14:paraId="348924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p>
          <w:p w14:paraId="1B02B2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p>
          <w:p w14:paraId="355B84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p>
          <w:p w14:paraId="419A5C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p>
          <w:p w14:paraId="184F60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p>
          <w:p w14:paraId="79BC68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p>
          <w:p w14:paraId="7A7BFC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p>
          <w:p w14:paraId="7BD10B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p>
          <w:p w14:paraId="02A8AF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p>
          <w:p w14:paraId="18D549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p>
          <w:p w14:paraId="202033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p>
          <w:p w14:paraId="5AB6CC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p>
          <w:p w14:paraId="71E50B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p>
          <w:p w14:paraId="70DA7BA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r>
    </w:tbl>
    <w:p w14:paraId="7309F640">
      <w:pPr>
        <w:rPr>
          <w:rFonts w:hint="default" w:ascii="Times New Roman" w:hAnsi="Times New Roman" w:eastAsia="黑体" w:cs="Times New Roman"/>
          <w:b w:val="0"/>
          <w:bCs w:val="0"/>
          <w:color w:val="000000" w:themeColor="text1"/>
          <w:sz w:val="28"/>
          <w:szCs w:val="28"/>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8"/>
          <w:szCs w:val="28"/>
          <w:lang w:val="en-US" w:eastAsia="zh-CN"/>
          <w14:textFill>
            <w14:solidFill>
              <w14:schemeClr w14:val="tx1"/>
            </w14:solidFill>
          </w14:textFill>
        </w:rPr>
        <w:br w:type="page"/>
      </w:r>
    </w:p>
    <w:p w14:paraId="7409A4B8">
      <w:pPr>
        <w:numPr>
          <w:ilvl w:val="0"/>
          <w:numId w:val="4"/>
        </w:numPr>
        <w:ind w:left="0" w:leftChars="0" w:firstLine="0" w:firstLineChars="0"/>
        <w:jc w:val="center"/>
        <w:rPr>
          <w:rFonts w:hint="default" w:ascii="Times New Roman" w:hAnsi="Times New Roman" w:eastAsia="黑体" w:cs="Times New Roman"/>
          <w:b w:val="0"/>
          <w:bCs w:val="0"/>
          <w:color w:val="000000" w:themeColor="text1"/>
          <w:sz w:val="28"/>
          <w:szCs w:val="28"/>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8"/>
          <w:szCs w:val="28"/>
          <w:lang w:val="en-US" w:eastAsia="zh-CN"/>
          <w14:textFill>
            <w14:solidFill>
              <w14:schemeClr w14:val="tx1"/>
            </w14:solidFill>
          </w14:textFill>
        </w:rPr>
        <w:t>主要生态环境保护措施</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8865"/>
      </w:tblGrid>
      <w:tr w14:paraId="2D8B9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4" w:type="dxa"/>
            <w:vAlign w:val="center"/>
          </w:tcPr>
          <w:p w14:paraId="59CC66ED">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施工期生态环境保护措施</w:t>
            </w:r>
          </w:p>
        </w:tc>
        <w:tc>
          <w:tcPr>
            <w:tcW w:w="8254" w:type="dxa"/>
            <w:vAlign w:val="top"/>
          </w:tcPr>
          <w:p w14:paraId="1EFDA38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一、生态环境保护措施</w:t>
            </w:r>
          </w:p>
          <w:p w14:paraId="08D8F80C">
            <w:pPr>
              <w:pStyle w:val="27"/>
              <w:bidi w:val="0"/>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根据土地利用现状分析本项目井场</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土地利用</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现状</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类型</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主要</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为</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林地、园地</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及交通运输用地。</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若永久封井，本项目占地类型中园地、林地采取人工干预的手段进行生态恢复，规划为林地的区域恢复为林地，未规划为林地的区域恢复为原有生态类型（园地）。</w:t>
            </w:r>
          </w:p>
          <w:p w14:paraId="0742D22E">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施工期</w:t>
            </w:r>
            <w:r>
              <w:rPr>
                <w:rFonts w:hint="default" w:ascii="Times New Roman" w:hAnsi="Times New Roman" w:cs="Times New Roman"/>
                <w:color w:val="000000" w:themeColor="text1"/>
                <w14:textFill>
                  <w14:solidFill>
                    <w14:schemeClr w14:val="tx1"/>
                  </w14:solidFill>
                </w14:textFill>
              </w:rPr>
              <w:t>生态环境保护措施</w:t>
            </w:r>
          </w:p>
          <w:p w14:paraId="0839C0D1">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w:t>
            </w:r>
            <w:r>
              <w:rPr>
                <w:rFonts w:hint="eastAsia" w:ascii="Times New Roman" w:hAnsi="Times New Roman" w:eastAsia="宋体" w:cs="Times New Roman"/>
                <w:color w:val="000000" w:themeColor="text1"/>
                <w:lang w:val="en-US" w:eastAsia="zh-CN"/>
                <w14:textFill>
                  <w14:solidFill>
                    <w14:schemeClr w14:val="tx1"/>
                  </w14:solidFill>
                </w14:textFill>
              </w:rPr>
              <w:t>本项目</w:t>
            </w:r>
            <w:r>
              <w:rPr>
                <w:rFonts w:hint="default" w:ascii="Times New Roman" w:hAnsi="Times New Roman" w:cs="Times New Roman"/>
                <w:color w:val="000000" w:themeColor="text1"/>
                <w14:textFill>
                  <w14:solidFill>
                    <w14:schemeClr w14:val="tx1"/>
                  </w14:solidFill>
                </w14:textFill>
              </w:rPr>
              <w:t>在施工组织设计中严格控制占地范围；施工活动需严格控制在施工区域内，并将临时占地面积控制在最低限度，尽量使用既有道路，以免对土壤与植被造成不必要破坏。项目施工时首先应剥离表土。在剥离表土前，对开挖区域内的植被等有碍物进行彻底清除，然后采用人工开挖，先把表层土按预定厚度剥离后，在井场内临时占地区内选定一处作为表土临时堆土区，用于开采结束后的复垦覆土。表土临时堆场周边应设置挡土墙，控制边坡坡降比1:2左右，适时对表土堆场表面进行防尘网遮盖、洒水浸润，同时于表土堆场表面覆盖篷布（防尘、防雨水冲刷），覆盖率需达100%。在堆场周围开挖排水沟，排水沟易采用梯形断面，底宽30cm，高30cm，内坡比1:1，内壁夯实，排水沟与附近已有沟渠相通。在施工结束、场地清理完成后随即采取地表平整、表土回覆、绿化等恢复措施，减少施工期对生态环境影响。</w:t>
            </w:r>
          </w:p>
          <w:p w14:paraId="434CF493">
            <w:pPr>
              <w:ind w:right="-11" w:firstLine="480"/>
              <w:jc w:val="both"/>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817745" cy="2139950"/>
                  <wp:effectExtent l="0" t="0" r="1905" b="1270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2"/>
                          <a:stretch>
                            <a:fillRect/>
                          </a:stretch>
                        </pic:blipFill>
                        <pic:spPr>
                          <a:xfrm>
                            <a:off x="0" y="0"/>
                            <a:ext cx="4817745" cy="2139950"/>
                          </a:xfrm>
                          <a:prstGeom prst="rect">
                            <a:avLst/>
                          </a:prstGeom>
                          <a:noFill/>
                          <a:ln>
                            <a:noFill/>
                          </a:ln>
                        </pic:spPr>
                      </pic:pic>
                    </a:graphicData>
                  </a:graphic>
                </wp:inline>
              </w:drawing>
            </w:r>
          </w:p>
          <w:p w14:paraId="2DE50CA7">
            <w:pPr>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 xml:space="preserve">图5-1 </w:t>
            </w:r>
            <w:r>
              <w:rPr>
                <w:b/>
                <w:color w:val="000000" w:themeColor="text1"/>
                <w:szCs w:val="21"/>
                <w14:textFill>
                  <w14:solidFill>
                    <w14:schemeClr w14:val="tx1"/>
                  </w14:solidFill>
                </w14:textFill>
              </w:rPr>
              <w:t>施工期表土剥离临时堆土区防护措施断面</w:t>
            </w:r>
          </w:p>
          <w:p w14:paraId="556AE4C5">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②</w:t>
            </w:r>
            <w:r>
              <w:rPr>
                <w:rFonts w:hint="default" w:ascii="Times New Roman" w:hAnsi="Times New Roman" w:cs="Times New Roman"/>
                <w:color w:val="000000" w:themeColor="text1"/>
                <w14:textFill>
                  <w14:solidFill>
                    <w14:schemeClr w14:val="tx1"/>
                  </w14:solidFill>
                </w14:textFill>
              </w:rPr>
              <w:t>施工中尽量缩小影响范围，合理布置井场，选择合适的设备搬迁路线，合理布置钻井设备，减少井场占地面积。缩短施工时间，提高工程施工效率，减少工程在空间上、时间上对生态环境的影响；</w:t>
            </w:r>
          </w:p>
          <w:p w14:paraId="1B993EC0">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③施工完毕应尽快整理施工现场，恢复原有用地性质；施工期间对建筑材料的堆放采取篷布苫盖措施，防止雨水冲刷；</w:t>
            </w:r>
          </w:p>
          <w:p w14:paraId="43C6BA45">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④制定严格的施工操作规范，建立施工期环境管理制度；相对固定运输路线，严禁施工车辆随意开辟施工便道，严禁随意砍伐植被；</w:t>
            </w:r>
          </w:p>
          <w:p w14:paraId="30F155E1">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⑤迅速恢复植被破坏前的地表形态，填埋废土坑、平整作业现场、改善植被更新生长条件，防止局部土地退化；</w:t>
            </w:r>
          </w:p>
          <w:p w14:paraId="4E9FF43D">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⑥为防止井场作业加剧水土流失，进场前集中收集表土，并进行遮盖围堵以防风吹雨淋流失，作业结束后再覆盖表土等措施后，可有效减少水土流失；</w:t>
            </w:r>
          </w:p>
          <w:p w14:paraId="550307CA">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⑦井场内禁止废水、废弃泥浆、废弃岩屑、以及其他废物流失和乱排放，严禁机油等各种油料落地，擦洗设备和更换的废油品料要集中到废油回收罐，如果发现外溢和散落必须及时清理；</w:t>
            </w:r>
          </w:p>
          <w:p w14:paraId="4FBF80BE">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⑧完井后回收各种原料，清理井场上散落的泥浆、污水、油料和各种废弃物。泥浆药品等泥浆材料及废油必须全部回收，不得随意遗弃于井场，完井后做到作业现场整洁、平整、卫生、无油污、无固废。</w:t>
            </w:r>
          </w:p>
          <w:p w14:paraId="4EEC941A">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⑨项目开发建设前，做好施工规划前期工作，尽量缩小施工范围，减少临时占地面积；施工机械应严格按照规定的施工道路行驶，严禁占用施工区域外的土地；加强施工人员的各类管理；做好工程完井后生态环境的恢复工作；加强环境管理和监理制度；加强生态保护宣传教育，以尽量减少植被破坏及水土流失等不利影响。</w:t>
            </w:r>
          </w:p>
          <w:p w14:paraId="01827C5A">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通过采取相应的生态保护措施，项目建设对区域生态系统的完整性、稳定性影响较小，不会对生态环境造成显著的影响。</w:t>
            </w:r>
          </w:p>
          <w:p w14:paraId="0BC30A0C">
            <w:pPr>
              <w:pStyle w:val="2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封井期生态环境保护措施</w:t>
            </w:r>
          </w:p>
          <w:p w14:paraId="51CC9575">
            <w:pPr>
              <w:pStyle w:val="2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本工程为</w:t>
            </w:r>
            <w:r>
              <w:rPr>
                <w:rFonts w:hint="default" w:ascii="Times New Roman" w:hAnsi="Times New Roman" w:cs="Times New Roman"/>
                <w:color w:val="000000" w:themeColor="text1"/>
                <w:lang w:val="en-US" w:eastAsia="zh-CN"/>
                <w14:textFill>
                  <w14:solidFill>
                    <w14:schemeClr w14:val="tx1"/>
                  </w14:solidFill>
                </w14:textFill>
              </w:rPr>
              <w:t>天然气</w:t>
            </w:r>
            <w:r>
              <w:rPr>
                <w:rFonts w:hint="default" w:ascii="Times New Roman" w:hAnsi="Times New Roman" w:cs="Times New Roman"/>
                <w:color w:val="000000" w:themeColor="text1"/>
                <w:lang w:eastAsia="zh-CN"/>
                <w14:textFill>
                  <w14:solidFill>
                    <w14:schemeClr w14:val="tx1"/>
                  </w14:solidFill>
                </w14:textFill>
              </w:rPr>
              <w:t>勘探井，钻井结束后，通过完井测试评价</w:t>
            </w:r>
            <w:r>
              <w:rPr>
                <w:rFonts w:hint="default" w:ascii="Times New Roman" w:hAnsi="Times New Roman" w:cs="Times New Roman"/>
                <w:color w:val="000000" w:themeColor="text1"/>
                <w:lang w:val="en-US" w:eastAsia="zh-CN"/>
                <w14:textFill>
                  <w14:solidFill>
                    <w14:schemeClr w14:val="tx1"/>
                  </w14:solidFill>
                </w14:textFill>
              </w:rPr>
              <w:t>气</w:t>
            </w:r>
            <w:r>
              <w:rPr>
                <w:rFonts w:hint="default" w:ascii="Times New Roman" w:hAnsi="Times New Roman" w:cs="Times New Roman"/>
                <w:color w:val="000000" w:themeColor="text1"/>
                <w:lang w:eastAsia="zh-CN"/>
                <w14:textFill>
                  <w14:solidFill>
                    <w14:schemeClr w14:val="tx1"/>
                  </w14:solidFill>
                </w14:textFill>
              </w:rPr>
              <w:t>藏情况，</w:t>
            </w:r>
            <w:r>
              <w:rPr>
                <w:rFonts w:hint="default" w:ascii="Times New Roman" w:hAnsi="Times New Roman" w:cs="Times New Roman"/>
                <w:color w:val="000000" w:themeColor="text1"/>
                <w:lang w:val="en-US" w:eastAsia="zh-CN"/>
                <w14:textFill>
                  <w14:solidFill>
                    <w14:schemeClr w14:val="tx1"/>
                  </w14:solidFill>
                </w14:textFill>
              </w:rPr>
              <w:t>若</w:t>
            </w:r>
            <w:r>
              <w:rPr>
                <w:rFonts w:hint="default" w:ascii="Times New Roman" w:hAnsi="Times New Roman" w:cs="Times New Roman"/>
                <w:color w:val="000000" w:themeColor="text1"/>
                <w:lang w:eastAsia="zh-CN"/>
                <w14:textFill>
                  <w14:solidFill>
                    <w14:schemeClr w14:val="tx1"/>
                  </w14:solidFill>
                </w14:textFill>
              </w:rPr>
              <w:t>不具备开采价值，进行永久封井，场地恢复原状；若测试具有工业产能，临时封井</w:t>
            </w:r>
            <w:r>
              <w:rPr>
                <w:rFonts w:hint="eastAsia" w:ascii="Times New Roman" w:hAnsi="Times New Roman" w:cs="Times New Roman"/>
                <w:color w:val="000000" w:themeColor="text1"/>
                <w:lang w:val="en-US" w:eastAsia="zh-CN"/>
                <w14:textFill>
                  <w14:solidFill>
                    <w14:schemeClr w14:val="tx1"/>
                  </w14:solidFill>
                </w14:textFill>
              </w:rPr>
              <w:t>并另行办理勘探井转生产井相关环保手续</w:t>
            </w:r>
            <w:r>
              <w:rPr>
                <w:rFonts w:hint="default" w:ascii="Times New Roman" w:hAnsi="Times New Roman" w:cs="Times New Roman"/>
                <w:color w:val="000000" w:themeColor="text1"/>
                <w:lang w:eastAsia="zh-CN"/>
                <w14:textFill>
                  <w14:solidFill>
                    <w14:schemeClr w14:val="tx1"/>
                  </w14:solidFill>
                </w14:textFill>
              </w:rPr>
              <w:t>，移交给长庆油田分公司第二采气厂按标准化井场进行建设和管理</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由于钻井与标准化井场建设属于不同的单位，经核实，钻井工程结束后，钻井单位即按照要求对临时占地进行生态恢复</w:t>
            </w:r>
            <w:r>
              <w:rPr>
                <w:rFonts w:hint="default" w:ascii="Times New Roman" w:hAnsi="Times New Roman" w:cs="Times New Roman"/>
                <w:color w:val="000000" w:themeColor="text1"/>
                <w:lang w:eastAsia="zh-CN"/>
                <w14:textFill>
                  <w14:solidFill>
                    <w14:schemeClr w14:val="tx1"/>
                  </w14:solidFill>
                </w14:textFill>
              </w:rPr>
              <w:t>。</w:t>
            </w:r>
          </w:p>
          <w:p w14:paraId="507834AD">
            <w:pPr>
              <w:pStyle w:val="2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封井作业将对设备、基础进行拆除、搬迁、封井口作业。封井口环境影响因素不再存在，无三废排放，无噪声影响。</w:t>
            </w:r>
          </w:p>
          <w:p w14:paraId="2A942682">
            <w:pPr>
              <w:pStyle w:val="27"/>
              <w:bidi w:val="0"/>
              <w:rPr>
                <w:rFonts w:hint="default"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封井原因主要包括地质报废与工程报废。一般地质报废是指在钻井过程中，未遇到含</w:t>
            </w:r>
            <w:r>
              <w:rPr>
                <w:rFonts w:hint="eastAsia" w:ascii="Times New Roman" w:hAnsi="Times New Roman" w:cs="Times New Roman"/>
                <w:color w:val="000000" w:themeColor="text1"/>
                <w:lang w:val="en-US" w:eastAsia="zh-CN"/>
                <w14:textFill>
                  <w14:solidFill>
                    <w14:schemeClr w14:val="tx1"/>
                  </w14:solidFill>
                </w14:textFill>
              </w:rPr>
              <w:t>采</w:t>
            </w:r>
            <w:r>
              <w:rPr>
                <w:rFonts w:hint="default" w:ascii="Times New Roman" w:hAnsi="Times New Roman" w:cs="Times New Roman"/>
                <w:color w:val="000000" w:themeColor="text1"/>
                <w:lang w:eastAsia="zh-CN"/>
                <w14:textFill>
                  <w14:solidFill>
                    <w14:schemeClr w14:val="tx1"/>
                  </w14:solidFill>
                </w14:textFill>
              </w:rPr>
              <w:t>气层，无任何油气显示的情况。地质勘探过程属于钻井的前端工序，因此一旦无含</w:t>
            </w:r>
            <w:r>
              <w:rPr>
                <w:rFonts w:hint="eastAsia" w:ascii="Times New Roman" w:hAnsi="Times New Roman" w:cs="Times New Roman"/>
                <w:color w:val="000000" w:themeColor="text1"/>
                <w:lang w:val="en-US" w:eastAsia="zh-CN"/>
                <w14:textFill>
                  <w14:solidFill>
                    <w14:schemeClr w14:val="tx1"/>
                  </w14:solidFill>
                </w14:textFill>
              </w:rPr>
              <w:t>采</w:t>
            </w:r>
            <w:r>
              <w:rPr>
                <w:rFonts w:hint="default" w:ascii="Times New Roman" w:hAnsi="Times New Roman" w:cs="Times New Roman"/>
                <w:color w:val="000000" w:themeColor="text1"/>
                <w:lang w:eastAsia="zh-CN"/>
                <w14:textFill>
                  <w14:solidFill>
                    <w14:schemeClr w14:val="tx1"/>
                  </w14:solidFill>
                </w14:textFill>
              </w:rPr>
              <w:t>气层，直接将其井口进行封堵，封堵后对井场进行恢复，修复后场内无钻探痕迹。恢复过程主要为：对钻井设施进行拆除；土地平整；对井场土壤进行重构，在井场宜绿区域进行绿化种植。工程报废是指已经下设套管后，通过试</w:t>
            </w:r>
            <w:r>
              <w:rPr>
                <w:rFonts w:hint="default" w:ascii="Times New Roman" w:hAnsi="Times New Roman" w:cs="Times New Roman"/>
                <w:color w:val="000000" w:themeColor="text1"/>
                <w:lang w:val="en-US" w:eastAsia="zh-CN"/>
                <w14:textFill>
                  <w14:solidFill>
                    <w14:schemeClr w14:val="tx1"/>
                  </w14:solidFill>
                </w14:textFill>
              </w:rPr>
              <w:t>气</w:t>
            </w:r>
            <w:r>
              <w:rPr>
                <w:rFonts w:hint="default" w:ascii="Times New Roman" w:hAnsi="Times New Roman" w:cs="Times New Roman"/>
                <w:color w:val="000000" w:themeColor="text1"/>
                <w:lang w:eastAsia="zh-CN"/>
                <w14:textFill>
                  <w14:solidFill>
                    <w14:schemeClr w14:val="tx1"/>
                  </w14:solidFill>
                </w14:textFill>
              </w:rPr>
              <w:t>，未达到可开发利用的</w:t>
            </w:r>
            <w:r>
              <w:rPr>
                <w:rFonts w:hint="default" w:ascii="Times New Roman" w:hAnsi="Times New Roman" w:cs="Times New Roman"/>
                <w:color w:val="000000" w:themeColor="text1"/>
                <w:lang w:val="en-US" w:eastAsia="zh-CN"/>
                <w14:textFill>
                  <w14:solidFill>
                    <w14:schemeClr w14:val="tx1"/>
                  </w14:solidFill>
                </w14:textFill>
              </w:rPr>
              <w:t>天然气</w:t>
            </w:r>
            <w:r>
              <w:rPr>
                <w:rFonts w:hint="default" w:ascii="Times New Roman" w:hAnsi="Times New Roman" w:cs="Times New Roman"/>
                <w:color w:val="000000" w:themeColor="text1"/>
                <w:lang w:eastAsia="zh-CN"/>
                <w14:textFill>
                  <w14:solidFill>
                    <w14:schemeClr w14:val="tx1"/>
                  </w14:solidFill>
                </w14:textFill>
              </w:rPr>
              <w:t>，则进行封场处理。封井后地面将留有井口封堵痕迹，对井场恢复原有地貌类型。封井期生态具体恢复措施步骤见图5-</w:t>
            </w:r>
            <w:r>
              <w:rPr>
                <w:rFonts w:hint="eastAsia"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p>
          <w:p w14:paraId="25B1392F">
            <w:pPr>
              <w:pStyle w:val="27"/>
              <w:bidi w:val="0"/>
              <w:ind w:left="0" w:leftChars="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2299970" cy="3206115"/>
                  <wp:effectExtent l="0" t="0" r="5080" b="1333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3"/>
                          <a:stretch>
                            <a:fillRect/>
                          </a:stretch>
                        </pic:blipFill>
                        <pic:spPr>
                          <a:xfrm>
                            <a:off x="0" y="0"/>
                            <a:ext cx="2299970" cy="3206115"/>
                          </a:xfrm>
                          <a:prstGeom prst="rect">
                            <a:avLst/>
                          </a:prstGeom>
                          <a:noFill/>
                          <a:ln>
                            <a:noFill/>
                          </a:ln>
                        </pic:spPr>
                      </pic:pic>
                    </a:graphicData>
                  </a:graphic>
                </wp:inline>
              </w:drawing>
            </w:r>
          </w:p>
          <w:p w14:paraId="0E869C53">
            <w:pPr>
              <w:pStyle w:val="6"/>
              <w:bidi w:val="0"/>
              <w:ind w:left="0" w:leftChars="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图</w:t>
            </w:r>
            <w:r>
              <w:rPr>
                <w:rFonts w:hint="default" w:ascii="Times New Roman" w:hAnsi="Times New Roman" w:cs="Times New Roman"/>
                <w:color w:val="000000" w:themeColor="text1"/>
                <w:sz w:val="21"/>
                <w:szCs w:val="21"/>
                <w:lang w:val="en-US" w:eastAsia="zh-CN"/>
                <w14:textFill>
                  <w14:solidFill>
                    <w14:schemeClr w14:val="tx1"/>
                  </w14:solidFill>
                </w14:textFill>
              </w:rPr>
              <w:t>5-</w:t>
            </w: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lang w:eastAsia="zh-CN"/>
                <w14:textFill>
                  <w14:solidFill>
                    <w14:schemeClr w14:val="tx1"/>
                  </w14:solidFill>
                </w14:textFill>
              </w:rPr>
              <w:t xml:space="preserve">  </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lang w:eastAsia="zh-CN"/>
                <w14:textFill>
                  <w14:solidFill>
                    <w14:schemeClr w14:val="tx1"/>
                  </w14:solidFill>
                </w14:textFill>
              </w:rPr>
              <w:t>井场生态恢复步骤</w:t>
            </w:r>
          </w:p>
          <w:p w14:paraId="62D7F084">
            <w:pPr>
              <w:pStyle w:val="27"/>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（3）生态恢复要求</w:t>
            </w:r>
          </w:p>
          <w:p w14:paraId="21A871DE">
            <w:pPr>
              <w:pStyle w:val="27"/>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当勘探井具有开发价值时，采取临时封井，</w:t>
            </w:r>
            <w:r>
              <w:rPr>
                <w:rFonts w:hint="eastAsia" w:ascii="Times New Roman" w:hAnsi="Times New Roman" w:eastAsia="宋体" w:cs="Times New Roman"/>
                <w:color w:val="000000" w:themeColor="text1"/>
                <w:lang w:val="en-US" w:eastAsia="zh-CN"/>
                <w14:textFill>
                  <w14:solidFill>
                    <w14:schemeClr w14:val="tx1"/>
                  </w14:solidFill>
                </w14:textFill>
              </w:rPr>
              <w:t>评价井短时间内可转为生产井并取得相关手续，对场地可仅设置苫盖措施，若转井时间超出3个月则需对场地进行生态恢复</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若不具有工业生产价值，则对井场临时占地进行生态恢复，</w:t>
            </w:r>
            <w:r>
              <w:rPr>
                <w:rFonts w:hint="default" w:ascii="Times New Roman" w:hAnsi="Times New Roman" w:cs="Times New Roman"/>
                <w:bCs/>
                <w:color w:val="000000" w:themeColor="text1"/>
                <w:sz w:val="24"/>
                <w14:textFill>
                  <w14:solidFill>
                    <w14:schemeClr w14:val="tx1"/>
                  </w14:solidFill>
                </w14:textFill>
              </w:rPr>
              <w:t>以达到与周边生态系统一致。</w:t>
            </w:r>
          </w:p>
          <w:p w14:paraId="5D8E0733">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（4）生态恢复整治方案</w:t>
            </w:r>
            <w:r>
              <w:rPr>
                <w:rFonts w:hint="default" w:ascii="Times New Roman" w:hAnsi="Times New Roman" w:cs="Times New Roman"/>
                <w:color w:val="000000" w:themeColor="text1"/>
                <w:lang w:val="en-US" w:eastAsia="zh-CN"/>
                <w14:textFill>
                  <w14:solidFill>
                    <w14:schemeClr w14:val="tx1"/>
                  </w14:solidFill>
                </w14:textFill>
              </w:rPr>
              <w:t>及</w:t>
            </w:r>
            <w:r>
              <w:rPr>
                <w:rFonts w:hint="default" w:ascii="Times New Roman" w:hAnsi="Times New Roman" w:cs="Times New Roman"/>
                <w:color w:val="000000" w:themeColor="text1"/>
                <w14:textFill>
                  <w14:solidFill>
                    <w14:schemeClr w14:val="tx1"/>
                  </w14:solidFill>
                </w14:textFill>
              </w:rPr>
              <w:t>恢复用地控制指标</w:t>
            </w:r>
          </w:p>
          <w:p w14:paraId="35E6A873">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w:t>
            </w:r>
            <w:r>
              <w:rPr>
                <w:rFonts w:hint="default" w:ascii="Times New Roman" w:hAnsi="Times New Roman" w:cs="Times New Roman"/>
                <w:color w:val="000000" w:themeColor="text1"/>
                <w14:textFill>
                  <w14:solidFill>
                    <w14:schemeClr w14:val="tx1"/>
                  </w14:solidFill>
                </w14:textFill>
              </w:rPr>
              <w:t>项目仅涉及施工期，不涉及运营期，</w:t>
            </w:r>
            <w:r>
              <w:rPr>
                <w:rFonts w:hint="eastAsia" w:ascii="Times New Roman" w:hAnsi="Times New Roman" w:eastAsia="宋体" w:cs="Times New Roman"/>
                <w:color w:val="000000" w:themeColor="text1"/>
                <w:lang w:val="en-US" w:eastAsia="zh-CN"/>
                <w14:textFill>
                  <w14:solidFill>
                    <w14:schemeClr w14:val="tx1"/>
                  </w14:solidFill>
                </w14:textFill>
              </w:rPr>
              <w:t>本项目钻井结束封井后即开展生态恢复，</w:t>
            </w:r>
            <w:r>
              <w:rPr>
                <w:rFonts w:hint="default" w:ascii="Times New Roman" w:hAnsi="Times New Roman" w:cs="Times New Roman"/>
                <w:color w:val="000000" w:themeColor="text1"/>
                <w14:textFill>
                  <w14:solidFill>
                    <w14:schemeClr w14:val="tx1"/>
                  </w14:solidFill>
                </w14:textFill>
              </w:rPr>
              <w:t>本次评价仅针对施工期提出相关生态恢复措施，具体生态恢复方案如下：</w:t>
            </w:r>
          </w:p>
          <w:p w14:paraId="17E00BE1">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①场地清理</w:t>
            </w:r>
          </w:p>
          <w:p w14:paraId="4258B688">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拆除工程</w:t>
            </w:r>
          </w:p>
          <w:p w14:paraId="1435EB51">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钻井设施均为撬装，例如材料房，值班室等，开钻时由钻井队运至井场。因此，封井期由钻井队拆除，外运。临时</w:t>
            </w:r>
            <w:r>
              <w:rPr>
                <w:rFonts w:hint="default" w:ascii="Times New Roman" w:hAnsi="Times New Roman" w:cs="Times New Roman"/>
                <w:color w:val="000000" w:themeColor="text1"/>
                <w:lang w:eastAsia="zh-CN"/>
                <w14:textFill>
                  <w14:solidFill>
                    <w14:schemeClr w14:val="tx1"/>
                  </w14:solidFill>
                </w14:textFill>
              </w:rPr>
              <w:t>危废贮存点</w:t>
            </w:r>
            <w:r>
              <w:rPr>
                <w:rFonts w:hint="default" w:ascii="Times New Roman" w:hAnsi="Times New Roman" w:cs="Times New Roman"/>
                <w:color w:val="000000" w:themeColor="text1"/>
                <w14:textFill>
                  <w14:solidFill>
                    <w14:schemeClr w14:val="tx1"/>
                  </w14:solidFill>
                </w14:textFill>
              </w:rPr>
              <w:t>需将危废按照要求处置完毕后，对其拆除，外运；水泥墩、钢架等支撑物彻底拆除、外运，为土地平整创造条件。</w:t>
            </w:r>
          </w:p>
          <w:p w14:paraId="0CACDD28">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B</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场地地表清理</w:t>
            </w:r>
          </w:p>
          <w:p w14:paraId="6E4F7FF0">
            <w:pPr>
              <w:pStyle w:val="27"/>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据统计，本项目临时占地</w:t>
            </w:r>
            <w:r>
              <w:rPr>
                <w:rFonts w:hint="default" w:ascii="Times New Roman" w:hAnsi="Times New Roman" w:cs="Times New Roman"/>
                <w:color w:val="000000" w:themeColor="text1"/>
                <w:highlight w:val="none"/>
                <w:lang w:val="en-US" w:eastAsia="zh-CN"/>
                <w14:textFill>
                  <w14:solidFill>
                    <w14:schemeClr w14:val="tx1"/>
                  </w14:solidFill>
                </w14:textFill>
              </w:rPr>
              <w:t>总</w:t>
            </w:r>
            <w:r>
              <w:rPr>
                <w:rFonts w:hint="default" w:ascii="Times New Roman" w:hAnsi="Times New Roman" w:cs="Times New Roman"/>
                <w:color w:val="000000" w:themeColor="text1"/>
                <w:highlight w:val="none"/>
                <w14:textFill>
                  <w14:solidFill>
                    <w14:schemeClr w14:val="tx1"/>
                  </w14:solidFill>
                </w14:textFill>
              </w:rPr>
              <w:t>面积</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46940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，施工场地、井场表面铺满碎石，在进行覆土前需要清理，场地恢复后的土壤需清洁平整。</w:t>
            </w:r>
          </w:p>
          <w:p w14:paraId="04F3110E">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土地平整</w:t>
            </w:r>
          </w:p>
          <w:p w14:paraId="21A9150E">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井场经过建筑物拆除后，对井场内的土地进行整体的平整，部分拆除后的凹地，采用临时</w:t>
            </w:r>
            <w:r>
              <w:rPr>
                <w:rFonts w:hint="default" w:ascii="Times New Roman" w:hAnsi="Times New Roman" w:cs="Times New Roman"/>
                <w:color w:val="000000" w:themeColor="text1"/>
                <w:lang w:eastAsia="zh-CN"/>
                <w14:textFill>
                  <w14:solidFill>
                    <w14:schemeClr w14:val="tx1"/>
                  </w14:solidFill>
                </w14:textFill>
              </w:rPr>
              <w:t>堆土场</w:t>
            </w:r>
            <w:r>
              <w:rPr>
                <w:rFonts w:hint="default" w:ascii="Times New Roman" w:hAnsi="Times New Roman" w:cs="Times New Roman"/>
                <w:color w:val="000000" w:themeColor="text1"/>
                <w14:textFill>
                  <w14:solidFill>
                    <w14:schemeClr w14:val="tx1"/>
                  </w14:solidFill>
                </w14:textFill>
              </w:rPr>
              <w:t>的表土进行平整。</w:t>
            </w:r>
          </w:p>
          <w:p w14:paraId="4C4EBD6F">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D</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恢复工程</w:t>
            </w:r>
          </w:p>
          <w:p w14:paraId="533BDA6F">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井场经过建筑物压占，车辆流动，板结严重。地表建筑物和地表碎石清除后，</w:t>
            </w:r>
            <w:r>
              <w:rPr>
                <w:rFonts w:hint="default" w:ascii="Times New Roman" w:hAnsi="Times New Roman" w:cs="Times New Roman"/>
                <w:color w:val="000000" w:themeColor="text1"/>
                <w:lang w:val="en-US" w:eastAsia="zh-CN"/>
                <w14:textFill>
                  <w14:solidFill>
                    <w14:schemeClr w14:val="tx1"/>
                  </w14:solidFill>
                </w14:textFill>
              </w:rPr>
              <w:t>若永久封井，则</w:t>
            </w:r>
            <w:r>
              <w:rPr>
                <w:rFonts w:hint="default" w:ascii="Times New Roman" w:hAnsi="Times New Roman" w:cs="Times New Roman"/>
                <w:color w:val="000000" w:themeColor="text1"/>
                <w14:textFill>
                  <w14:solidFill>
                    <w14:schemeClr w14:val="tx1"/>
                  </w14:solidFill>
                </w14:textFill>
              </w:rPr>
              <w:t>通过深翻耕松土透气，能够满足井场宜绿区域种植生长的要求</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若临时封井，移交给长庆油田分公司第二采气厂按标准化井场进行建设和管理。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由于钻井与标准化井场建设属于不同的单位，经核实，钻井工程结束后，钻井单位即按照要求对临时占地进行生态恢复。</w:t>
            </w:r>
          </w:p>
          <w:p w14:paraId="17C52BB7">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②土壤修复</w:t>
            </w:r>
          </w:p>
          <w:p w14:paraId="01AC9C45">
            <w:pPr>
              <w:pStyle w:val="2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若施工过程对土地造成污染，首先应清理污染土壤运至有资质单位处置，然后则开展土壤修复工作。</w:t>
            </w:r>
          </w:p>
          <w:p w14:paraId="1395EEDE">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生物措施</w:t>
            </w:r>
          </w:p>
          <w:p w14:paraId="39ACCBE6">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结合当地的气候条件进行相关污染土壤治理修复工作，</w:t>
            </w:r>
            <w:r>
              <w:rPr>
                <w:rFonts w:hint="default" w:ascii="Times New Roman" w:hAnsi="Times New Roman" w:cs="Times New Roman"/>
                <w:color w:val="000000" w:themeColor="text1"/>
                <w:lang w:val="en-US" w:eastAsia="zh-CN"/>
                <w14:textFill>
                  <w14:solidFill>
                    <w14:schemeClr w14:val="tx1"/>
                  </w14:solidFill>
                </w14:textFill>
              </w:rPr>
              <w:t>如在污染区块</w:t>
            </w:r>
            <w:r>
              <w:rPr>
                <w:rFonts w:hint="default" w:ascii="Times New Roman" w:hAnsi="Times New Roman" w:cs="Times New Roman"/>
                <w:color w:val="000000" w:themeColor="text1"/>
                <w14:textFill>
                  <w14:solidFill>
                    <w14:schemeClr w14:val="tx1"/>
                  </w14:solidFill>
                </w14:textFill>
              </w:rPr>
              <w:t>种植对石油类及有机物等具有较强富集能力的绿色植物进行植被修复。</w:t>
            </w:r>
          </w:p>
          <w:p w14:paraId="77CB4069">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B</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土壤培肥措施</w:t>
            </w:r>
          </w:p>
          <w:p w14:paraId="6D19AF1E">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井场勘探后如未发现</w:t>
            </w:r>
            <w:r>
              <w:rPr>
                <w:rFonts w:hint="default" w:ascii="Times New Roman" w:hAnsi="Times New Roman" w:cs="Times New Roman"/>
                <w:color w:val="000000" w:themeColor="text1"/>
                <w:lang w:val="en-US" w:eastAsia="zh-CN"/>
                <w14:textFill>
                  <w14:solidFill>
                    <w14:schemeClr w14:val="tx1"/>
                  </w14:solidFill>
                </w14:textFill>
              </w:rPr>
              <w:t>天然气或不具开采价值</w:t>
            </w:r>
            <w:r>
              <w:rPr>
                <w:rFonts w:hint="default" w:ascii="Times New Roman" w:hAnsi="Times New Roman" w:cs="Times New Roman"/>
                <w:color w:val="000000" w:themeColor="text1"/>
                <w14:textFill>
                  <w14:solidFill>
                    <w14:schemeClr w14:val="tx1"/>
                  </w14:solidFill>
                </w14:textFill>
              </w:rPr>
              <w:t>，进行土地复垦，复垦为</w:t>
            </w:r>
            <w:r>
              <w:rPr>
                <w:rFonts w:hint="default" w:ascii="Times New Roman" w:hAnsi="Times New Roman" w:cs="Times New Roman"/>
                <w:color w:val="000000" w:themeColor="text1"/>
                <w:lang w:val="en-US" w:eastAsia="zh-CN"/>
                <w14:textFill>
                  <w14:solidFill>
                    <w14:schemeClr w14:val="tx1"/>
                  </w14:solidFill>
                </w14:textFill>
              </w:rPr>
              <w:t>原有土地利用类型</w:t>
            </w:r>
            <w:r>
              <w:rPr>
                <w:rFonts w:hint="default" w:ascii="Times New Roman" w:hAnsi="Times New Roman" w:cs="Times New Roman"/>
                <w:color w:val="000000" w:themeColor="text1"/>
                <w14:textFill>
                  <w14:solidFill>
                    <w14:schemeClr w14:val="tx1"/>
                  </w14:solidFill>
                </w14:textFill>
              </w:rPr>
              <w:t>。根据场地的地形地貌因子、土壤物理性质、土壤化学性质、生物因子等指标，判定影响区域土壤修复与植被恢复的主要限制性因子，适量有机施肥，保障生产力水平不下降。</w:t>
            </w:r>
          </w:p>
          <w:p w14:paraId="1D26B5D5">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③生态人工恢复</w:t>
            </w:r>
          </w:p>
          <w:p w14:paraId="0C581834">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钻井工程结束后，若临时封井，移交给长庆油田分公司第二采气厂按标准化井场进行建设和管理</w:t>
            </w:r>
            <w:r>
              <w:rPr>
                <w:rFonts w:hint="eastAsia" w:ascii="Times New Roman" w:hAnsi="Times New Roman"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由于钻井与标准化井场建设属于不同的单位，经核实，钻井工程结束后，钻井单位即按照要求对临时占地进行生态恢复。</w:t>
            </w:r>
          </w:p>
          <w:p w14:paraId="28A32C03">
            <w:pPr>
              <w:pStyle w:val="2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若永久封井，</w:t>
            </w:r>
            <w:r>
              <w:rPr>
                <w:rFonts w:hint="default" w:ascii="Times New Roman" w:hAnsi="Times New Roman" w:cs="Times New Roman"/>
                <w:color w:val="000000" w:themeColor="text1"/>
                <w14:textFill>
                  <w14:solidFill>
                    <w14:schemeClr w14:val="tx1"/>
                  </w14:solidFill>
                </w14:textFill>
              </w:rPr>
              <w:t>采取人工干预的手段进行生态恢复。生态人工恢复主要工序为：土地平整→植被种植→植被养护。</w:t>
            </w:r>
            <w:r>
              <w:rPr>
                <w:rFonts w:hint="default" w:ascii="Times New Roman" w:hAnsi="Times New Roman" w:cs="Times New Roman"/>
                <w:color w:val="000000" w:themeColor="text1"/>
                <w:lang w:val="en-US" w:eastAsia="zh-CN"/>
                <w14:textFill>
                  <w14:solidFill>
                    <w14:schemeClr w14:val="tx1"/>
                  </w14:solidFill>
                </w14:textFill>
              </w:rPr>
              <w:t>不同占地类型具体恢复措施见下：</w:t>
            </w:r>
          </w:p>
          <w:p w14:paraId="522AA0B7">
            <w:pPr>
              <w:pStyle w:val="2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林地恢复：若永久封井，</w:t>
            </w:r>
            <w:r>
              <w:rPr>
                <w:rFonts w:hint="default" w:ascii="Times New Roman" w:hAnsi="Times New Roman" w:cs="Times New Roman"/>
                <w:color w:val="000000" w:themeColor="text1"/>
                <w14:textFill>
                  <w14:solidFill>
                    <w14:schemeClr w14:val="tx1"/>
                  </w14:solidFill>
                </w14:textFill>
              </w:rPr>
              <w:t>施工结束后，</w:t>
            </w:r>
            <w:r>
              <w:rPr>
                <w:rFonts w:hint="default" w:ascii="Times New Roman" w:hAnsi="Times New Roman" w:cs="Times New Roman"/>
                <w:color w:val="000000" w:themeColor="text1"/>
                <w:lang w:val="en-US" w:eastAsia="zh-CN"/>
                <w14:textFill>
                  <w14:solidFill>
                    <w14:schemeClr w14:val="tx1"/>
                  </w14:solidFill>
                </w14:textFill>
              </w:rPr>
              <w:t>进行林地恢复</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恢复面积为</w:t>
            </w:r>
            <w:r>
              <w:rPr>
                <w:rFonts w:hint="eastAsia" w:ascii="Times New Roman" w:hAnsi="Times New Roman" w:cs="Times New Roman"/>
                <w:color w:val="000000" w:themeColor="text1"/>
                <w:lang w:val="en-US" w:eastAsia="zh-CN"/>
                <w14:textFill>
                  <w14:solidFill>
                    <w14:schemeClr w14:val="tx1"/>
                  </w14:solidFill>
                </w14:textFill>
              </w:rPr>
              <w:t>2.5607</w:t>
            </w:r>
            <w:r>
              <w:rPr>
                <w:rFonts w:hint="eastAsia" w:ascii="Times New Roman" w:hAnsi="Times New Roman" w:eastAsia="宋体" w:cs="Times New Roman"/>
                <w:color w:val="000000" w:themeColor="text1"/>
                <w:lang w:val="en-US" w:eastAsia="zh-CN"/>
                <w14:textFill>
                  <w14:solidFill>
                    <w14:schemeClr w14:val="tx1"/>
                  </w14:solidFill>
                </w14:textFill>
              </w:rPr>
              <w:t>公顷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生态恢复植被应选用当地耐寒、保水固土能力强根系发达的物种，优先考虑灌木树种，</w:t>
            </w:r>
            <w:r>
              <w:rPr>
                <w:rFonts w:hint="default" w:ascii="Times New Roman" w:hAnsi="Times New Roman" w:cs="Times New Roman"/>
                <w:color w:val="000000" w:themeColor="text1"/>
                <w:lang w:val="en-US" w:eastAsia="zh-CN"/>
                <w14:textFill>
                  <w14:solidFill>
                    <w14:schemeClr w14:val="tx1"/>
                  </w14:solidFill>
                </w14:textFill>
              </w:rPr>
              <w:t>如</w:t>
            </w:r>
            <w:r>
              <w:rPr>
                <w:rFonts w:hint="default" w:ascii="Times New Roman" w:hAnsi="Times New Roman" w:cs="Times New Roman"/>
                <w:color w:val="000000" w:themeColor="text1"/>
                <w14:textFill>
                  <w14:solidFill>
                    <w14:schemeClr w14:val="tx1"/>
                  </w14:solidFill>
                </w14:textFill>
              </w:rPr>
              <w:t>柠条、沙棘等</w:t>
            </w:r>
            <w:r>
              <w:rPr>
                <w:rFonts w:hint="default" w:ascii="Times New Roman" w:hAnsi="Times New Roman" w:cs="Times New Roman"/>
                <w:color w:val="000000" w:themeColor="text1"/>
                <w:lang w:eastAsia="zh-CN"/>
                <w14:textFill>
                  <w14:solidFill>
                    <w14:schemeClr w14:val="tx1"/>
                  </w14:solidFill>
                </w14:textFill>
              </w:rPr>
              <w:t>。</w:t>
            </w:r>
          </w:p>
          <w:p w14:paraId="116D1CFE">
            <w:pPr>
              <w:pStyle w:val="27"/>
              <w:keepNext w:val="0"/>
              <w:keepLines w:val="0"/>
              <w:pageBreakBefore w:val="0"/>
              <w:widowControl w:val="0"/>
              <w:kinsoku/>
              <w:wordWrap/>
              <w:overflowPunct/>
              <w:topLinePunct w:val="0"/>
              <w:autoSpaceDE/>
              <w:autoSpaceDN/>
              <w:bidi w:val="0"/>
              <w:adjustRightInd w:val="0"/>
              <w:snapToGrid w:val="0"/>
              <w:spacing w:before="79" w:beforeLines="25"/>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园地恢复：若永久封井，施工结束后，进行园地恢复，恢复面积为1.9669公顷，果树选择原有果树类型。</w:t>
            </w:r>
          </w:p>
          <w:p w14:paraId="112535E0">
            <w:pPr>
              <w:pStyle w:val="27"/>
              <w:keepNext w:val="0"/>
              <w:keepLines w:val="0"/>
              <w:pageBreakBefore w:val="0"/>
              <w:widowControl w:val="0"/>
              <w:kinsoku/>
              <w:wordWrap/>
              <w:overflowPunct/>
              <w:topLinePunct w:val="0"/>
              <w:autoSpaceDE/>
              <w:autoSpaceDN/>
              <w:bidi w:val="0"/>
              <w:adjustRightInd w:val="0"/>
              <w:snapToGrid w:val="0"/>
              <w:spacing w:before="79" w:beforeLines="25"/>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本项目治理区土地复垦主要的用途为</w:t>
            </w:r>
            <w:r>
              <w:rPr>
                <w:rFonts w:hint="default" w:ascii="Times New Roman" w:hAnsi="Times New Roman" w:cs="Times New Roman"/>
                <w:color w:val="000000" w:themeColor="text1"/>
                <w:lang w:val="en-US" w:eastAsia="zh-CN"/>
                <w14:textFill>
                  <w14:solidFill>
                    <w14:schemeClr w14:val="tx1"/>
                  </w14:solidFill>
                </w14:textFill>
              </w:rPr>
              <w:t>林</w:t>
            </w:r>
            <w:r>
              <w:rPr>
                <w:rFonts w:hint="default" w:ascii="Times New Roman" w:hAnsi="Times New Roman" w:cs="Times New Roman"/>
                <w:color w:val="000000" w:themeColor="text1"/>
                <w14:textFill>
                  <w14:solidFill>
                    <w14:schemeClr w14:val="tx1"/>
                  </w14:solidFill>
                </w14:textFill>
              </w:rPr>
              <w:t>地，根据《土地复垦质量控制标准》（TD/T1036-2013）中黄土高原区土地复垦质量控制标准，本项目土地复垦具体控制指标见下表</w:t>
            </w:r>
            <w:r>
              <w:rPr>
                <w:rFonts w:hint="eastAsia" w:ascii="Times New Roman" w:hAnsi="Times New Roman" w:eastAsia="宋体" w:cs="Times New Roman"/>
                <w:color w:val="000000" w:themeColor="text1"/>
                <w:lang w:eastAsia="zh-CN"/>
                <w14:textFill>
                  <w14:solidFill>
                    <w14:schemeClr w14:val="tx1"/>
                  </w14:solidFill>
                </w14:textFill>
              </w:rPr>
              <w:t>：</w:t>
            </w:r>
          </w:p>
          <w:p w14:paraId="12314791">
            <w:pPr>
              <w:pStyle w:val="6"/>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表</w:t>
            </w:r>
            <w:r>
              <w:rPr>
                <w:rFonts w:hint="default" w:ascii="Times New Roman" w:hAnsi="Times New Roman" w:cs="Times New Roman"/>
                <w:color w:val="000000" w:themeColor="text1"/>
                <w:sz w:val="21"/>
                <w:szCs w:val="21"/>
                <w:lang w:val="en-US" w:eastAsia="zh-CN"/>
                <w14:textFill>
                  <w14:solidFill>
                    <w14:schemeClr w14:val="tx1"/>
                  </w14:solidFill>
                </w14:textFill>
              </w:rPr>
              <w:t>5-</w:t>
            </w:r>
            <w:r>
              <w:rPr>
                <w:rFonts w:hint="eastAsia"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lang w:eastAsia="zh-CN"/>
                <w14:textFill>
                  <w14:solidFill>
                    <w14:schemeClr w14:val="tx1"/>
                  </w14:solidFill>
                </w14:textFill>
              </w:rPr>
              <w:t xml:space="preserve">  </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lang w:eastAsia="zh-CN"/>
                <w14:textFill>
                  <w14:solidFill>
                    <w14:schemeClr w14:val="tx1"/>
                  </w14:solidFill>
                </w14:textFill>
              </w:rPr>
              <w:t>本项目生态恢复控制指标表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079"/>
              <w:gridCol w:w="4560"/>
            </w:tblGrid>
            <w:tr w14:paraId="1176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7" w:hRule="atLeast"/>
                <w:jc w:val="center"/>
              </w:trPr>
              <w:tc>
                <w:tcPr>
                  <w:tcW w:w="3877" w:type="dxa"/>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14:paraId="4013C8E5">
                  <w:pPr>
                    <w:pStyle w:val="28"/>
                    <w:bidi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p w14:paraId="04681BEE">
                  <w:pPr>
                    <w:pStyle w:val="28"/>
                    <w:bidi w:val="0"/>
                    <w:snapToGrid w:val="0"/>
                    <w:jc w:val="center"/>
                    <mc:AlternateContent>
                      <mc:Choice Requires="wpsCustomData">
                        <wpsCustomData:diagonalParaType/>
                      </mc:Choice>
                    </mc:AlternateConten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基本指标</w:t>
                  </w:r>
                </w:p>
                <w:p w14:paraId="27223D2D">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复垦方向</w:t>
                  </w:r>
                </w:p>
              </w:tc>
              <w:tc>
                <w:tcPr>
                  <w:tcW w:w="4335" w:type="dxa"/>
                  <w:vAlign w:val="center"/>
                </w:tcPr>
                <w:p w14:paraId="775653DA">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本项目控制标准</w:t>
                  </w:r>
                </w:p>
              </w:tc>
            </w:tr>
            <w:tr w14:paraId="7A149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7" w:hRule="atLeast"/>
                <w:jc w:val="center"/>
              </w:trPr>
              <w:tc>
                <w:tcPr>
                  <w:tcW w:w="3877" w:type="dxa"/>
                  <w:vMerge w:val="continue"/>
                  <w:vAlign w:val="center"/>
                </w:tcPr>
                <w:p w14:paraId="37EDBE26">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p>
              </w:tc>
              <w:tc>
                <w:tcPr>
                  <w:tcW w:w="4335" w:type="dxa"/>
                  <w:vAlign w:val="center"/>
                </w:tcPr>
                <w:p w14:paraId="72C81409">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灌木林地</w:t>
                  </w:r>
                </w:p>
              </w:tc>
            </w:tr>
            <w:tr w14:paraId="0A0C9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1028A460">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有效土层厚度/（cm）</w:t>
                  </w:r>
                </w:p>
              </w:tc>
              <w:tc>
                <w:tcPr>
                  <w:tcW w:w="4335" w:type="dxa"/>
                  <w:vAlign w:val="center"/>
                </w:tcPr>
                <w:p w14:paraId="605CF0B9">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30</w:t>
                  </w:r>
                </w:p>
              </w:tc>
            </w:tr>
            <w:tr w14:paraId="1807C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05B64B42">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土壤容重/（g/cm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w:t>
                  </w:r>
                </w:p>
              </w:tc>
              <w:tc>
                <w:tcPr>
                  <w:tcW w:w="4335" w:type="dxa"/>
                  <w:vAlign w:val="center"/>
                </w:tcPr>
                <w:p w14:paraId="6EC4ACBC">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1.5</w:t>
                  </w:r>
                </w:p>
              </w:tc>
            </w:tr>
            <w:tr w14:paraId="2582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2E45F3F3">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土壤质地</w:t>
                  </w:r>
                </w:p>
              </w:tc>
              <w:tc>
                <w:tcPr>
                  <w:tcW w:w="4335" w:type="dxa"/>
                  <w:vAlign w:val="center"/>
                </w:tcPr>
                <w:p w14:paraId="49A69B96">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砂土至砂质黏土</w:t>
                  </w:r>
                </w:p>
              </w:tc>
            </w:tr>
            <w:tr w14:paraId="3A4D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12376343">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砾石含量/（%）</w:t>
                  </w:r>
                </w:p>
              </w:tc>
              <w:tc>
                <w:tcPr>
                  <w:tcW w:w="4335" w:type="dxa"/>
                  <w:vAlign w:val="center"/>
                </w:tcPr>
                <w:p w14:paraId="5271ADFC">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25</w:t>
                  </w:r>
                </w:p>
              </w:tc>
            </w:tr>
            <w:tr w14:paraId="0E10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51C6BE86">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pH值</w:t>
                  </w:r>
                </w:p>
              </w:tc>
              <w:tc>
                <w:tcPr>
                  <w:tcW w:w="4335" w:type="dxa"/>
                  <w:vAlign w:val="center"/>
                </w:tcPr>
                <w:p w14:paraId="56108BF9">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6.5-8.5</w:t>
                  </w:r>
                </w:p>
              </w:tc>
            </w:tr>
            <w:tr w14:paraId="34197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41C9CFDD">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有机质/（%）</w:t>
                  </w:r>
                </w:p>
              </w:tc>
              <w:tc>
                <w:tcPr>
                  <w:tcW w:w="4335" w:type="dxa"/>
                  <w:vAlign w:val="center"/>
                </w:tcPr>
                <w:p w14:paraId="0DE45FB4">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0.5</w:t>
                  </w:r>
                </w:p>
              </w:tc>
            </w:tr>
            <w:tr w14:paraId="31BF4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1CB43962">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配套设施（道路）</w:t>
                  </w:r>
                </w:p>
              </w:tc>
              <w:tc>
                <w:tcPr>
                  <w:tcW w:w="4335" w:type="dxa"/>
                  <w:vAlign w:val="center"/>
                </w:tcPr>
                <w:p w14:paraId="65227AB7">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达到</w:t>
                  </w:r>
                  <w:r>
                    <w:rPr>
                      <w:rFonts w:hint="default" w:ascii="Times New Roman" w:hAnsi="Times New Roman" w:cs="Times New Roman"/>
                      <w:color w:val="000000" w:themeColor="text1"/>
                      <w:sz w:val="21"/>
                      <w:szCs w:val="21"/>
                      <w:lang w:val="en-US" w:eastAsia="zh-CN"/>
                      <w14:textFill>
                        <w14:solidFill>
                          <w14:schemeClr w14:val="tx1"/>
                        </w14:solidFill>
                      </w14:textFill>
                    </w:rPr>
                    <w:t>当地本行业工程</w:t>
                  </w:r>
                  <w:r>
                    <w:rPr>
                      <w:rFonts w:hint="default" w:ascii="Times New Roman" w:hAnsi="Times New Roman" w:cs="Times New Roman"/>
                      <w:color w:val="000000" w:themeColor="text1"/>
                      <w:sz w:val="21"/>
                      <w:szCs w:val="21"/>
                      <w14:textFill>
                        <w14:solidFill>
                          <w14:schemeClr w14:val="tx1"/>
                        </w14:solidFill>
                      </w14:textFill>
                    </w:rPr>
                    <w:t>建设标准要求</w:t>
                  </w:r>
                </w:p>
              </w:tc>
            </w:tr>
            <w:tr w14:paraId="4616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127B0DD8">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定植密度</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株</w:t>
                  </w:r>
                  <w:r>
                    <w:rPr>
                      <w:rFonts w:hint="default" w:ascii="Times New Roman" w:hAnsi="Times New Roman" w:cs="Times New Roman"/>
                      <w:color w:val="000000" w:themeColor="text1"/>
                      <w:sz w:val="21"/>
                      <w:szCs w:val="21"/>
                      <w14:textFill>
                        <w14:solidFill>
                          <w14:schemeClr w14:val="tx1"/>
                        </w14:solidFill>
                      </w14:textFill>
                    </w:rPr>
                    <w:t>/hm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w:t>
                  </w:r>
                </w:p>
              </w:tc>
              <w:tc>
                <w:tcPr>
                  <w:tcW w:w="4335" w:type="dxa"/>
                  <w:vAlign w:val="center"/>
                </w:tcPr>
                <w:p w14:paraId="67CCE726">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满足《造林作业设计规程》（LY/T1607）要求</w:t>
                  </w:r>
                </w:p>
              </w:tc>
            </w:tr>
            <w:tr w14:paraId="1AB3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22FCA3B6">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郁闭</w:t>
                  </w:r>
                  <w:r>
                    <w:rPr>
                      <w:rFonts w:hint="default" w:ascii="Times New Roman" w:hAnsi="Times New Roman" w:cs="Times New Roman"/>
                      <w:color w:val="000000" w:themeColor="text1"/>
                      <w:sz w:val="21"/>
                      <w:szCs w:val="21"/>
                      <w14:textFill>
                        <w14:solidFill>
                          <w14:schemeClr w14:val="tx1"/>
                        </w14:solidFill>
                      </w14:textFill>
                    </w:rPr>
                    <w:t>度/（%）</w:t>
                  </w:r>
                </w:p>
              </w:tc>
              <w:tc>
                <w:tcPr>
                  <w:tcW w:w="4335" w:type="dxa"/>
                  <w:vAlign w:val="center"/>
                </w:tcPr>
                <w:p w14:paraId="341A0FB0">
                  <w:pPr>
                    <w:pStyle w:val="28"/>
                    <w:bidi w:val="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0.30</w:t>
                  </w:r>
                </w:p>
              </w:tc>
            </w:tr>
          </w:tbl>
          <w:p w14:paraId="644F7397">
            <w:pPr>
              <w:pStyle w:val="6"/>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表5-2  临时生态保护措施一览表</w:t>
            </w:r>
          </w:p>
          <w:tbl>
            <w:tblPr>
              <w:tblStyle w:val="21"/>
              <w:tblW w:w="49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2453"/>
              <w:gridCol w:w="1728"/>
              <w:gridCol w:w="2832"/>
            </w:tblGrid>
            <w:tr w14:paraId="0A3F6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1" w:hRule="atLeast"/>
                <w:jc w:val="center"/>
              </w:trPr>
              <w:tc>
                <w:tcPr>
                  <w:tcW w:w="927" w:type="pct"/>
                  <w:noWrap w:val="0"/>
                  <w:vAlign w:val="center"/>
                </w:tcPr>
                <w:p w14:paraId="427E240A">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现状占地类型</w:t>
                  </w:r>
                </w:p>
              </w:tc>
              <w:tc>
                <w:tcPr>
                  <w:tcW w:w="1424" w:type="pct"/>
                  <w:noWrap w:val="0"/>
                  <w:vAlign w:val="center"/>
                </w:tcPr>
                <w:p w14:paraId="020BE3BC">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恢复类型及面积</w:t>
                  </w:r>
                </w:p>
              </w:tc>
              <w:tc>
                <w:tcPr>
                  <w:tcW w:w="1003" w:type="pct"/>
                  <w:noWrap w:val="0"/>
                  <w:vAlign w:val="center"/>
                </w:tcPr>
                <w:p w14:paraId="7DE2940F">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恢复种植</w:t>
                  </w:r>
                </w:p>
              </w:tc>
              <w:tc>
                <w:tcPr>
                  <w:tcW w:w="1644" w:type="pct"/>
                  <w:noWrap w:val="0"/>
                  <w:vAlign w:val="center"/>
                </w:tcPr>
                <w:p w14:paraId="36ED8FE9">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恢复时间</w:t>
                  </w:r>
                </w:p>
              </w:tc>
            </w:tr>
            <w:tr w14:paraId="57ABE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927" w:type="pct"/>
                  <w:noWrap w:val="0"/>
                  <w:vAlign w:val="center"/>
                </w:tcPr>
                <w:p w14:paraId="3C083CC6">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林地、园地、交通运输用地</w:t>
                  </w:r>
                </w:p>
              </w:tc>
              <w:tc>
                <w:tcPr>
                  <w:tcW w:w="1424" w:type="pct"/>
                  <w:noWrap w:val="0"/>
                  <w:vAlign w:val="center"/>
                </w:tcPr>
                <w:p w14:paraId="7BF4D359">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项目临时占地46940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，临时用地恢复原状，林地恢复为林地，并辅以草地搭配，园地恢复为园地。</w:t>
                  </w:r>
                </w:p>
              </w:tc>
              <w:tc>
                <w:tcPr>
                  <w:tcW w:w="1003" w:type="pct"/>
                  <w:noWrap w:val="0"/>
                  <w:vAlign w:val="center"/>
                </w:tcPr>
                <w:p w14:paraId="6E95C0EE">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林木</w:t>
                  </w:r>
                  <w:r>
                    <w:rPr>
                      <w:color w:val="000000" w:themeColor="text1"/>
                      <w:sz w:val="21"/>
                      <w:szCs w:val="21"/>
                      <w14:textFill>
                        <w14:solidFill>
                          <w14:schemeClr w14:val="tx1"/>
                        </w14:solidFill>
                      </w14:textFill>
                    </w:rPr>
                    <w:t>优先考虑灌木树种，</w:t>
                  </w:r>
                  <w:r>
                    <w:rPr>
                      <w:rFonts w:hint="eastAsia"/>
                      <w:color w:val="000000" w:themeColor="text1"/>
                      <w:sz w:val="21"/>
                      <w:szCs w:val="21"/>
                      <w:lang w:val="en-US" w:eastAsia="zh-CN"/>
                      <w14:textFill>
                        <w14:solidFill>
                          <w14:schemeClr w14:val="tx1"/>
                        </w14:solidFill>
                      </w14:textFill>
                    </w:rPr>
                    <w:t>如</w:t>
                  </w:r>
                  <w:r>
                    <w:rPr>
                      <w:color w:val="000000" w:themeColor="text1"/>
                      <w:sz w:val="21"/>
                      <w:szCs w:val="21"/>
                      <w14:textFill>
                        <w14:solidFill>
                          <w14:schemeClr w14:val="tx1"/>
                        </w14:solidFill>
                      </w14:textFill>
                    </w:rPr>
                    <w:t>柠条、沙棘等；草本有冰草、沙打旺、沙嵩、黄蒿等</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园地恢复为原有果园类型</w:t>
                  </w:r>
                </w:p>
              </w:tc>
              <w:tc>
                <w:tcPr>
                  <w:tcW w:w="1644" w:type="pct"/>
                  <w:noWrap w:val="0"/>
                  <w:vAlign w:val="center"/>
                </w:tcPr>
                <w:p w14:paraId="292DB68A">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宋体" w:hAnsi="宋体" w:eastAsia="宋体" w:cs="宋体"/>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施工结合后根据气候条件适时开展生态恢复工作，确保2-3年内临时占地恢复到原有植被类型和覆盖度。</w:t>
                  </w:r>
                </w:p>
              </w:tc>
            </w:tr>
          </w:tbl>
          <w:p w14:paraId="1B2E4F0A">
            <w:pPr>
              <w:keepLines w:val="0"/>
              <w:pageBreakBefore w:val="0"/>
              <w:kinsoku/>
              <w:wordWrap/>
              <w:overflowPunct/>
              <w:topLinePunct w:val="0"/>
              <w:autoSpaceDE/>
              <w:autoSpaceDN/>
              <w:bidi w:val="0"/>
              <w:adjustRightInd w:val="0"/>
              <w:snapToGrid/>
              <w:spacing w:line="360" w:lineRule="auto"/>
              <w:ind w:right="0" w:firstLine="480" w:firstLineChars="200"/>
              <w:jc w:val="both"/>
              <w:textAlignment w:val="auto"/>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永久封井时，项目临时占地生态恢复措施设计图见图5-3。</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9"/>
            </w:tblGrid>
            <w:tr w14:paraId="6902E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517C613B">
                  <w:pPr>
                    <w:keepNext/>
                    <w:keepLines/>
                    <w:pageBreakBefore w:val="0"/>
                    <w:widowControl w:val="0"/>
                    <w:kinsoku/>
                    <w:wordWrap/>
                    <w:overflowPunct/>
                    <w:topLinePunct w:val="0"/>
                    <w:autoSpaceDE/>
                    <w:autoSpaceDN/>
                    <w:bidi w:val="0"/>
                    <w:adjustRightInd w:val="0"/>
                    <w:snapToGrid w:val="0"/>
                    <w:spacing w:before="0" w:after="0" w:line="240" w:lineRule="auto"/>
                    <w:ind w:left="-110" w:leftChars="-50" w:right="-110" w:rightChars="-50" w:firstLine="0" w:firstLineChars="0"/>
                    <w:jc w:val="both"/>
                    <w:textAlignment w:val="auto"/>
                    <w:outlineLvl w:val="9"/>
                    <w:rPr>
                      <w:rFonts w:hint="eastAsia"/>
                      <w:color w:val="000000" w:themeColor="text1"/>
                      <w:vertAlign w:val="baseline"/>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322570" cy="1861185"/>
                        <wp:effectExtent l="0" t="0" r="11430" b="57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4"/>
                                <a:stretch>
                                  <a:fillRect/>
                                </a:stretch>
                              </pic:blipFill>
                              <pic:spPr>
                                <a:xfrm>
                                  <a:off x="0" y="0"/>
                                  <a:ext cx="5322570" cy="1861185"/>
                                </a:xfrm>
                                <a:prstGeom prst="rect">
                                  <a:avLst/>
                                </a:prstGeom>
                                <a:noFill/>
                                <a:ln>
                                  <a:noFill/>
                                </a:ln>
                              </pic:spPr>
                            </pic:pic>
                          </a:graphicData>
                        </a:graphic>
                      </wp:inline>
                    </w:drawing>
                  </w:r>
                </w:p>
              </w:tc>
            </w:tr>
            <w:tr w14:paraId="12A4A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7DD218AE">
                  <w:pPr>
                    <w:keepNext/>
                    <w:keepLines/>
                    <w:pageBreakBefore w:val="0"/>
                    <w:widowControl w:val="0"/>
                    <w:kinsoku/>
                    <w:wordWrap/>
                    <w:overflowPunct/>
                    <w:topLinePunct w:val="0"/>
                    <w:autoSpaceDE/>
                    <w:autoSpaceDN/>
                    <w:bidi w:val="0"/>
                    <w:adjustRightInd w:val="0"/>
                    <w:snapToGrid w:val="0"/>
                    <w:spacing w:before="0" w:after="0" w:line="240" w:lineRule="auto"/>
                    <w:ind w:left="-110" w:leftChars="-50" w:right="-110" w:rightChars="-50" w:firstLine="0" w:firstLineChars="0"/>
                    <w:jc w:val="center"/>
                    <w:textAlignment w:val="auto"/>
                    <w:outlineLvl w:val="9"/>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林地恢复为林地，</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辅以草地搭配。</w:t>
                  </w:r>
                </w:p>
              </w:tc>
            </w:tr>
          </w:tbl>
          <w:p w14:paraId="0E511BA7">
            <w:pPr>
              <w:keepLines w:val="0"/>
              <w:pageBreakBefore w:val="0"/>
              <w:kinsoku/>
              <w:wordWrap/>
              <w:overflowPunct/>
              <w:topLinePunct w:val="0"/>
              <w:autoSpaceDE/>
              <w:autoSpaceDN/>
              <w:bidi w:val="0"/>
              <w:adjustRightInd w:val="0"/>
              <w:snapToGrid/>
              <w:spacing w:line="360" w:lineRule="auto"/>
              <w:ind w:right="0"/>
              <w:jc w:val="center"/>
              <w:textAlignment w:val="auto"/>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图5-</w:t>
            </w: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3</w:t>
            </w: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 xml:space="preserve">  项目临时占地生态恢复措施图</w:t>
            </w:r>
          </w:p>
          <w:p w14:paraId="3A9C2CB3">
            <w:pPr>
              <w:pStyle w:val="27"/>
              <w:keepNext w:val="0"/>
              <w:keepLines w:val="0"/>
              <w:pageBreakBefore w:val="0"/>
              <w:widowControl w:val="0"/>
              <w:kinsoku/>
              <w:wordWrap/>
              <w:overflowPunct/>
              <w:topLinePunct w:val="0"/>
              <w:autoSpaceDE/>
              <w:autoSpaceDN/>
              <w:bidi w:val="0"/>
              <w:adjustRightInd w:val="0"/>
              <w:snapToGrid w:val="0"/>
              <w:spacing w:before="79" w:beforeLines="25"/>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（5）生态环境综合整治后效果</w:t>
            </w:r>
          </w:p>
          <w:p w14:paraId="6EC641D6">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由工程分析和影响分析可知，工程建设对生态环境的影响主要表现在对局部植被以及土壤环境等的影响。本项目为临时占地，植被的破坏为临时性影响，钻井结束后，对临时占用的土地进行植被恢复。通过类比调查同类探井项目土地和植被的恢复情况可知，植被恢复较好，植物生长未受到影响，不会破坏生态系统的结构和稳定性，具体治理后植被恢复效果要不低于周边其他区域。</w:t>
            </w:r>
          </w:p>
          <w:p w14:paraId="5FBE3127">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工程占地</w:t>
            </w:r>
            <w:r>
              <w:rPr>
                <w:rFonts w:hint="default" w:ascii="Times New Roman" w:hAnsi="Times New Roman" w:cs="Times New Roman"/>
                <w:color w:val="000000" w:themeColor="text1"/>
                <w:lang w:val="en-US" w:eastAsia="zh-CN"/>
                <w14:textFill>
                  <w14:solidFill>
                    <w14:schemeClr w14:val="tx1"/>
                  </w14:solidFill>
                </w14:textFill>
              </w:rPr>
              <w:t>为</w:t>
            </w:r>
            <w:r>
              <w:rPr>
                <w:rFonts w:hint="default" w:ascii="Times New Roman" w:hAnsi="Times New Roman" w:cs="Times New Roman"/>
                <w:color w:val="000000" w:themeColor="text1"/>
                <w14:textFill>
                  <w14:solidFill>
                    <w14:schemeClr w14:val="tx1"/>
                  </w14:solidFill>
                </w14:textFill>
              </w:rPr>
              <w:t>临时占地，当勘探井不具有开发价值时，采取永久封井，对临时占地区域恢复原有植被和生态景观，使区域生态景观和谐一致恢复原状；当勘探井具有开发价值时，采取临时封井，</w:t>
            </w:r>
            <w:r>
              <w:rPr>
                <w:rFonts w:hint="default" w:ascii="Times New Roman" w:hAnsi="Times New Roman" w:cs="Times New Roman"/>
                <w:color w:val="000000" w:themeColor="text1"/>
                <w:lang w:val="en-US" w:eastAsia="zh-CN"/>
                <w14:textFill>
                  <w14:solidFill>
                    <w14:schemeClr w14:val="tx1"/>
                  </w14:solidFill>
                </w14:textFill>
              </w:rPr>
              <w:t>移交给长庆油田分公司第二采气厂按标准化井场进行建设和管理</w:t>
            </w:r>
            <w:r>
              <w:rPr>
                <w:rFonts w:hint="eastAsia" w:ascii="Times New Roman" w:hAnsi="Times New Roman"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由于钻井与标准化井场建设属于不同的单位，经核实，钻井工程结束后，钻井单位即按照要求对临时占地进行生态恢复。</w:t>
            </w:r>
          </w:p>
          <w:p w14:paraId="1FE2AE33">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评要求项目生态恢复过程必须将地面所有与采气无关的设施、设备及地面硬化的砖瓦等必须全部拆除，恢复原有土地类型，覆盖场地保留的表土后对场地进行绿化。不得在原有场地直接覆盖表土后直接对场地绿化。</w:t>
            </w:r>
          </w:p>
          <w:p w14:paraId="49C01B21">
            <w:pPr>
              <w:pStyle w:val="27"/>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eastAsia="zh-CN"/>
                <w14:textFill>
                  <w14:solidFill>
                    <w14:schemeClr w14:val="tx1"/>
                  </w14:solidFill>
                </w14:textFill>
              </w:rPr>
              <w:t>）防沙治沙保护措施</w:t>
            </w:r>
          </w:p>
          <w:p w14:paraId="6A343E83">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w:t>
            </w:r>
            <w:r>
              <w:rPr>
                <w:rFonts w:hint="default" w:ascii="Times New Roman" w:hAnsi="Times New Roman" w:cs="Times New Roman"/>
                <w:color w:val="000000" w:themeColor="text1"/>
                <w14:textFill>
                  <w14:solidFill>
                    <w14:schemeClr w14:val="tx1"/>
                  </w14:solidFill>
                </w14:textFill>
              </w:rPr>
              <w:t>《榆林市防止二次沙化及国土绿化五年行动方案（2021-2025年）》要求，坚持生态优先、绿色发展原则，顺应自然，保护自然，以自然恢复为主、人工促进为辅，坚持人与自然和谐共生，坚持保护与发展并进。坚持因地制宜、科学施策原则，严禁违规占用耕地造林绿化，做好防风治沙措施；榆林市《关于加强生态文明建设打造黄土高原生态文明示范区的决定》要求，因地制宜建设乔灌草相结合的防护林体系，引进适宜性经济林树种，实现从防沙治沙到养沙用沙。</w:t>
            </w:r>
          </w:p>
          <w:p w14:paraId="34C54E18">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本项目施工过程中开挖会扰动地面，损坏植被，引发土地沙化。本次评价提出以下防沙治沙措施：</w:t>
            </w:r>
          </w:p>
          <w:p w14:paraId="4FCA528C">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①</w:t>
            </w:r>
            <w:r>
              <w:rPr>
                <w:rFonts w:hint="default" w:ascii="Times New Roman" w:hAnsi="Times New Roman" w:cs="Times New Roman"/>
                <w:color w:val="000000" w:themeColor="text1"/>
                <w14:textFill>
                  <w14:solidFill>
                    <w14:schemeClr w14:val="tx1"/>
                  </w14:solidFill>
                </w14:textFill>
              </w:rPr>
              <w:t>土方开挖保护措施</w:t>
            </w:r>
          </w:p>
          <w:p w14:paraId="78B79EAC">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A、</w:t>
            </w:r>
            <w:r>
              <w:rPr>
                <w:rFonts w:hint="default" w:ascii="Times New Roman" w:hAnsi="Times New Roman" w:cs="Times New Roman"/>
                <w:color w:val="000000" w:themeColor="text1"/>
                <w14:textFill>
                  <w14:solidFill>
                    <w14:schemeClr w14:val="tx1"/>
                  </w14:solidFill>
                </w14:textFill>
              </w:rPr>
              <w:t>施工土方全部用于场地平整，严禁随意堆置；</w:t>
            </w:r>
          </w:p>
          <w:p w14:paraId="782467A7">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B、</w:t>
            </w:r>
            <w:r>
              <w:rPr>
                <w:rFonts w:hint="default" w:ascii="Times New Roman" w:hAnsi="Times New Roman" w:cs="Times New Roman"/>
                <w:color w:val="000000" w:themeColor="text1"/>
                <w14:textFill>
                  <w14:solidFill>
                    <w14:schemeClr w14:val="tx1"/>
                  </w14:solidFill>
                </w14:textFill>
              </w:rPr>
              <w:t>采取有效措施减缓施工扬尘，遇到干燥、易起尘的土方施工作业时，应辅以洒水压尘，尽量缩短起尘操作时间，遇到四级及以上大风天气，应停止土方作业，同时作业处覆以防尘网；</w:t>
            </w:r>
          </w:p>
          <w:p w14:paraId="7B71FF29">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C、</w:t>
            </w:r>
            <w:r>
              <w:rPr>
                <w:rFonts w:hint="default" w:ascii="Times New Roman" w:hAnsi="Times New Roman" w:cs="Times New Roman"/>
                <w:color w:val="000000" w:themeColor="text1"/>
                <w14:textFill>
                  <w14:solidFill>
                    <w14:schemeClr w14:val="tx1"/>
                  </w14:solidFill>
                </w14:textFill>
              </w:rPr>
              <w:t>施工期及时采取临时拦挡苫盖措施，工程结束后，及时实施水土保持工程措施和植物措施，提高水土保持防治措施标准，有效的防治水土流失。</w:t>
            </w:r>
          </w:p>
          <w:p w14:paraId="79997E60">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②</w:t>
            </w:r>
            <w:r>
              <w:rPr>
                <w:rFonts w:hint="default" w:ascii="Times New Roman" w:hAnsi="Times New Roman" w:cs="Times New Roman"/>
                <w:color w:val="000000" w:themeColor="text1"/>
                <w14:textFill>
                  <w14:solidFill>
                    <w14:schemeClr w14:val="tx1"/>
                  </w14:solidFill>
                </w14:textFill>
              </w:rPr>
              <w:t>植物措施</w:t>
            </w:r>
          </w:p>
          <w:p w14:paraId="477ED8A0">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A、</w:t>
            </w:r>
            <w:r>
              <w:rPr>
                <w:rFonts w:hint="default" w:ascii="Times New Roman" w:hAnsi="Times New Roman" w:cs="Times New Roman"/>
                <w:color w:val="000000" w:themeColor="text1"/>
                <w14:textFill>
                  <w14:solidFill>
                    <w14:schemeClr w14:val="tx1"/>
                  </w14:solidFill>
                </w14:textFill>
              </w:rPr>
              <w:t>施工过程中，严格控制施工占地范围，尽可能减少对植被的破坏；</w:t>
            </w:r>
          </w:p>
          <w:p w14:paraId="252C7907">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B、</w:t>
            </w:r>
            <w:r>
              <w:rPr>
                <w:rFonts w:hint="default" w:ascii="Times New Roman" w:hAnsi="Times New Roman" w:cs="Times New Roman"/>
                <w:color w:val="000000" w:themeColor="text1"/>
                <w14:textFill>
                  <w14:solidFill>
                    <w14:schemeClr w14:val="tx1"/>
                  </w14:solidFill>
                </w14:textFill>
              </w:rPr>
              <w:t>项目施工结束后，对临时占地进行植被恢复，林地恢复为林地，并辅以草地搭配。林木优先考虑灌木树种，如柠条、沙棘等，草本有冰草、沙打旺、沙嵩、黄蒿等。项目及时采取撒播草籽、种植灌木等措施，恢复原地貌，通过种植草灌木，实现抗风固土防沙效果。</w:t>
            </w:r>
          </w:p>
          <w:p w14:paraId="44D223AC">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③</w:t>
            </w:r>
            <w:r>
              <w:rPr>
                <w:rFonts w:hint="default" w:ascii="Times New Roman" w:hAnsi="Times New Roman" w:cs="Times New Roman"/>
                <w:color w:val="000000" w:themeColor="text1"/>
                <w14:textFill>
                  <w14:solidFill>
                    <w14:schemeClr w14:val="tx1"/>
                  </w14:solidFill>
                </w14:textFill>
              </w:rPr>
              <w:t>管理措施</w:t>
            </w:r>
          </w:p>
          <w:p w14:paraId="02F5E5E7">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A、</w:t>
            </w:r>
            <w:r>
              <w:rPr>
                <w:rFonts w:hint="default" w:ascii="Times New Roman" w:hAnsi="Times New Roman" w:cs="Times New Roman"/>
                <w:color w:val="000000" w:themeColor="text1"/>
                <w14:textFill>
                  <w14:solidFill>
                    <w14:schemeClr w14:val="tx1"/>
                  </w14:solidFill>
                </w14:textFill>
              </w:rPr>
              <w:t>施工期间应划定施工活动范围，严格控制地表扰动范围，严格控制和管理运输车辆及重型机械的运行线路和范围，合理确定施工期运输路线，避免车辆随意碾压破坏地表，由专人负责，以防破坏周边土壤和植被，加剧土地荒漠化。</w:t>
            </w:r>
          </w:p>
          <w:p w14:paraId="7592598D">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B、</w:t>
            </w:r>
            <w:r>
              <w:rPr>
                <w:rFonts w:hint="default" w:ascii="Times New Roman" w:hAnsi="Times New Roman" w:cs="Times New Roman"/>
                <w:color w:val="000000" w:themeColor="text1"/>
                <w14:textFill>
                  <w14:solidFill>
                    <w14:schemeClr w14:val="tx1"/>
                  </w14:solidFill>
                </w14:textFill>
              </w:rPr>
              <w:t>在施工过程中，不得随意碾压项目周边其他固沙植被。施工结束后，对施工迹地及时进行整治、恢复，减轻水土流失，使其受影响的程度降到最低。</w:t>
            </w:r>
          </w:p>
          <w:p w14:paraId="3C2594B4">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C、</w:t>
            </w:r>
            <w:r>
              <w:rPr>
                <w:rFonts w:hint="default" w:ascii="Times New Roman" w:hAnsi="Times New Roman" w:cs="Times New Roman"/>
                <w:color w:val="000000" w:themeColor="text1"/>
                <w14:textFill>
                  <w14:solidFill>
                    <w14:schemeClr w14:val="tx1"/>
                  </w14:solidFill>
                </w14:textFill>
              </w:rPr>
              <w:t>建设单位应牵头组织专业的护林、护草人员，对新栽植的树木、草灌统一进行管护，包括管护期内对幼树的抚育管理，确保树木成活。落实绿化管护责任。发现问题及时补栽补救。</w:t>
            </w:r>
          </w:p>
          <w:p w14:paraId="768738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二、施工期废气防治措施</w:t>
            </w:r>
          </w:p>
          <w:p w14:paraId="177D4C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1、钻前工程扬尘</w:t>
            </w:r>
          </w:p>
          <w:p w14:paraId="202AABF2">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为进一步改善环境空气质量，加强扬尘污染控制，本项目应严格执行《国务院关于印发大气污染防治行动计划的通知》（国发〔2013〕37号）、《陕西省大气污染防治条例》（2014.1.1）、《陕西省建筑施工扬尘治理行动方案》、《建筑施工扬尘治理措施》、</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佳县2025年生态环境保护铁腕治污攻坚行动方案</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佳办字〔2025〕3号</w:t>
            </w:r>
            <w:r>
              <w:rPr>
                <w:rFonts w:hint="eastAsia"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等相关规定，并采取以下控制措施，以减缓施工扬尘对周边大气环境的影响。</w:t>
            </w:r>
          </w:p>
          <w:p w14:paraId="11733476">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①施工工地周围按照规范设置硬质材料密闭围挡；</w:t>
            </w:r>
          </w:p>
          <w:p w14:paraId="237FE432">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②禁止在大风天施工作业，尤其引起地面扰动的作业；</w:t>
            </w:r>
          </w:p>
          <w:p w14:paraId="198CF033">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③对临时堆放的土石方采取篷布遮盖、拦挡等临时性防护措施；</w:t>
            </w:r>
          </w:p>
          <w:p w14:paraId="0AE37AF5">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④对站区地面、主要施工点周围地面采取洒水降尘等防尘措施；</w:t>
            </w:r>
          </w:p>
          <w:p w14:paraId="2B55DFF4">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⑤施工场地出入口必须进行车辆清洗设备及配套的排水、泥浆沉淀设施；加强运输车辆的管理，不得超载，同时需采取密封、遮盖等措施；</w:t>
            </w:r>
          </w:p>
          <w:p w14:paraId="780295D4">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⑥气象预报风速达到四级以上或出现重污染天气状况时，严禁土石方、开挖、回填、倒土等可能产生扬尘的施工作业，同时要对现场采取覆盖、洒水等降尘措施；</w:t>
            </w:r>
          </w:p>
          <w:p w14:paraId="3C62BC19">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⑦施工现场禁止将包装物、可燃垃圾等固体废弃物就地焚烧。</w:t>
            </w:r>
          </w:p>
          <w:p w14:paraId="3EDA8DD3">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评价认为，只要加强管理、切实落实好上述措施，达到《施工场界扬尘排放限值》（DB61/1078-2017）的相关要求，施工场地扬尘对环境的影响将会大大降低，同时其对环境的影响也将随施工的结束而消失。</w:t>
            </w:r>
          </w:p>
          <w:p w14:paraId="1FD606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、完井测试放喷废气</w:t>
            </w:r>
          </w:p>
          <w:p w14:paraId="5F5D4D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测试放喷采用空中灼烧降低废气的毒性。放喷废气通过燃烧后进行排放。本项目</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放喷池</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选址位于</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距离井口100m外的场地上</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附近</w:t>
            </w:r>
            <w:r>
              <w:rPr>
                <w:rFonts w:hint="eastAsia" w:ascii="Times New Roman" w:hAnsi="Times New Roman" w:cs="Times New Roman"/>
                <w:color w:val="000000" w:themeColor="text1"/>
                <w:sz w:val="24"/>
                <w:szCs w:val="24"/>
                <w:lang w:val="en-US" w:eastAsia="zh-CN"/>
                <w14:textFill>
                  <w14:solidFill>
                    <w14:schemeClr w14:val="tx1"/>
                  </w14:solidFill>
                </w14:textFill>
              </w:rPr>
              <w:t>居民反方向</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的场地上</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放喷池</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周边200m范围内无居民，周边50m范围植被以灌木林地为主</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，无高大林木，地势空旷便于废气扩散，且</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放喷池</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位于当地常年风向的</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下风向</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处。</w:t>
            </w:r>
          </w:p>
          <w:p w14:paraId="4B193B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为了最大程度降低测试放喷废气对环境的影响，测试放喷时，要选择合适的时间，在天气晴朗，且风较大的天气进行，便于废气扩散。加之测试放喷时间短，对大气环境的影响较短，测试完毕，影响很快消除，因此对环境的影响不大。</w:t>
            </w:r>
          </w:p>
          <w:p w14:paraId="122E8A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项目</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放喷池</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周边200m范围内无居民居住，为</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减轻工程放喷对附近农户的影响，环评建议在放喷前，建设方应根据安全需求对距放喷口200m范围建立警戒点并进行24小时警戒，在放喷期间告诫附近村民不要在项目区周边活动，减轻放喷废气对附近农户的影响。在放喷时，虽然采用</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放喷池</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放喷，但是放喷天然气燃烧产生的热辐射会对测试区周围的土壤和植被会造成灼伤，这种影响需要一定的时间才能逐步恢复。</w:t>
            </w:r>
          </w:p>
          <w:p w14:paraId="5461C3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由上分析，本项目除了在放喷时由于热辐射会对</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放喷池</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周围的土壤和植被造成灼伤外，其产生的废气对当地大气环境影响甚微。</w:t>
            </w:r>
          </w:p>
          <w:p w14:paraId="7E9B0E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综上所述，在严格执行《石油天然气钻井、开发、储运、防火防爆安全生产技术规程》(SY5225-2012)关于</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放喷池</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选址要求及放喷撤离要求的前提下。本项目的实施不会造成该区域的环境空气质量发生改变，不会对周边保护目标造成明显不利影响。</w:t>
            </w:r>
          </w:p>
          <w:p w14:paraId="580A53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、事故放喷废气</w:t>
            </w:r>
          </w:p>
          <w:p w14:paraId="5CD997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钻井进入气层后，有可能遇到异常高压气流，如果井内泥浆密度值过低，达不到平衡井内压力要求，就可能发生井喷。此时利用防喷器迅速封闭井口，若井口压力过高，则打开放喷管线阀门泄压，即事故放喷，事故放喷在石油天然气行业是低概率事件。事故放喷主产物是天然气燃烧后产生的SO</w:t>
            </w:r>
            <w:r>
              <w:rPr>
                <w:rFonts w:hint="default"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、NOx、CO、H</w:t>
            </w:r>
            <w:r>
              <w:rPr>
                <w:rFonts w:hint="default" w:ascii="Times New Roman" w:hAnsi="Times New Roman" w:eastAsia="宋体" w:cs="Times New Roman"/>
                <w:b w:val="0"/>
                <w:bCs w:val="0"/>
                <w:color w:val="000000" w:themeColor="text1"/>
                <w:sz w:val="24"/>
                <w:szCs w:val="24"/>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S、烃类。事故放喷时间持续较短，且通过专用的放喷管线将天然气引至</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放喷池</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进行点火放喷，事故放喷时间段，属临时排放，放喷完毕，影响很快消除，环评要求建设单位在发生事故时对周边居民实施临时疏散，因此事故放喷对周边人群健康基本无影响，对环境影响也较小。</w:t>
            </w:r>
          </w:p>
          <w:p w14:paraId="1EEEE5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、施工机械及运输车辆排放的汽车尾气防治措施</w:t>
            </w:r>
          </w:p>
          <w:p w14:paraId="6AB1F735">
            <w:pPr>
              <w:pStyle w:val="27"/>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本项目施工期间各类机械均采用电驱动，属于清洁能源，施工机械不会产生大气污染物。</w:t>
            </w:r>
          </w:p>
          <w:p w14:paraId="3ECD65FB">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施工车辆废气的主要污染物为氮氧化物、二氧化硫和一氧化碳</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其特点是排放量小，属间断性无组织排放，加之施工场地开阔，扩散条件良好，而且废气排放是小范围的短期影响，随着施工期的结束，影响将会消失，因此对周围环境空气影响较小。</w:t>
            </w:r>
          </w:p>
          <w:p w14:paraId="054DB4C0">
            <w:pPr>
              <w:pStyle w:val="27"/>
              <w:bidi w:val="0"/>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为</w:t>
            </w:r>
            <w:r>
              <w:rPr>
                <w:rFonts w:hint="default" w:ascii="Times New Roman" w:hAnsi="Times New Roman" w:cs="Times New Roman"/>
                <w:color w:val="000000" w:themeColor="text1"/>
                <w14:textFill>
                  <w14:solidFill>
                    <w14:schemeClr w14:val="tx1"/>
                  </w14:solidFill>
                </w14:textFill>
              </w:rPr>
              <w:t>进一步降低施工过程中机械设备、运输车辆废气对环境的影响，本次环评提出：</w:t>
            </w:r>
          </w:p>
          <w:p w14:paraId="3A235BC7">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①定期对机械设备、运输车辆检修、维护，提高机械的正常使用率，尽量减少车辆怠速空档；</w:t>
            </w:r>
          </w:p>
          <w:p w14:paraId="0B067997">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②应定期对施工期机械设备和运输车辆排放的废气进行检查监测，机动车污染物排放超标的不得上路行驶；</w:t>
            </w:r>
          </w:p>
          <w:p w14:paraId="55EF81D1">
            <w:pPr>
              <w:pStyle w:val="27"/>
              <w:bidi w:val="0"/>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③严禁使用劣质油，运输车辆优先使用</w:t>
            </w:r>
            <w:r>
              <w:rPr>
                <w:rFonts w:hint="eastAsia" w:ascii="Times New Roman" w:hAnsi="Times New Roman" w:eastAsia="宋体" w:cs="Times New Roman"/>
                <w:color w:val="000000" w:themeColor="text1"/>
                <w:lang w:val="en-US" w:eastAsia="zh-CN"/>
                <w14:textFill>
                  <w14:solidFill>
                    <w14:schemeClr w14:val="tx1"/>
                  </w14:solidFill>
                </w14:textFill>
              </w:rPr>
              <w:t>含硫量低于10ppm的</w:t>
            </w:r>
            <w:r>
              <w:rPr>
                <w:rFonts w:hint="default" w:ascii="Times New Roman" w:hAnsi="Times New Roman" w:cs="Times New Roman"/>
                <w:color w:val="000000" w:themeColor="text1"/>
                <w14:textFill>
                  <w14:solidFill>
                    <w14:schemeClr w14:val="tx1"/>
                  </w14:solidFill>
                </w14:textFill>
              </w:rPr>
              <w:t>的低硫汽油</w:t>
            </w:r>
            <w:r>
              <w:rPr>
                <w:rFonts w:hint="eastAsia" w:ascii="Times New Roman" w:hAnsi="Times New Roman" w:eastAsia="宋体" w:cs="Times New Roman"/>
                <w:color w:val="000000" w:themeColor="text1"/>
                <w:lang w:eastAsia="zh-CN"/>
                <w14:textFill>
                  <w14:solidFill>
                    <w14:schemeClr w14:val="tx1"/>
                  </w14:solidFill>
                </w14:textFill>
              </w:rPr>
              <w:t>；</w:t>
            </w:r>
          </w:p>
          <w:p w14:paraId="25A6545A">
            <w:pPr>
              <w:pStyle w:val="27"/>
              <w:bidi w:val="0"/>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④</w:t>
            </w:r>
            <w:r>
              <w:rPr>
                <w:rFonts w:ascii="Times New Roman" w:hAnsi="Times New Roman" w:eastAsia="宋体" w:cs="Times New Roman"/>
                <w:color w:val="000000" w:themeColor="text1"/>
                <w:sz w:val="24"/>
                <w:szCs w:val="21"/>
                <w14:textFill>
                  <w14:solidFill>
                    <w14:schemeClr w14:val="tx1"/>
                  </w14:solidFill>
                </w14:textFill>
              </w:rPr>
              <w:t>施工机械</w:t>
            </w:r>
            <w:r>
              <w:rPr>
                <w:rFonts w:ascii="Times New Roman" w:hAnsi="Times New Roman" w:eastAsia="宋体" w:cs="Times New Roman"/>
                <w:snapToGrid w:val="0"/>
                <w:color w:val="000000" w:themeColor="text1"/>
                <w:sz w:val="24"/>
                <w:szCs w:val="21"/>
                <w14:textFill>
                  <w14:solidFill>
                    <w14:schemeClr w14:val="tx1"/>
                  </w14:solidFill>
                </w14:textFill>
              </w:rPr>
              <w:t>废气</w:t>
            </w:r>
            <w:r>
              <w:rPr>
                <w:rFonts w:hint="eastAsia" w:ascii="Times New Roman" w:hAnsi="Times New Roman" w:eastAsia="宋体" w:cs="Times New Roman"/>
                <w:snapToGrid w:val="0"/>
                <w:color w:val="000000" w:themeColor="text1"/>
                <w:sz w:val="24"/>
                <w:szCs w:val="21"/>
                <w:lang w:val="en-US" w:eastAsia="zh-CN"/>
                <w14:textFill>
                  <w14:solidFill>
                    <w14:schemeClr w14:val="tx1"/>
                  </w14:solidFill>
                </w14:textFill>
              </w:rPr>
              <w:t>达到</w:t>
            </w:r>
            <w:r>
              <w:rPr>
                <w:rFonts w:ascii="Times New Roman" w:hAnsi="Times New Roman" w:eastAsia="宋体" w:cs="Times New Roman"/>
                <w:snapToGrid w:val="0"/>
                <w:color w:val="000000" w:themeColor="text1"/>
                <w:sz w:val="24"/>
                <w:szCs w:val="21"/>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非道路移动机械用柴油机排气污染物排放限值及测量方法（中国第三、四阶段）》及2020年修改单中第四阶段的标准限值</w:t>
            </w:r>
            <w:r>
              <w:rPr>
                <w:rFonts w:hint="eastAsia" w:ascii="Times New Roman" w:hAnsi="Times New Roman" w:eastAsia="宋体" w:cs="Times New Roman"/>
                <w:color w:val="000000" w:themeColor="text1"/>
                <w:sz w:val="24"/>
                <w:lang w:eastAsia="zh-CN"/>
                <w14:textFill>
                  <w14:solidFill>
                    <w14:schemeClr w14:val="tx1"/>
                  </w14:solidFill>
                </w14:textFill>
              </w:rPr>
              <w:t>。</w:t>
            </w:r>
          </w:p>
          <w:p w14:paraId="47822628">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上，施工期应多加注意施工设备的维护，确保设备正常运行，提高设备原料的利用率。同时合理安排工序，选取优质燃料，禁止运输车辆超载运行等，定期进行车辆尾气检测，对超标排放车辆进行有效的尾气治理，确保所有施工车辆、机械的废气排放达标。</w:t>
            </w:r>
          </w:p>
          <w:p w14:paraId="24529E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三、废水防治措施</w:t>
            </w:r>
          </w:p>
          <w:p w14:paraId="7D0090C8">
            <w:pPr>
              <w:pStyle w:val="27"/>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废水治理措施</w:t>
            </w:r>
          </w:p>
          <w:p w14:paraId="52B65093">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项目勘探期产生的废水主要为生产废水（钻井废水、洗井废水、压裂返排液、放喷废水）和生活污水。钻井结束后最终不能回用的钻井废水、洗井废水、压裂返排液分别收集至专用收集罐，放喷废水收集于</w:t>
            </w:r>
            <w:r>
              <w:rPr>
                <w:rFonts w:hint="eastAsia" w:ascii="Times New Roman" w:hAnsi="Times New Roman" w:cs="Times New Roman"/>
                <w:color w:val="000000" w:themeColor="text1"/>
                <w:lang w:val="en-US" w:eastAsia="zh-CN"/>
                <w14:textFill>
                  <w14:solidFill>
                    <w14:schemeClr w14:val="tx1"/>
                  </w14:solidFill>
                </w14:textFill>
              </w:rPr>
              <w:t>放喷池</w:t>
            </w:r>
            <w:r>
              <w:rPr>
                <w:rFonts w:hint="default" w:ascii="Times New Roman" w:hAnsi="Times New Roman" w:cs="Times New Roman"/>
                <w:color w:val="000000" w:themeColor="text1"/>
                <w:lang w:val="en-US" w:eastAsia="zh-CN"/>
                <w14:textFill>
                  <w14:solidFill>
                    <w14:schemeClr w14:val="tx1"/>
                  </w14:solidFill>
                </w14:textFill>
              </w:rPr>
              <w:t>，定期委托</w:t>
            </w:r>
            <w:r>
              <w:rPr>
                <w:rFonts w:hint="default"/>
                <w:color w:val="000000" w:themeColor="text1"/>
                <w:lang w:val="en-US" w:eastAsia="zh-CN"/>
                <w14:textFill>
                  <w14:solidFill>
                    <w14:schemeClr w14:val="tx1"/>
                  </w14:solidFill>
                </w14:textFill>
              </w:rPr>
              <w:t>陕西</w:t>
            </w:r>
            <w:r>
              <w:rPr>
                <w:rFonts w:hint="eastAsia"/>
                <w:color w:val="000000" w:themeColor="text1"/>
                <w:lang w:val="en-US" w:eastAsia="zh-CN"/>
                <w14:textFill>
                  <w14:solidFill>
                    <w14:schemeClr w14:val="tx1"/>
                  </w14:solidFill>
                </w14:textFill>
              </w:rPr>
              <w:t>榆佳环保科技有限公司</w:t>
            </w:r>
            <w:r>
              <w:rPr>
                <w:rFonts w:hint="default" w:ascii="Times New Roman" w:hAnsi="Times New Roman" w:cs="Times New Roman"/>
                <w:color w:val="000000" w:themeColor="text1"/>
                <w:lang w:val="en-US" w:eastAsia="zh-CN"/>
                <w14:textFill>
                  <w14:solidFill>
                    <w14:schemeClr w14:val="tx1"/>
                  </w14:solidFill>
                </w14:textFill>
              </w:rPr>
              <w:t>采用防渗漏、防溢流的罐车外运处置，不外排。</w:t>
            </w:r>
            <w:r>
              <w:rPr>
                <w:rFonts w:hint="eastAsia" w:ascii="Times New Roman" w:hAnsi="Times New Roman" w:cs="Times New Roman"/>
                <w:color w:val="000000" w:themeColor="text1"/>
                <w:lang w:val="en-US" w:eastAsia="zh-CN"/>
                <w14:textFill>
                  <w14:solidFill>
                    <w14:schemeClr w14:val="tx1"/>
                  </w14:solidFill>
                </w14:textFill>
              </w:rPr>
              <w:t>生活区</w:t>
            </w:r>
            <w:r>
              <w:rPr>
                <w:rFonts w:hint="default" w:ascii="Times New Roman" w:hAnsi="Times New Roman" w:cs="Times New Roman"/>
                <w:color w:val="000000" w:themeColor="text1"/>
                <w:lang w:val="en-US" w:eastAsia="zh-CN"/>
                <w14:textFill>
                  <w14:solidFill>
                    <w14:schemeClr w14:val="tx1"/>
                  </w14:solidFill>
                </w14:textFill>
              </w:rPr>
              <w:t>设</w:t>
            </w:r>
            <w:r>
              <w:rPr>
                <w:rFonts w:hint="eastAsia" w:ascii="Times New Roman" w:hAnsi="Times New Roman" w:cs="Times New Roman"/>
                <w:color w:val="000000" w:themeColor="text1"/>
                <w:lang w:val="en-US" w:eastAsia="zh-CN"/>
                <w14:textFill>
                  <w14:solidFill>
                    <w14:schemeClr w14:val="tx1"/>
                  </w14:solidFill>
                </w14:textFill>
              </w:rPr>
              <w:t>卫生</w:t>
            </w:r>
            <w:r>
              <w:rPr>
                <w:rFonts w:hint="default" w:ascii="Times New Roman" w:hAnsi="Times New Roman" w:cs="Times New Roman"/>
                <w:color w:val="000000" w:themeColor="text1"/>
                <w:lang w:val="en-US" w:eastAsia="zh-CN"/>
                <w14:textFill>
                  <w14:solidFill>
                    <w14:schemeClr w14:val="tx1"/>
                  </w14:solidFill>
                </w14:textFill>
              </w:rPr>
              <w:t>旱厕，定期清掏肥田。通过采取以上措施后，能够保证污染物不外排，</w:t>
            </w:r>
            <w:r>
              <w:rPr>
                <w:rFonts w:hint="default" w:ascii="Times New Roman" w:hAnsi="Times New Roman" w:cs="Times New Roman"/>
                <w:color w:val="000000" w:themeColor="text1"/>
                <w14:textFill>
                  <w14:solidFill>
                    <w14:schemeClr w14:val="tx1"/>
                  </w14:solidFill>
                </w14:textFill>
              </w:rPr>
              <w:t>对地表水环境影响</w:t>
            </w:r>
            <w:r>
              <w:rPr>
                <w:rFonts w:hint="default" w:ascii="Times New Roman" w:hAnsi="Times New Roman" w:cs="Times New Roman"/>
                <w:color w:val="000000" w:themeColor="text1"/>
                <w:lang w:val="en-US" w:eastAsia="zh-CN"/>
                <w14:textFill>
                  <w14:solidFill>
                    <w14:schemeClr w14:val="tx1"/>
                  </w14:solidFill>
                </w14:textFill>
              </w:rPr>
              <w:t>较小</w:t>
            </w:r>
            <w:r>
              <w:rPr>
                <w:rFonts w:hint="default" w:ascii="Times New Roman" w:hAnsi="Times New Roman" w:cs="Times New Roman"/>
                <w:color w:val="000000" w:themeColor="text1"/>
                <w14:textFill>
                  <w14:solidFill>
                    <w14:schemeClr w14:val="tx1"/>
                  </w14:solidFill>
                </w14:textFill>
              </w:rPr>
              <w:t>。</w:t>
            </w:r>
          </w:p>
          <w:p w14:paraId="4F7B1674">
            <w:pPr>
              <w:pStyle w:val="27"/>
              <w:bidi w:val="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）废水依托处置可行性分析</w:t>
            </w:r>
          </w:p>
          <w:p w14:paraId="757AA227">
            <w:pPr>
              <w:pStyle w:val="27"/>
              <w:bidi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本项目施工期生产废水</w:t>
            </w:r>
            <w:r>
              <w:rPr>
                <w:rFonts w:hint="default" w:ascii="Times New Roman" w:hAnsi="Times New Roman" w:cs="Times New Roman"/>
                <w:color w:val="000000" w:themeColor="text1"/>
                <w:lang w:val="en-US" w:eastAsia="zh-CN"/>
                <w14:textFill>
                  <w14:solidFill>
                    <w14:schemeClr w14:val="tx1"/>
                  </w14:solidFill>
                </w14:textFill>
              </w:rPr>
              <w:t>委托</w:t>
            </w:r>
            <w:r>
              <w:rPr>
                <w:rFonts w:hint="default"/>
                <w:color w:val="000000" w:themeColor="text1"/>
                <w:lang w:val="en-US" w:eastAsia="zh-CN"/>
                <w14:textFill>
                  <w14:solidFill>
                    <w14:schemeClr w14:val="tx1"/>
                  </w14:solidFill>
                </w14:textFill>
              </w:rPr>
              <w:t>陕西</w:t>
            </w:r>
            <w:r>
              <w:rPr>
                <w:rFonts w:hint="eastAsia"/>
                <w:color w:val="000000" w:themeColor="text1"/>
                <w:lang w:val="en-US" w:eastAsia="zh-CN"/>
                <w14:textFill>
                  <w14:solidFill>
                    <w14:schemeClr w14:val="tx1"/>
                  </w14:solidFill>
                </w14:textFill>
              </w:rPr>
              <w:t>榆佳环保科技有限公司</w:t>
            </w:r>
            <w:r>
              <w:rPr>
                <w:rFonts w:hint="default" w:ascii="Times New Roman" w:hAnsi="Times New Roman" w:eastAsia="宋体" w:cs="Times New Roman"/>
                <w:color w:val="000000" w:themeColor="text1"/>
                <w:lang w:val="en-US" w:eastAsia="zh-CN"/>
                <w14:textFill>
                  <w14:solidFill>
                    <w14:schemeClr w14:val="tx1"/>
                  </w14:solidFill>
                </w14:textFill>
              </w:rPr>
              <w:t>采用防渗漏、防溢流的罐车外运处理</w:t>
            </w:r>
            <w:r>
              <w:rPr>
                <w:rFonts w:hint="default" w:ascii="Times New Roman" w:hAnsi="Times New Roman" w:eastAsia="宋体" w:cs="Times New Roman"/>
                <w:color w:val="000000" w:themeColor="text1"/>
                <w14:textFill>
                  <w14:solidFill>
                    <w14:schemeClr w14:val="tx1"/>
                  </w14:solidFill>
                </w14:textFill>
              </w:rPr>
              <w:t>，不外排。</w:t>
            </w:r>
          </w:p>
          <w:p w14:paraId="3FCDFCB7">
            <w:pPr>
              <w:pStyle w:val="27"/>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①</w:t>
            </w:r>
            <w:r>
              <w:rPr>
                <w:rFonts w:hint="default" w:ascii="Times New Roman" w:hAnsi="Times New Roman" w:cs="Times New Roman"/>
                <w:color w:val="000000" w:themeColor="text1"/>
                <w:lang w:val="en-US" w:eastAsia="zh-CN"/>
                <w14:textFill>
                  <w14:solidFill>
                    <w14:schemeClr w14:val="tx1"/>
                  </w14:solidFill>
                </w14:textFill>
              </w:rPr>
              <w:t>油气开采废弃物集中处理厂概况</w:t>
            </w:r>
          </w:p>
          <w:p w14:paraId="4DC1FB2A">
            <w:pPr>
              <w:pStyle w:val="27"/>
              <w:bidi w:val="0"/>
              <w:rPr>
                <w:rFonts w:hint="default" w:ascii="Times New Roman" w:hAnsi="Times New Roman" w:cs="Times New Roman"/>
                <w:color w:val="000000" w:themeColor="text1"/>
                <w:lang w:val="en-US"/>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陕西榆佳环保科技有限公司</w:t>
            </w:r>
            <w:r>
              <w:rPr>
                <w:rFonts w:hint="default" w:ascii="Times New Roman" w:hAnsi="Times New Roman" w:eastAsia="宋体" w:cs="Times New Roman"/>
                <w:color w:val="000000" w:themeColor="text1"/>
                <w:lang w:val="en-US" w:eastAsia="zh-CN"/>
                <w14:textFill>
                  <w14:solidFill>
                    <w14:schemeClr w14:val="tx1"/>
                  </w14:solidFill>
                </w14:textFill>
              </w:rPr>
              <w:t>位于榆林市</w:t>
            </w:r>
            <w:r>
              <w:rPr>
                <w:rFonts w:hint="eastAsia" w:ascii="Times New Roman" w:hAnsi="Times New Roman" w:eastAsia="宋体" w:cs="Times New Roman"/>
                <w:color w:val="000000" w:themeColor="text1"/>
                <w:lang w:val="en-US" w:eastAsia="zh-CN"/>
                <w14:textFill>
                  <w14:solidFill>
                    <w14:schemeClr w14:val="tx1"/>
                  </w14:solidFill>
                </w14:textFill>
              </w:rPr>
              <w:t>佳县王家砭镇榆佳经济技术开发区，</w:t>
            </w:r>
            <w:r>
              <w:rPr>
                <w:rFonts w:hint="default" w:ascii="Times New Roman" w:hAnsi="Times New Roman" w:eastAsia="宋体" w:cs="Times New Roman"/>
                <w:color w:val="000000" w:themeColor="text1"/>
                <w:lang w:val="en-US" w:eastAsia="zh-CN"/>
                <w14:textFill>
                  <w14:solidFill>
                    <w14:schemeClr w14:val="tx1"/>
                  </w14:solidFill>
                </w14:textFill>
              </w:rPr>
              <w:t>主要用于接收周边</w:t>
            </w:r>
            <w:r>
              <w:rPr>
                <w:rFonts w:hint="eastAsia" w:ascii="Times New Roman" w:hAnsi="Times New Roman" w:eastAsia="宋体" w:cs="Times New Roman"/>
                <w:color w:val="000000" w:themeColor="text1"/>
                <w:lang w:val="en-US" w:eastAsia="zh-CN"/>
                <w14:textFill>
                  <w14:solidFill>
                    <w14:schemeClr w14:val="tx1"/>
                  </w14:solidFill>
                </w14:textFill>
              </w:rPr>
              <w:t>气田开采产生的</w:t>
            </w:r>
            <w:r>
              <w:rPr>
                <w:rFonts w:hint="default" w:ascii="Times New Roman" w:hAnsi="Times New Roman" w:eastAsia="宋体" w:cs="Times New Roman"/>
                <w:color w:val="000000" w:themeColor="text1"/>
                <w:lang w:val="en-US" w:eastAsia="zh-CN"/>
                <w14:textFill>
                  <w14:solidFill>
                    <w14:schemeClr w14:val="tx1"/>
                  </w14:solidFill>
                </w14:textFill>
              </w:rPr>
              <w:t>的压裂</w:t>
            </w:r>
            <w:r>
              <w:rPr>
                <w:rFonts w:hint="eastAsia" w:ascii="Times New Roman" w:hAnsi="Times New Roman" w:eastAsia="宋体" w:cs="Times New Roman"/>
                <w:color w:val="000000" w:themeColor="text1"/>
                <w:lang w:val="en-US" w:eastAsia="zh-CN"/>
                <w14:textFill>
                  <w14:solidFill>
                    <w14:schemeClr w14:val="tx1"/>
                  </w14:solidFill>
                </w14:textFill>
              </w:rPr>
              <w:t>返排液</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泥浆压滤也</w:t>
            </w:r>
            <w:r>
              <w:rPr>
                <w:rFonts w:hint="default" w:ascii="Times New Roman" w:hAnsi="Times New Roman" w:eastAsia="宋体" w:cs="Times New Roman"/>
                <w:color w:val="000000" w:themeColor="text1"/>
                <w:lang w:val="en-US" w:eastAsia="zh-CN"/>
                <w14:textFill>
                  <w14:solidFill>
                    <w14:schemeClr w14:val="tx1"/>
                  </w14:solidFill>
                </w14:textFill>
              </w:rPr>
              <w:t>等作业废水，设计处理规模</w:t>
            </w:r>
            <w:r>
              <w:rPr>
                <w:rFonts w:hint="eastAsia" w:ascii="Times New Roman" w:hAnsi="Times New Roman" w:eastAsia="宋体" w:cs="Times New Roman"/>
                <w:color w:val="000000" w:themeColor="text1"/>
                <w:lang w:val="en-US" w:eastAsia="zh-CN"/>
                <w14:textFill>
                  <w14:solidFill>
                    <w14:schemeClr w14:val="tx1"/>
                  </w14:solidFill>
                </w14:textFill>
              </w:rPr>
              <w:t>2000</w:t>
            </w:r>
            <w:r>
              <w:rPr>
                <w:rFonts w:hint="default" w:ascii="Times New Roman" w:hAnsi="Times New Roman" w:eastAsia="宋体" w:cs="Times New Roman"/>
                <w:color w:val="000000" w:themeColor="text1"/>
                <w:lang w:val="en-US" w:eastAsia="zh-CN"/>
                <w14:textFill>
                  <w14:solidFill>
                    <w14:schemeClr w14:val="tx1"/>
                  </w14:solidFill>
                </w14:textFill>
              </w:rPr>
              <w:t>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/d，采用</w:t>
            </w:r>
            <w:r>
              <w:rPr>
                <w:rFonts w:hint="eastAsia" w:ascii="Times New Roman" w:hAnsi="Times New Roman" w:eastAsia="宋体" w:cs="Times New Roman"/>
                <w:color w:val="000000" w:themeColor="text1"/>
                <w:lang w:val="en-US" w:eastAsia="zh-CN"/>
                <w14:textFill>
                  <w14:solidFill>
                    <w14:schemeClr w14:val="tx1"/>
                  </w14:solidFill>
                </w14:textFill>
              </w:rPr>
              <w:t>“二级酸析反应沉淀+液碱+CO</w:t>
            </w:r>
            <w:r>
              <w:rPr>
                <w:rFonts w:hint="eastAsia" w:ascii="Times New Roman" w:hAnsi="Times New Roman" w:eastAsia="宋体" w:cs="Times New Roman"/>
                <w:color w:val="000000" w:themeColor="text1"/>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lang w:val="en-US" w:eastAsia="zh-CN"/>
                <w14:textFill>
                  <w14:solidFill>
                    <w14:schemeClr w14:val="tx1"/>
                  </w14:solidFill>
                </w14:textFill>
              </w:rPr>
              <w:t>+隔膜压滤+精密过滤+紫外杀菌”</w:t>
            </w:r>
            <w:r>
              <w:rPr>
                <w:rFonts w:hint="default" w:ascii="Times New Roman" w:hAnsi="Times New Roman" w:eastAsia="宋体" w:cs="Times New Roman"/>
                <w:color w:val="000000" w:themeColor="text1"/>
                <w:lang w:val="en-US" w:eastAsia="zh-CN"/>
                <w14:textFill>
                  <w14:solidFill>
                    <w14:schemeClr w14:val="tx1"/>
                  </w14:solidFill>
                </w14:textFill>
              </w:rPr>
              <w:t>工艺，处理后废水达到</w:t>
            </w:r>
            <w:r>
              <w:rPr>
                <w:rFonts w:hint="eastAsia" w:ascii="Times New Roman" w:hAnsi="Times New Roman" w:eastAsia="宋体" w:cs="Times New Roman"/>
                <w:color w:val="000000" w:themeColor="text1"/>
                <w:lang w:val="en-US" w:eastAsia="zh-CN"/>
                <w14:textFill>
                  <w14:solidFill>
                    <w14:schemeClr w14:val="tx1"/>
                  </w14:solidFill>
                </w14:textFill>
              </w:rPr>
              <w:t>《压裂返排液回配压裂液用水水质要求》（</w:t>
            </w:r>
            <w:r>
              <w:rPr>
                <w:rFonts w:hint="default" w:ascii="Times New Roman" w:hAnsi="Times New Roman" w:eastAsia="宋体" w:cs="Times New Roman"/>
                <w:color w:val="000000" w:themeColor="text1"/>
                <w:lang w:val="en-US" w:eastAsia="zh-CN"/>
                <w14:textFill>
                  <w14:solidFill>
                    <w14:schemeClr w14:val="tx1"/>
                  </w14:solidFill>
                </w14:textFill>
              </w:rPr>
              <w:t>DB61/T1248-2019</w:t>
            </w:r>
            <w:r>
              <w:rPr>
                <w:rFonts w:hint="eastAsia" w:ascii="Times New Roman" w:hAnsi="Times New Roman" w:eastAsia="宋体" w:cs="Times New Roman"/>
                <w:color w:val="000000" w:themeColor="text1"/>
                <w:lang w:val="en-US" w:eastAsia="zh-CN"/>
                <w14:textFill>
                  <w14:solidFill>
                    <w14:schemeClr w14:val="tx1"/>
                  </w14:solidFill>
                </w14:textFill>
              </w:rPr>
              <w:t>）中滑溜水配制用水水质要求和《页岩气储层改造第</w:t>
            </w:r>
            <w:r>
              <w:rPr>
                <w:rFonts w:hint="default" w:ascii="Times New Roman" w:hAnsi="Times New Roman" w:eastAsia="宋体" w:cs="Times New Roman"/>
                <w:color w:val="000000" w:themeColor="text1"/>
                <w:lang w:val="en-US" w:eastAsia="zh-CN"/>
                <w14:textFill>
                  <w14:solidFill>
                    <w14:schemeClr w14:val="tx1"/>
                  </w14:solidFill>
                </w14:textFill>
              </w:rPr>
              <w:t>3</w:t>
            </w:r>
            <w:r>
              <w:rPr>
                <w:rFonts w:hint="eastAsia" w:ascii="Times New Roman" w:hAnsi="Times New Roman" w:eastAsia="宋体" w:cs="Times New Roman"/>
                <w:color w:val="000000" w:themeColor="text1"/>
                <w:lang w:val="en-US" w:eastAsia="zh-CN"/>
                <w14:textFill>
                  <w14:solidFill>
                    <w14:schemeClr w14:val="tx1"/>
                  </w14:solidFill>
                </w14:textFill>
              </w:rPr>
              <w:t>部分：压裂返排液回收和处理方法》（</w:t>
            </w:r>
            <w:r>
              <w:rPr>
                <w:rFonts w:hint="default" w:ascii="Times New Roman" w:hAnsi="Times New Roman" w:eastAsia="宋体" w:cs="Times New Roman"/>
                <w:color w:val="000000" w:themeColor="text1"/>
                <w:lang w:val="en-US" w:eastAsia="zh-CN"/>
                <w14:textFill>
                  <w14:solidFill>
                    <w14:schemeClr w14:val="tx1"/>
                  </w14:solidFill>
                </w14:textFill>
              </w:rPr>
              <w:t>NB/T14002.3-2022</w:t>
            </w:r>
            <w:r>
              <w:rPr>
                <w:rFonts w:hint="eastAsia" w:ascii="Times New Roman" w:hAnsi="Times New Roman" w:eastAsia="宋体" w:cs="Times New Roman"/>
                <w:color w:val="000000" w:themeColor="text1"/>
                <w:lang w:val="en-US" w:eastAsia="zh-CN"/>
                <w14:textFill>
                  <w14:solidFill>
                    <w14:schemeClr w14:val="tx1"/>
                  </w14:solidFill>
                </w14:textFill>
              </w:rPr>
              <w:t>）中表</w:t>
            </w: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eastAsia" w:ascii="Times New Roman" w:hAnsi="Times New Roman" w:eastAsia="宋体" w:cs="Times New Roman"/>
                <w:color w:val="000000" w:themeColor="text1"/>
                <w:lang w:val="en-US" w:eastAsia="zh-CN"/>
                <w14:textFill>
                  <w14:solidFill>
                    <w14:schemeClr w14:val="tx1"/>
                  </w14:solidFill>
                </w14:textFill>
              </w:rPr>
              <w:t>回用水推荐水质主要控制指标要求，处理后的废水罐车拉运至周边气田用于压裂液和钻井泥浆配制。</w:t>
            </w:r>
          </w:p>
          <w:p w14:paraId="06B8202F">
            <w:pPr>
              <w:pStyle w:val="2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②处理工艺流程</w:t>
            </w:r>
          </w:p>
          <w:p w14:paraId="5C29DCB5">
            <w:pPr>
              <w:pStyle w:val="2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陕西榆佳环保科技有限公司</w:t>
            </w:r>
            <w:r>
              <w:rPr>
                <w:rFonts w:hint="default" w:ascii="Times New Roman" w:hAnsi="Times New Roman" w:cs="Times New Roman"/>
                <w:color w:val="000000" w:themeColor="text1"/>
                <w:lang w:val="en-US" w:eastAsia="zh-CN"/>
                <w14:textFill>
                  <w14:solidFill>
                    <w14:schemeClr w14:val="tx1"/>
                  </w14:solidFill>
                </w14:textFill>
              </w:rPr>
              <w:t>工艺流程见图5-</w:t>
            </w:r>
            <w:r>
              <w:rPr>
                <w:rFonts w:hint="eastAsia"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w:t>
            </w:r>
          </w:p>
          <w:p w14:paraId="5CA844D8">
            <w:pPr>
              <w:pStyle w:val="2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551170" cy="7093585"/>
                  <wp:effectExtent l="0" t="0" r="11430" b="1206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25"/>
                          <a:stretch>
                            <a:fillRect/>
                          </a:stretch>
                        </pic:blipFill>
                        <pic:spPr>
                          <a:xfrm>
                            <a:off x="0" y="0"/>
                            <a:ext cx="5551170" cy="7093585"/>
                          </a:xfrm>
                          <a:prstGeom prst="rect">
                            <a:avLst/>
                          </a:prstGeom>
                          <a:noFill/>
                          <a:ln>
                            <a:noFill/>
                          </a:ln>
                        </pic:spPr>
                      </pic:pic>
                    </a:graphicData>
                  </a:graphic>
                </wp:inline>
              </w:drawing>
            </w:r>
          </w:p>
          <w:p w14:paraId="643FDF05">
            <w:pPr>
              <w:pStyle w:val="6"/>
              <w:bidi w:val="0"/>
              <w:ind w:left="0" w:lef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图</w:t>
            </w:r>
            <w:r>
              <w:rPr>
                <w:rFonts w:hint="default" w:ascii="Times New Roman" w:hAnsi="Times New Roman" w:cs="Times New Roman"/>
                <w:color w:val="000000" w:themeColor="text1"/>
                <w:sz w:val="21"/>
                <w:szCs w:val="21"/>
                <w:lang w:val="en-US" w:eastAsia="zh-CN"/>
                <w14:textFill>
                  <w14:solidFill>
                    <w14:schemeClr w14:val="tx1"/>
                  </w14:solidFill>
                </w14:textFill>
              </w:rPr>
              <w:t>5-</w:t>
            </w:r>
            <w:r>
              <w:rPr>
                <w:rFonts w:hint="eastAsia" w:ascii="Times New Roman" w:hAnsi="Times New Roman" w:cs="Times New Roman"/>
                <w:color w:val="000000" w:themeColor="text1"/>
                <w:sz w:val="21"/>
                <w:szCs w:val="21"/>
                <w:lang w:val="en-US" w:eastAsia="zh-CN"/>
                <w14:textFill>
                  <w14:solidFill>
                    <w14:schemeClr w14:val="tx1"/>
                  </w14:solidFill>
                </w14:textFill>
              </w:rPr>
              <w:t>4</w:t>
            </w:r>
            <w:r>
              <w:rPr>
                <w:rFonts w:hint="default" w:ascii="Times New Roman" w:hAnsi="Times New Roman" w:cs="Times New Roman"/>
                <w:color w:val="000000" w:themeColor="text1"/>
                <w:sz w:val="21"/>
                <w:szCs w:val="21"/>
                <w:lang w:eastAsia="zh-CN"/>
                <w14:textFill>
                  <w14:solidFill>
                    <w14:schemeClr w14:val="tx1"/>
                  </w14:solidFill>
                </w14:textFill>
              </w:rPr>
              <w:t xml:space="preserve">  </w:t>
            </w:r>
            <w:r>
              <w:rPr>
                <w:rFonts w:hint="default" w:ascii="Times New Roman" w:hAnsi="Times New Roman" w:cs="Times New Roman"/>
                <w:color w:val="000000" w:themeColor="text1"/>
                <w:sz w:val="21"/>
                <w:szCs w:val="21"/>
                <w:lang w:val="en-US" w:eastAsia="zh-CN"/>
                <w14:textFill>
                  <w14:solidFill>
                    <w14:schemeClr w14:val="tx1"/>
                  </w14:solidFill>
                </w14:textFill>
              </w:rPr>
              <w:t>水</w:t>
            </w:r>
            <w:r>
              <w:rPr>
                <w:rFonts w:hint="default" w:ascii="Times New Roman" w:hAnsi="Times New Roman" w:cs="Times New Roman"/>
                <w:color w:val="000000" w:themeColor="text1"/>
                <w:sz w:val="21"/>
                <w:szCs w:val="21"/>
                <w:lang w:eastAsia="zh-CN"/>
                <w14:textFill>
                  <w14:solidFill>
                    <w14:schemeClr w14:val="tx1"/>
                  </w14:solidFill>
                </w14:textFill>
              </w:rPr>
              <w:t>处理工艺流程图</w:t>
            </w:r>
          </w:p>
          <w:p w14:paraId="28E23C4C">
            <w:pPr>
              <w:pStyle w:val="2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③环保手续执行情况</w:t>
            </w:r>
          </w:p>
          <w:p w14:paraId="4BFF6D73">
            <w:pPr>
              <w:pStyle w:val="2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该项目于20</w:t>
            </w:r>
            <w:r>
              <w:rPr>
                <w:rFonts w:hint="eastAsia" w:ascii="Times New Roman" w:hAnsi="Times New Roman" w:cs="Times New Roman"/>
                <w:color w:val="000000" w:themeColor="text1"/>
                <w:lang w:val="en-US" w:eastAsia="zh-CN"/>
                <w14:textFill>
                  <w14:solidFill>
                    <w14:schemeClr w14:val="tx1"/>
                  </w14:solidFill>
                </w14:textFill>
              </w:rPr>
              <w:t>24</w:t>
            </w:r>
            <w:r>
              <w:rPr>
                <w:rFonts w:hint="default" w:ascii="Times New Roman" w:hAnsi="Times New Roman" w:cs="Times New Roman"/>
                <w:color w:val="000000" w:themeColor="text1"/>
                <w:lang w:val="en-US" w:eastAsia="zh-CN"/>
                <w14:textFill>
                  <w14:solidFill>
                    <w14:schemeClr w14:val="tx1"/>
                  </w14:solidFill>
                </w14:textFill>
              </w:rPr>
              <w:t>年</w:t>
            </w:r>
            <w:r>
              <w:rPr>
                <w:rFonts w:hint="eastAsia"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lang w:val="en-US" w:eastAsia="zh-CN"/>
                <w14:textFill>
                  <w14:solidFill>
                    <w14:schemeClr w14:val="tx1"/>
                  </w14:solidFill>
                </w14:textFill>
              </w:rPr>
              <w:t>月1</w:t>
            </w:r>
            <w:r>
              <w:rPr>
                <w:rFonts w:hint="eastAsia"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日取得了</w:t>
            </w:r>
            <w:r>
              <w:rPr>
                <w:rFonts w:hint="eastAsia" w:ascii="Times New Roman" w:hAnsi="Times New Roman" w:cs="Times New Roman"/>
                <w:color w:val="000000" w:themeColor="text1"/>
                <w:lang w:val="en-US" w:eastAsia="zh-CN"/>
                <w14:textFill>
                  <w14:solidFill>
                    <w14:schemeClr w14:val="tx1"/>
                  </w14:solidFill>
                </w14:textFill>
              </w:rPr>
              <w:t>榆林市生态环境局</w:t>
            </w:r>
            <w:r>
              <w:rPr>
                <w:rFonts w:hint="default" w:ascii="Times New Roman" w:hAnsi="Times New Roman" w:cs="Times New Roman"/>
                <w:color w:val="000000" w:themeColor="text1"/>
                <w:lang w:val="en-US" w:eastAsia="zh-CN"/>
                <w14:textFill>
                  <w14:solidFill>
                    <w14:schemeClr w14:val="tx1"/>
                  </w14:solidFill>
                </w14:textFill>
              </w:rPr>
              <w:t>下发的环评批复（榆政</w:t>
            </w:r>
            <w:r>
              <w:rPr>
                <w:rFonts w:hint="eastAsia" w:ascii="Times New Roman" w:hAnsi="Times New Roman" w:cs="Times New Roman"/>
                <w:color w:val="000000" w:themeColor="text1"/>
                <w:lang w:val="en-US" w:eastAsia="zh-CN"/>
                <w14:textFill>
                  <w14:solidFill>
                    <w14:schemeClr w14:val="tx1"/>
                  </w14:solidFill>
                </w14:textFill>
              </w:rPr>
              <w:t>环批复</w:t>
            </w:r>
            <w:r>
              <w:rPr>
                <w:rFonts w:hint="default" w:ascii="Times New Roman" w:hAnsi="Times New Roman" w:cs="Times New Roman"/>
                <w:color w:val="000000" w:themeColor="text1"/>
                <w:lang w:val="en-US" w:eastAsia="zh-CN"/>
                <w14:textFill>
                  <w14:solidFill>
                    <w14:schemeClr w14:val="tx1"/>
                  </w14:solidFill>
                </w14:textFill>
              </w:rPr>
              <w:t>〔202</w:t>
            </w:r>
            <w:r>
              <w:rPr>
                <w:rFonts w:hint="eastAsia"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85</w:t>
            </w:r>
            <w:r>
              <w:rPr>
                <w:rFonts w:hint="default" w:ascii="Times New Roman" w:hAnsi="Times New Roman" w:cs="Times New Roman"/>
                <w:color w:val="000000" w:themeColor="text1"/>
                <w:lang w:val="en-US" w:eastAsia="zh-CN"/>
                <w14:textFill>
                  <w14:solidFill>
                    <w14:schemeClr w14:val="tx1"/>
                  </w14:solidFill>
                </w14:textFill>
              </w:rPr>
              <w:t>号），</w:t>
            </w:r>
            <w:r>
              <w:rPr>
                <w:rFonts w:hint="eastAsia" w:ascii="Times New Roman" w:hAnsi="Times New Roman" w:cs="Times New Roman"/>
                <w:color w:val="000000" w:themeColor="text1"/>
                <w:lang w:val="en-US" w:eastAsia="zh-CN"/>
                <w14:textFill>
                  <w14:solidFill>
                    <w14:schemeClr w14:val="tx1"/>
                  </w14:solidFill>
                </w14:textFill>
              </w:rPr>
              <w:t>2024年10月9日取得了排污许可证，</w:t>
            </w:r>
            <w:r>
              <w:rPr>
                <w:rFonts w:hint="default" w:ascii="Times New Roman" w:hAnsi="Times New Roman" w:cs="Times New Roman"/>
                <w:color w:val="000000" w:themeColor="text1"/>
                <w:lang w:val="en-US" w:eastAsia="zh-CN"/>
                <w14:textFill>
                  <w14:solidFill>
                    <w14:schemeClr w14:val="tx1"/>
                  </w14:solidFill>
                </w14:textFill>
              </w:rPr>
              <w:t>于202</w:t>
            </w:r>
            <w:r>
              <w:rPr>
                <w:rFonts w:hint="eastAsia"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年</w:t>
            </w:r>
            <w:r>
              <w:rPr>
                <w:rFonts w:hint="eastAsia" w:ascii="Times New Roman" w:hAnsi="Times New Roman" w:cs="Times New Roman"/>
                <w:color w:val="000000" w:themeColor="text1"/>
                <w:lang w:val="en-US" w:eastAsia="zh-CN"/>
                <w14:textFill>
                  <w14:solidFill>
                    <w14:schemeClr w14:val="tx1"/>
                  </w14:solidFill>
                </w14:textFill>
              </w:rPr>
              <w:t>12</w:t>
            </w:r>
            <w:r>
              <w:rPr>
                <w:rFonts w:hint="default" w:ascii="Times New Roman" w:hAnsi="Times New Roman" w:cs="Times New Roman"/>
                <w:color w:val="000000" w:themeColor="text1"/>
                <w:lang w:val="en-US" w:eastAsia="zh-CN"/>
                <w14:textFill>
                  <w14:solidFill>
                    <w14:schemeClr w14:val="tx1"/>
                  </w14:solidFill>
                </w14:textFill>
              </w:rPr>
              <w:t>月2</w:t>
            </w:r>
            <w:r>
              <w:rPr>
                <w:rFonts w:hint="eastAsia"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lang w:val="en-US" w:eastAsia="zh-CN"/>
                <w14:textFill>
                  <w14:solidFill>
                    <w14:schemeClr w14:val="tx1"/>
                  </w14:solidFill>
                </w14:textFill>
              </w:rPr>
              <w:t>日</w:t>
            </w:r>
            <w:r>
              <w:rPr>
                <w:rFonts w:hint="eastAsia" w:ascii="Times New Roman" w:hAnsi="Times New Roman" w:cs="Times New Roman"/>
                <w:color w:val="000000" w:themeColor="text1"/>
                <w:lang w:val="en-US" w:eastAsia="zh-CN"/>
                <w14:textFill>
                  <w14:solidFill>
                    <w14:schemeClr w14:val="tx1"/>
                  </w14:solidFill>
                </w14:textFill>
              </w:rPr>
              <w:t>通过了竣工环境保护验收</w:t>
            </w:r>
            <w:r>
              <w:rPr>
                <w:rFonts w:hint="default" w:ascii="Times New Roman" w:hAnsi="Times New Roman" w:cs="Times New Roman"/>
                <w:color w:val="000000" w:themeColor="text1"/>
                <w:lang w:val="en-US" w:eastAsia="zh-CN"/>
                <w14:textFill>
                  <w14:solidFill>
                    <w14:schemeClr w14:val="tx1"/>
                  </w14:solidFill>
                </w14:textFill>
              </w:rPr>
              <w:t>，目前正常运行。</w:t>
            </w:r>
          </w:p>
          <w:p w14:paraId="70067FBC">
            <w:pPr>
              <w:pStyle w:val="2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④依托可行性分析</w:t>
            </w:r>
          </w:p>
          <w:p w14:paraId="39B8AF1C">
            <w:pPr>
              <w:pStyle w:val="27"/>
              <w:bidi w:val="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陕西榆佳环保科技有限公司处置能力范围涵盖压裂返排液、泥浆压滤废液处理等，根据《陕西榆佳环保科技有限公司佳县榆佳经济技术开发区污水处理厂项目（一期）环境影响报告书》，设计进水水质为：pH：6~12；SS</w:t>
            </w:r>
            <w:r>
              <w:rPr>
                <w:rFonts w:hint="default" w:ascii="Times New Roman" w:hAnsi="Times New Roman" w:cs="Times New Roman"/>
                <w:color w:val="000000" w:themeColor="text1"/>
                <w:lang w:val="en-US" w:eastAsia="zh-CN"/>
                <w14:textFill>
                  <w14:solidFill>
                    <w14:schemeClr w14:val="tx1"/>
                  </w14:solidFill>
                </w14:textFill>
              </w:rPr>
              <w:t>&lt;</w:t>
            </w:r>
            <w:r>
              <w:rPr>
                <w:rFonts w:hint="eastAsia" w:ascii="Times New Roman" w:hAnsi="Times New Roman" w:cs="Times New Roman"/>
                <w:color w:val="000000" w:themeColor="text1"/>
                <w:lang w:val="en-US" w:eastAsia="zh-CN"/>
                <w14:textFill>
                  <w14:solidFill>
                    <w14:schemeClr w14:val="tx1"/>
                  </w14:solidFill>
                </w14:textFill>
              </w:rPr>
              <w:t>2000mg/L；溶解性总固体＜60000mg/L；总硬度(以CaCO</w:t>
            </w:r>
            <w:r>
              <w:rPr>
                <w:rFonts w:hint="eastAsia" w:ascii="Times New Roman" w:hAnsi="Times New Roman" w:cs="Times New Roman"/>
                <w:color w:val="000000" w:themeColor="text1"/>
                <w:vertAlign w:val="subscript"/>
                <w:lang w:val="en-US"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计)</w:t>
            </w:r>
            <w:r>
              <w:rPr>
                <w:rFonts w:hint="default" w:ascii="Times New Roman" w:hAnsi="Times New Roman" w:cs="Times New Roman"/>
                <w:color w:val="000000" w:themeColor="text1"/>
                <w:lang w:val="en-US" w:eastAsia="zh-CN"/>
                <w14:textFill>
                  <w14:solidFill>
                    <w14:schemeClr w14:val="tx1"/>
                  </w14:solidFill>
                </w14:textFill>
              </w:rPr>
              <w:t>&lt;</w:t>
            </w:r>
            <w:r>
              <w:rPr>
                <w:rFonts w:hint="eastAsia" w:ascii="Times New Roman" w:hAnsi="Times New Roman" w:cs="Times New Roman"/>
                <w:color w:val="000000" w:themeColor="text1"/>
                <w:lang w:val="en-US" w:eastAsia="zh-CN"/>
                <w14:textFill>
                  <w14:solidFill>
                    <w14:schemeClr w14:val="tx1"/>
                  </w14:solidFill>
                </w14:textFill>
              </w:rPr>
              <w:t>30000mg/L，</w:t>
            </w:r>
            <w:r>
              <w:rPr>
                <w:rFonts w:hint="default" w:ascii="Times New Roman" w:hAnsi="Times New Roman" w:cs="Times New Roman"/>
                <w:color w:val="000000" w:themeColor="text1"/>
                <w:lang w:val="en-US" w:eastAsia="zh-CN"/>
                <w14:textFill>
                  <w14:solidFill>
                    <w14:schemeClr w14:val="tx1"/>
                  </w14:solidFill>
                </w14:textFill>
              </w:rPr>
              <w:t>处理规模为</w:t>
            </w:r>
            <w:r>
              <w:rPr>
                <w:rFonts w:hint="eastAsia" w:ascii="Times New Roman" w:hAnsi="Times New Roman" w:cs="Times New Roman"/>
                <w:color w:val="000000" w:themeColor="text1"/>
                <w:lang w:val="en-US" w:eastAsia="zh-CN"/>
                <w14:textFill>
                  <w14:solidFill>
                    <w14:schemeClr w14:val="tx1"/>
                  </w14:solidFill>
                </w14:textFill>
              </w:rPr>
              <w:t>2000</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/d</w:t>
            </w:r>
            <w:r>
              <w:rPr>
                <w:rFonts w:hint="eastAsia" w:ascii="Times New Roman" w:hAnsi="Times New Roman" w:cs="Times New Roman"/>
                <w:color w:val="000000" w:themeColor="text1"/>
                <w:lang w:val="en-US" w:eastAsia="zh-CN"/>
                <w14:textFill>
                  <w14:solidFill>
                    <w14:schemeClr w14:val="tx1"/>
                  </w14:solidFill>
                </w14:textFill>
              </w:rPr>
              <w:t>。本项目产生的废水主要为钻井、洗井废水，压裂返排液，放喷废液等，水质同其他油气田水质基本项目，同时期废水最大产生量为（两口井同时施工）28.48m</w:t>
            </w:r>
            <w:r>
              <w:rPr>
                <w:rFonts w:hint="eastAsia" w:ascii="Times New Roman" w:hAnsi="Times New Roman" w:cs="Times New Roman"/>
                <w:color w:val="000000" w:themeColor="text1"/>
                <w:vertAlign w:val="superscript"/>
                <w:lang w:val="en-US"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/d（产生废水的时间按照40天核算）</w:t>
            </w:r>
            <w:r>
              <w:rPr>
                <w:rFonts w:hint="default" w:ascii="Times New Roman" w:hAnsi="Times New Roman" w:cs="Times New Roman"/>
                <w:color w:val="000000" w:themeColor="text1"/>
                <w:lang w:val="en-US" w:eastAsia="zh-CN"/>
                <w14:textFill>
                  <w14:solidFill>
                    <w14:schemeClr w14:val="tx1"/>
                  </w14:solidFill>
                </w14:textFill>
              </w:rPr>
              <w:t>，处理能力能够满足本项目需求，依托可行。</w:t>
            </w:r>
          </w:p>
          <w:p w14:paraId="23A833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四、噪声防治措施</w:t>
            </w:r>
          </w:p>
          <w:p w14:paraId="1F1434D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钻井过程中噪声主要为钻井噪声和完井测试噪声，钻井噪声主要来源于钻井设备、泥浆泵、振动筛</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、压裂车</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等连续性噪声，噪声源强在85~100dB(A)，为减轻本项目施工期噪声对周围环境的影响，要求采取必要的噪声控制措施。具体措施如下：</w:t>
            </w:r>
          </w:p>
          <w:p w14:paraId="19206B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①严格控制施工时间，合理安排施工计划，尽可能避开午休时间动用高噪声设备。</w:t>
            </w:r>
          </w:p>
          <w:p w14:paraId="4C94B7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②钻机应选用低噪声设备，安装基础减振垫，场区四周应设置围挡，</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压裂车设置隔声设备，仅在白天运行，控制压裂作业频率，</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以进一步降低该部分噪声对周围环境的影响。</w:t>
            </w:r>
          </w:p>
          <w:p w14:paraId="0D55C4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③优化运输路线，车辆应避免经过敏感路段；车辆在经过周边村庄时应减速，减少鸣笛等，避免出现扰民现象。</w:t>
            </w:r>
          </w:p>
          <w:p w14:paraId="5AEB81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④降低施工设备噪声，尽量采用低噪声设备；注意对施工机械定期维修保养，使机械保持最佳工作状态，噪声降低到最低水平。</w:t>
            </w:r>
          </w:p>
          <w:p w14:paraId="02B58C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⑤同一施工地点应避免安排大量动力机械设备，以免局部累积声级过高。选择低噪声设备。</w:t>
            </w:r>
          </w:p>
          <w:p w14:paraId="127805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通过采取上述综合降噪措施，可有效降低施工过程噪声对周围环境的影响，确保施工期各项施工活动产生的噪声达到《建筑施工场界环境噪声排放标准》（GB12523-2011）中的相关规定限值要求，对周围环境影响较小。</w:t>
            </w:r>
          </w:p>
          <w:p w14:paraId="40F64B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五、地下水防治措施</w:t>
            </w:r>
          </w:p>
          <w:p w14:paraId="5C1207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本项目采取的地下水污染防治措施如下：</w:t>
            </w:r>
          </w:p>
          <w:p w14:paraId="33A29B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1、表层固井要求：表层固井必须封固含水层。</w:t>
            </w:r>
          </w:p>
          <w:p w14:paraId="1AF756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2、固井作业要求：为了确保地层的承压能力能够满足固井时防漏及打开气层时安全钻井的需要，在进入气层前必须按工程设计要求进行转化钻井液和工艺堵漏；固井所用水泥、外掺料、外加剂及水泥浆配方必须经长庆油田分公司天然气评价项目部工程技术管理部检验认可备案后，方可使用。</w:t>
            </w:r>
          </w:p>
          <w:p w14:paraId="0C77F1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3、生产套管固井钻水泥塞要求：生产套管固井后，必须用大排量循环冲洗干净水泥塞连接处的胶皮及铝片。</w:t>
            </w:r>
          </w:p>
          <w:p w14:paraId="41A4CD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4、其他要求：</w:t>
            </w:r>
          </w:p>
          <w:p w14:paraId="65CD17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（1）钻井中遇到潜水层，下套管时应注水泥封固，防止地下水层被地层其它流体或钻井泥浆污染</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p>
          <w:p w14:paraId="4388EB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2）固井要求水泥环有可靠的密封，环空封固段不窜、不漏、胶结良好，能承受高压；套管的设计必须完全符合整个井生命周期中的钻井、完井和生产过程中所有的技术要求，要求套管有足够的强度，在整个井生命周期内能够承受各种外力作用，抗腐蚀、不断、不裂、不变形。固井水泥的返高也是封隔井筒与地下水的主要措施，本项目导管和一开固井水泥均返高至地面，可以多层防护与隔绝井内流体与含水层之间的联系。</w:t>
            </w:r>
          </w:p>
          <w:p w14:paraId="57CE65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评价要求施工全程定期对井内套管和井壁进行渗漏检查、修缮，防止套管和井壁发生损坏钻导致钻井液的漏失污染地下水。</w:t>
            </w:r>
          </w:p>
          <w:p w14:paraId="49D16A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（3）钻井过程中采取平衡钻进，避免因压力挤动和开泵过猛使泥浆憋入地层；</w:t>
            </w:r>
          </w:p>
          <w:p w14:paraId="12D8302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4）井场储备足够的封堵剂，钻井过程中应密切注意钻井液的漏失情况，一旦出现漏失，应立即采取堵漏措施，防止钻井液的漏失污染地下水；堵漏剂的选取应考虑清洁、无毒、对人体无害、环境污染轻的种类，建议使用水泥堵漏。</w:t>
            </w:r>
          </w:p>
          <w:p w14:paraId="3BD32F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（5）在井下作业过程中，钻井液和压裂液应集中配置，洗井废水、压裂返排液应100%回收。</w:t>
            </w:r>
          </w:p>
          <w:p w14:paraId="116571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（6）钻井、压裂作业和试井过程应采取防喷、地面管线防刺、防漏、防溢等措施。</w:t>
            </w:r>
          </w:p>
          <w:p w14:paraId="643135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（7）应定期对井内套管和井壁进行检查、修缮，防止套管和井壁发生损坏。</w:t>
            </w:r>
          </w:p>
          <w:p w14:paraId="636A80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5、防渗措施</w:t>
            </w:r>
          </w:p>
          <w:p w14:paraId="7F00E4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为进一步减少工程建设对地下水环境的影响，环评建议对井场各区域切实做好防渗措施，具体要求见下表。</w:t>
            </w:r>
          </w:p>
          <w:p w14:paraId="0FCA4B9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p w14:paraId="2B342DA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表5-3   项目分区防渗措施要求</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806"/>
              <w:gridCol w:w="2004"/>
              <w:gridCol w:w="5829"/>
            </w:tblGrid>
            <w:tr w14:paraId="53C3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66" w:type="dxa"/>
                  <w:vAlign w:val="center"/>
                </w:tcPr>
                <w:p w14:paraId="6B7ED02F">
                  <w:pPr>
                    <w:pStyle w:val="28"/>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分区</w:t>
                  </w:r>
                </w:p>
              </w:tc>
              <w:tc>
                <w:tcPr>
                  <w:tcW w:w="1905" w:type="dxa"/>
                  <w:vAlign w:val="center"/>
                </w:tcPr>
                <w:p w14:paraId="3DD1301A">
                  <w:pPr>
                    <w:pStyle w:val="28"/>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位置</w:t>
                  </w:r>
                </w:p>
              </w:tc>
              <w:tc>
                <w:tcPr>
                  <w:tcW w:w="5541" w:type="dxa"/>
                  <w:vAlign w:val="center"/>
                </w:tcPr>
                <w:p w14:paraId="3B9A4FB3">
                  <w:pPr>
                    <w:pStyle w:val="28"/>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防渗要求</w:t>
                  </w:r>
                </w:p>
              </w:tc>
            </w:tr>
            <w:tr w14:paraId="4A19D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66" w:type="dxa"/>
                  <w:vMerge w:val="restart"/>
                  <w:vAlign w:val="center"/>
                </w:tcPr>
                <w:p w14:paraId="61B2C9E8">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重点防渗区</w:t>
                  </w:r>
                </w:p>
              </w:tc>
              <w:tc>
                <w:tcPr>
                  <w:tcW w:w="1905" w:type="dxa"/>
                  <w:vAlign w:val="center"/>
                </w:tcPr>
                <w:p w14:paraId="531E2B75">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钻井工作区、泥浆不落地系统区、钻井液材料房、储罐区</w:t>
                  </w:r>
                </w:p>
              </w:tc>
              <w:tc>
                <w:tcPr>
                  <w:tcW w:w="5541" w:type="dxa"/>
                  <w:vAlign w:val="center"/>
                </w:tcPr>
                <w:p w14:paraId="3FD3E157">
                  <w:pPr>
                    <w:pStyle w:val="28"/>
                    <w:bidi w:val="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地面底部利用机械将衬层压实，四周用土堆成简易围堰，围堰内地面连同四周的土围堰整体铺设防渗材料</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HDPE膜</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双层</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，等效黏土防渗层Mb≥6.0m，K≤1×10</w:t>
                  </w:r>
                  <w:r>
                    <w:rPr>
                      <w:rFonts w:hint="default" w:ascii="Times New Roman" w:hAnsi="Times New Roman" w:cs="Times New Roman"/>
                      <w:color w:val="000000" w:themeColor="text1"/>
                      <w:sz w:val="21"/>
                      <w:szCs w:val="21"/>
                      <w:vertAlign w:val="superscript"/>
                      <w14:textFill>
                        <w14:solidFill>
                          <w14:schemeClr w14:val="tx1"/>
                        </w14:solidFill>
                      </w14:textFill>
                    </w:rPr>
                    <w:t>-7</w:t>
                  </w:r>
                  <w:r>
                    <w:rPr>
                      <w:rFonts w:hint="default" w:ascii="Times New Roman" w:hAnsi="Times New Roman" w:cs="Times New Roman"/>
                      <w:color w:val="000000" w:themeColor="text1"/>
                      <w:sz w:val="21"/>
                      <w:szCs w:val="21"/>
                      <w14:textFill>
                        <w14:solidFill>
                          <w14:schemeClr w14:val="tx1"/>
                        </w14:solidFill>
                      </w14:textFill>
                    </w:rPr>
                    <w:t>cm/s，HDPE膜敷设面积应适当扩大，覆盖围堰区外延1.0m范围。</w:t>
                  </w:r>
                </w:p>
              </w:tc>
            </w:tr>
            <w:tr w14:paraId="7E068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66" w:type="dxa"/>
                  <w:vMerge w:val="continue"/>
                  <w:vAlign w:val="center"/>
                </w:tcPr>
                <w:p w14:paraId="59F786C1">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p>
              </w:tc>
              <w:tc>
                <w:tcPr>
                  <w:tcW w:w="1905" w:type="dxa"/>
                  <w:vAlign w:val="center"/>
                </w:tcPr>
                <w:p w14:paraId="4D9B2400">
                  <w:pPr>
                    <w:pStyle w:val="28"/>
                    <w:bidi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放喷池</w:t>
                  </w:r>
                </w:p>
              </w:tc>
              <w:tc>
                <w:tcPr>
                  <w:tcW w:w="5541" w:type="dxa"/>
                  <w:vAlign w:val="center"/>
                </w:tcPr>
                <w:p w14:paraId="6FB94075">
                  <w:pPr>
                    <w:pStyle w:val="28"/>
                    <w:bidi w:val="0"/>
                    <w:jc w:val="both"/>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填筑一定厚度的土壤后压实，池底及四周铺设</w:t>
                  </w:r>
                  <w:r>
                    <w:rPr>
                      <w:rFonts w:hint="eastAsia" w:cs="Times New Roman"/>
                      <w:color w:val="000000" w:themeColor="text1"/>
                      <w:sz w:val="21"/>
                      <w:szCs w:val="21"/>
                      <w:lang w:val="en-US" w:eastAsia="zh-CN"/>
                      <w14:textFill>
                        <w14:solidFill>
                          <w14:schemeClr w14:val="tx1"/>
                        </w14:solidFill>
                      </w14:textFill>
                    </w:rPr>
                    <w:t>防渗膜</w:t>
                  </w:r>
                  <w:r>
                    <w:rPr>
                      <w:rFonts w:hint="default" w:ascii="Times New Roman" w:hAnsi="Times New Roman" w:cs="Times New Roman"/>
                      <w:color w:val="000000" w:themeColor="text1"/>
                      <w:sz w:val="21"/>
                      <w:szCs w:val="21"/>
                      <w14:textFill>
                        <w14:solidFill>
                          <w14:schemeClr w14:val="tx1"/>
                        </w14:solidFill>
                      </w14:textFill>
                    </w:rPr>
                    <w:t>作防渗漏处理，</w:t>
                  </w:r>
                  <w:r>
                    <w:rPr>
                      <w:rFonts w:hint="eastAsia" w:cs="Times New Roman"/>
                      <w:color w:val="000000" w:themeColor="text1"/>
                      <w:sz w:val="21"/>
                      <w:szCs w:val="21"/>
                      <w:lang w:val="en-US" w:eastAsia="zh-CN"/>
                      <w14:textFill>
                        <w14:solidFill>
                          <w14:schemeClr w14:val="tx1"/>
                        </w14:solidFill>
                      </w14:textFill>
                    </w:rPr>
                    <w:t>防渗膜</w:t>
                  </w:r>
                  <w:r>
                    <w:rPr>
                      <w:rFonts w:hint="default" w:ascii="Times New Roman" w:hAnsi="Times New Roman" w:cs="Times New Roman"/>
                      <w:color w:val="000000" w:themeColor="text1"/>
                      <w:sz w:val="21"/>
                      <w:szCs w:val="21"/>
                      <w14:textFill>
                        <w14:solidFill>
                          <w14:schemeClr w14:val="tx1"/>
                        </w14:solidFill>
                      </w14:textFill>
                    </w:rPr>
                    <w:t>搭接长度不小于300mm，等效黏土防渗层Mb≥6.0m，K≤1×10</w:t>
                  </w:r>
                  <w:r>
                    <w:rPr>
                      <w:rFonts w:hint="default" w:ascii="Times New Roman" w:hAnsi="Times New Roman" w:cs="Times New Roman"/>
                      <w:color w:val="000000" w:themeColor="text1"/>
                      <w:sz w:val="21"/>
                      <w:szCs w:val="21"/>
                      <w:vertAlign w:val="superscript"/>
                      <w14:textFill>
                        <w14:solidFill>
                          <w14:schemeClr w14:val="tx1"/>
                        </w14:solidFill>
                      </w14:textFill>
                    </w:rPr>
                    <w:t>-7</w:t>
                  </w:r>
                  <w:r>
                    <w:rPr>
                      <w:rFonts w:hint="default" w:ascii="Times New Roman" w:hAnsi="Times New Roman" w:cs="Times New Roman"/>
                      <w:color w:val="000000" w:themeColor="text1"/>
                      <w:sz w:val="21"/>
                      <w:szCs w:val="21"/>
                      <w14:textFill>
                        <w14:solidFill>
                          <w14:schemeClr w14:val="tx1"/>
                        </w14:solidFill>
                      </w14:textFill>
                    </w:rPr>
                    <w:t>cm/s</w:t>
                  </w:r>
                  <w:r>
                    <w:rPr>
                      <w:rFonts w:hint="default" w:ascii="Times New Roman" w:hAnsi="Times New Roman" w:cs="Times New Roman"/>
                      <w:color w:val="000000" w:themeColor="text1"/>
                      <w:sz w:val="21"/>
                      <w:szCs w:val="21"/>
                      <w:lang w:eastAsia="zh-CN"/>
                      <w14:textFill>
                        <w14:solidFill>
                          <w14:schemeClr w14:val="tx1"/>
                        </w14:solidFill>
                      </w14:textFill>
                    </w:rPr>
                    <w:t>。</w:t>
                  </w:r>
                </w:p>
              </w:tc>
            </w:tr>
            <w:tr w14:paraId="616A6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66" w:type="dxa"/>
                  <w:vMerge w:val="continue"/>
                  <w:vAlign w:val="center"/>
                </w:tcPr>
                <w:p w14:paraId="6BFFCD53">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p>
              </w:tc>
              <w:tc>
                <w:tcPr>
                  <w:tcW w:w="1905" w:type="dxa"/>
                  <w:vAlign w:val="center"/>
                </w:tcPr>
                <w:p w14:paraId="6F12484E">
                  <w:pPr>
                    <w:pStyle w:val="28"/>
                    <w:bidi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撬装式</w:t>
                  </w:r>
                  <w:r>
                    <w:rPr>
                      <w:rFonts w:hint="default" w:ascii="Times New Roman" w:hAnsi="Times New Roman" w:cs="Times New Roman"/>
                      <w:color w:val="000000" w:themeColor="text1"/>
                      <w:sz w:val="21"/>
                      <w:szCs w:val="21"/>
                      <w14:textFill>
                        <w14:solidFill>
                          <w14:schemeClr w14:val="tx1"/>
                        </w14:solidFill>
                      </w14:textFill>
                    </w:rPr>
                    <w:t>危废</w:t>
                  </w:r>
                  <w:r>
                    <w:rPr>
                      <w:rFonts w:hint="eastAsia" w:cs="Times New Roman"/>
                      <w:color w:val="000000" w:themeColor="text1"/>
                      <w:sz w:val="21"/>
                      <w:szCs w:val="21"/>
                      <w:lang w:val="en-US" w:eastAsia="zh-CN"/>
                      <w14:textFill>
                        <w14:solidFill>
                          <w14:schemeClr w14:val="tx1"/>
                        </w14:solidFill>
                      </w14:textFill>
                    </w:rPr>
                    <w:t>贮存库</w:t>
                  </w:r>
                </w:p>
              </w:tc>
              <w:tc>
                <w:tcPr>
                  <w:tcW w:w="5541" w:type="dxa"/>
                  <w:vAlign w:val="center"/>
                </w:tcPr>
                <w:p w14:paraId="34862706">
                  <w:pPr>
                    <w:pStyle w:val="28"/>
                    <w:bidi w:val="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采用撬装式</w:t>
                  </w:r>
                  <w:r>
                    <w:rPr>
                      <w:rFonts w:hint="eastAsia" w:cs="Times New Roman"/>
                      <w:color w:val="000000" w:themeColor="text1"/>
                      <w:sz w:val="21"/>
                      <w:szCs w:val="21"/>
                      <w:lang w:eastAsia="zh-CN"/>
                      <w14:textFill>
                        <w14:solidFill>
                          <w14:schemeClr w14:val="tx1"/>
                        </w14:solidFill>
                      </w14:textFill>
                    </w:rPr>
                    <w:t>危废贮存库</w:t>
                  </w:r>
                  <w:r>
                    <w:rPr>
                      <w:rFonts w:hint="default" w:ascii="Times New Roman" w:hAnsi="Times New Roman"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内部</w:t>
                  </w:r>
                  <w:r>
                    <w:rPr>
                      <w:rFonts w:hint="default" w:ascii="Times New Roman" w:hAnsi="Times New Roman" w:cs="Times New Roman"/>
                      <w:color w:val="000000" w:themeColor="text1"/>
                      <w:sz w:val="21"/>
                      <w:szCs w:val="21"/>
                      <w14:textFill>
                        <w14:solidFill>
                          <w14:schemeClr w14:val="tx1"/>
                        </w14:solidFill>
                      </w14:textFill>
                    </w:rPr>
                    <w:t>防渗</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防渗同时可满足《危险废物贮存污染控制标准》</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GB18597-2023</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的相关要求，防渗层渗透系数小于1</w:t>
                  </w:r>
                  <w:r>
                    <w:rPr>
                      <w:rFonts w:hint="default" w:ascii="Times New Roman" w:hAnsi="Times New Roman" w:cs="Times New Roman"/>
                      <w:color w:val="000000" w:themeColor="text1"/>
                      <w:sz w:val="21"/>
                      <w:szCs w:val="21"/>
                      <w:lang w:val="en-US" w:eastAsia="zh-CN"/>
                      <w14:textFill>
                        <w14:solidFill>
                          <w14:schemeClr w14:val="tx1"/>
                        </w14:solidFill>
                      </w14:textFill>
                    </w:rPr>
                    <w:t>.0</w:t>
                  </w:r>
                  <w:r>
                    <w:rPr>
                      <w:rFonts w:hint="default" w:ascii="Times New Roman" w:hAnsi="Times New Roman" w:cs="Times New Roman"/>
                      <w:color w:val="000000" w:themeColor="text1"/>
                      <w:sz w:val="21"/>
                      <w:szCs w:val="21"/>
                      <w14:textFill>
                        <w14:solidFill>
                          <w14:schemeClr w14:val="tx1"/>
                        </w14:solidFill>
                      </w14:textFill>
                    </w:rPr>
                    <w:t>×10</w:t>
                  </w:r>
                  <w:r>
                    <w:rPr>
                      <w:rFonts w:hint="default" w:ascii="Times New Roman" w:hAnsi="Times New Roman" w:cs="Times New Roman"/>
                      <w:color w:val="000000" w:themeColor="text1"/>
                      <w:sz w:val="21"/>
                      <w:szCs w:val="21"/>
                      <w:vertAlign w:val="superscript"/>
                      <w14:textFill>
                        <w14:solidFill>
                          <w14:schemeClr w14:val="tx1"/>
                        </w14:solidFill>
                      </w14:textFill>
                    </w:rPr>
                    <w:t>-10</w:t>
                  </w:r>
                  <w:r>
                    <w:rPr>
                      <w:rFonts w:hint="default" w:ascii="Times New Roman" w:hAnsi="Times New Roman" w:cs="Times New Roman"/>
                      <w:color w:val="000000" w:themeColor="text1"/>
                      <w:sz w:val="21"/>
                      <w:szCs w:val="21"/>
                      <w14:textFill>
                        <w14:solidFill>
                          <w14:schemeClr w14:val="tx1"/>
                        </w14:solidFill>
                      </w14:textFill>
                    </w:rPr>
                    <w:t>cm/s。</w:t>
                  </w:r>
                </w:p>
              </w:tc>
            </w:tr>
            <w:tr w14:paraId="253DA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66" w:type="dxa"/>
                  <w:vAlign w:val="center"/>
                </w:tcPr>
                <w:p w14:paraId="7BD76719">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一般防渗区</w:t>
                  </w:r>
                </w:p>
              </w:tc>
              <w:tc>
                <w:tcPr>
                  <w:tcW w:w="1905" w:type="dxa"/>
                  <w:vAlign w:val="center"/>
                </w:tcPr>
                <w:p w14:paraId="4B5B2888">
                  <w:pPr>
                    <w:pStyle w:val="28"/>
                    <w:bidi w:val="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环保厕所、原辅材料存储区</w:t>
                  </w:r>
                </w:p>
              </w:tc>
              <w:tc>
                <w:tcPr>
                  <w:tcW w:w="5541" w:type="dxa"/>
                  <w:vAlign w:val="center"/>
                </w:tcPr>
                <w:p w14:paraId="4E75E086">
                  <w:pPr>
                    <w:pStyle w:val="28"/>
                    <w:bidi w:val="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地面底部利用机械将衬层压实，单层高密度聚乙烯（HDPE）防渗土工膜；等效黏土防渗层Mb≥1.5m，K≤1×10</w:t>
                  </w:r>
                  <w:r>
                    <w:rPr>
                      <w:rFonts w:hint="eastAsia" w:cs="Times New Roman"/>
                      <w:color w:val="000000" w:themeColor="text1"/>
                      <w:sz w:val="21"/>
                      <w:szCs w:val="21"/>
                      <w:vertAlign w:val="superscript"/>
                      <w:lang w:val="en-US" w:eastAsia="zh-CN"/>
                      <w14:textFill>
                        <w14:solidFill>
                          <w14:schemeClr w14:val="tx1"/>
                        </w14:solidFill>
                      </w14:textFill>
                    </w:rPr>
                    <w:t>-7</w:t>
                  </w:r>
                  <w:r>
                    <w:rPr>
                      <w:rFonts w:hint="eastAsia" w:cs="Times New Roman"/>
                      <w:color w:val="000000" w:themeColor="text1"/>
                      <w:sz w:val="21"/>
                      <w:szCs w:val="21"/>
                      <w:lang w:val="en-US" w:eastAsia="zh-CN"/>
                      <w14:textFill>
                        <w14:solidFill>
                          <w14:schemeClr w14:val="tx1"/>
                        </w14:solidFill>
                      </w14:textFill>
                    </w:rPr>
                    <w:t>cm/s，或参考GB16689执行。</w:t>
                  </w:r>
                </w:p>
              </w:tc>
            </w:tr>
            <w:tr w14:paraId="4FA5D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66" w:type="dxa"/>
                  <w:vAlign w:val="center"/>
                </w:tcPr>
                <w:p w14:paraId="1E45B000">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简单防渗区</w:t>
                  </w:r>
                </w:p>
              </w:tc>
              <w:tc>
                <w:tcPr>
                  <w:tcW w:w="1905" w:type="dxa"/>
                  <w:vAlign w:val="center"/>
                </w:tcPr>
                <w:p w14:paraId="3CE3980A">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生活区、</w:t>
                  </w:r>
                  <w:r>
                    <w:rPr>
                      <w:rFonts w:hint="default" w:ascii="Times New Roman" w:hAnsi="Times New Roman" w:cs="Times New Roman"/>
                      <w:color w:val="000000" w:themeColor="text1"/>
                      <w:sz w:val="21"/>
                      <w:szCs w:val="21"/>
                      <w:lang w:val="en-US" w:eastAsia="zh-CN"/>
                      <w14:textFill>
                        <w14:solidFill>
                          <w14:schemeClr w14:val="tx1"/>
                        </w14:solidFill>
                      </w14:textFill>
                    </w:rPr>
                    <w:t>物料区等其他</w:t>
                  </w:r>
                  <w:r>
                    <w:rPr>
                      <w:rFonts w:hint="default" w:ascii="Times New Roman" w:hAnsi="Times New Roman" w:cs="Times New Roman"/>
                      <w:color w:val="000000" w:themeColor="text1"/>
                      <w:sz w:val="21"/>
                      <w:szCs w:val="21"/>
                      <w14:textFill>
                        <w14:solidFill>
                          <w14:schemeClr w14:val="tx1"/>
                        </w14:solidFill>
                      </w14:textFill>
                    </w:rPr>
                    <w:t>区域</w:t>
                  </w:r>
                </w:p>
              </w:tc>
              <w:tc>
                <w:tcPr>
                  <w:tcW w:w="5541" w:type="dxa"/>
                  <w:vAlign w:val="center"/>
                </w:tcPr>
                <w:p w14:paraId="045D495E">
                  <w:pPr>
                    <w:pStyle w:val="28"/>
                    <w:bidi w:val="0"/>
                    <w:jc w:val="both"/>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采用黏土碾压方式进行防渗</w:t>
                  </w:r>
                  <w:r>
                    <w:rPr>
                      <w:rFonts w:hint="default" w:ascii="Times New Roman" w:hAnsi="Times New Roman" w:cs="Times New Roman"/>
                      <w:color w:val="000000" w:themeColor="text1"/>
                      <w:sz w:val="21"/>
                      <w:szCs w:val="21"/>
                      <w:lang w:eastAsia="zh-CN"/>
                      <w14:textFill>
                        <w14:solidFill>
                          <w14:schemeClr w14:val="tx1"/>
                        </w14:solidFill>
                      </w14:textFill>
                    </w:rPr>
                    <w:t>。</w:t>
                  </w:r>
                </w:p>
              </w:tc>
            </w:tr>
          </w:tbl>
          <w:p w14:paraId="64BD86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六、固体废物防治措施</w:t>
            </w:r>
          </w:p>
          <w:p w14:paraId="6AD7BC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项目钻井过程中产生的固体废物主要有泥饼、废弃泥浆、放喷废液、钻井队员工产生的生活垃圾等。</w:t>
            </w:r>
          </w:p>
          <w:p w14:paraId="289CD9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（1）钻井岩屑</w:t>
            </w: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、废弃泥浆</w:t>
            </w:r>
          </w:p>
          <w:p w14:paraId="1362B85B">
            <w:pPr>
              <w:pStyle w:val="27"/>
              <w:bidi w:val="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①废弃泥浆</w:t>
            </w:r>
          </w:p>
          <w:p w14:paraId="65899BEC">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废弃钻井泥浆是指在钻井过程中无法利用的剩余泥浆，按照《榆林市油（气）开采废弃物处置环保暂行管理办法》（榆政环发〔2015〕170号）的相关要求进行收集，经场地内泥浆不落地系统配套的移动式收集罐暂存，委托外运处置。</w:t>
            </w:r>
          </w:p>
          <w:p w14:paraId="280A1634">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项目钻井过程采用移动式泥浆罐，按照钻井过程中液相及固相落地点，进行点对点式收集、储存，实现液相和固相的不落地。收集的废钻井液利用高效固液分离技术，形成再生钻井液，实现废弃钻井液重复利用。</w:t>
            </w:r>
          </w:p>
          <w:p w14:paraId="0C98FFB2">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本项目泥浆循环利用工艺流程见图</w:t>
            </w:r>
            <w:r>
              <w:rPr>
                <w:rFonts w:hint="default"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w:t>
            </w:r>
          </w:p>
          <w:p w14:paraId="42FFF3D7">
            <w:pPr>
              <w:pStyle w:val="27"/>
              <w:bidi w:val="0"/>
              <w:ind w:left="0" w:leftChars="0" w:firstLine="0" w:firstLineChars="0"/>
              <w:jc w:val="center"/>
              <w:rPr>
                <w:rFonts w:hint="default" w:ascii="Times New Roman" w:hAnsi="Times New Roman" w:cs="Times New Roman"/>
                <w:color w:val="000000" w:themeColor="text1"/>
                <w:sz w:val="24"/>
                <w:lang w:bidi="ar"/>
                <w14:textFill>
                  <w14:solidFill>
                    <w14:schemeClr w14:val="tx1"/>
                  </w14:solidFill>
                </w14:textFill>
              </w:rPr>
            </w:pPr>
            <w:r>
              <w:rPr>
                <w:rFonts w:hint="default" w:ascii="Times New Roman" w:hAnsi="Times New Roman" w:cs="Times New Roman"/>
                <w:color w:val="000000" w:themeColor="text1"/>
                <w:sz w:val="24"/>
                <w:lang w:bidi="ar"/>
                <w14:textFill>
                  <w14:solidFill>
                    <w14:schemeClr w14:val="tx1"/>
                  </w14:solidFill>
                </w14:textFill>
              </w:rPr>
              <w:drawing>
                <wp:inline distT="0" distB="0" distL="114300" distR="114300">
                  <wp:extent cx="3602355" cy="1932940"/>
                  <wp:effectExtent l="0" t="0" r="17145" b="10160"/>
                  <wp:docPr id="15"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34"/>
                          <pic:cNvPicPr>
                            <a:picLocks noChangeAspect="1"/>
                          </pic:cNvPicPr>
                        </pic:nvPicPr>
                        <pic:blipFill>
                          <a:blip r:embed="rId26"/>
                          <a:stretch>
                            <a:fillRect/>
                          </a:stretch>
                        </pic:blipFill>
                        <pic:spPr>
                          <a:xfrm>
                            <a:off x="0" y="0"/>
                            <a:ext cx="3602355" cy="1932940"/>
                          </a:xfrm>
                          <a:prstGeom prst="rect">
                            <a:avLst/>
                          </a:prstGeom>
                          <a:noFill/>
                          <a:ln>
                            <a:noFill/>
                          </a:ln>
                        </pic:spPr>
                      </pic:pic>
                    </a:graphicData>
                  </a:graphic>
                </wp:inline>
              </w:drawing>
            </w:r>
          </w:p>
          <w:p w14:paraId="7A813485">
            <w:pPr>
              <w:pStyle w:val="6"/>
              <w:bidi w:val="0"/>
              <w:ind w:left="0" w:leftChars="0" w:firstLine="0" w:firstLineChars="0"/>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图</w:t>
            </w:r>
            <w:r>
              <w:rPr>
                <w:rFonts w:hint="default" w:ascii="Times New Roman" w:hAnsi="Times New Roman" w:cs="Times New Roman"/>
                <w:color w:val="000000" w:themeColor="text1"/>
                <w:sz w:val="21"/>
                <w:szCs w:val="21"/>
                <w:lang w:val="en-US" w:eastAsia="zh-CN"/>
                <w14:textFill>
                  <w14:solidFill>
                    <w14:schemeClr w14:val="tx1"/>
                  </w14:solidFill>
                </w14:textFill>
              </w:rPr>
              <w:t>5-</w:t>
            </w: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lang w:eastAsia="zh-CN"/>
                <w14:textFill>
                  <w14:solidFill>
                    <w14:schemeClr w14:val="tx1"/>
                  </w14:solidFill>
                </w14:textFill>
              </w:rPr>
              <w:t xml:space="preserve">  泥浆循环利用工艺流程图</w:t>
            </w:r>
          </w:p>
          <w:p w14:paraId="16489FAC">
            <w:pPr>
              <w:pStyle w:val="27"/>
              <w:keepNext w:val="0"/>
              <w:keepLines w:val="0"/>
              <w:pageBreakBefore w:val="0"/>
              <w:widowControl w:val="0"/>
              <w:kinsoku/>
              <w:wordWrap/>
              <w:overflowPunct/>
              <w:topLinePunct w:val="0"/>
              <w:autoSpaceDE/>
              <w:autoSpaceDN/>
              <w:bidi w:val="0"/>
              <w:adjustRightInd w:val="0"/>
              <w:snapToGrid w:val="0"/>
              <w:spacing w:before="79" w:beforeLines="25"/>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泥浆不落地工艺流程如下：</w:t>
            </w:r>
          </w:p>
          <w:p w14:paraId="0D8A2FE2">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泥浆经过振动筛筛分，岩屑成分通过螺旋输送机收集输送至甩干机顶部的进料口进行甩干。甩干机内，岩屑在离心力的作用将上面附着的液体脱出，从振动筛的缝隙中飞入甩干机的液体收集区，然后流入缓冲罐。脱液后的钻屑被刮刀刮下，在离心力作用下沿锥形筛篮的内壁下落，进入岩屑收集罐。</w:t>
            </w:r>
          </w:p>
          <w:p w14:paraId="5B25A0D6">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②经振动筛筛分排出的泥浆成分送除泥除沙器和离心机进行泥沙分离，分离后的液相组分送至泥浆循环罐循环利用。</w:t>
            </w:r>
          </w:p>
          <w:p w14:paraId="2F528CA3">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③当除泥除砂器和离心机含液量较高时，分离物进入缓冲罐中，汇同岩屑甩干机产生的液相泵送入高速变频离心机中，进行二次固液分离，固相存放于岩屑收集罐，液相进入储备罐用于重新配制泥浆。</w:t>
            </w:r>
          </w:p>
          <w:p w14:paraId="467F1EDA">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④岩屑收集罐内的岩屑和钻井结束后剩余的钻井泥浆交由</w:t>
            </w:r>
            <w:r>
              <w:rPr>
                <w:rFonts w:hint="default" w:ascii="Times New Roman" w:hAnsi="Times New Roman" w:eastAsia="宋体" w:cs="Times New Roman"/>
                <w:color w:val="000000" w:themeColor="text1"/>
                <w:lang w:eastAsia="zh-CN"/>
                <w14:textFill>
                  <w14:solidFill>
                    <w14:schemeClr w14:val="tx1"/>
                  </w14:solidFill>
                </w14:textFill>
              </w:rPr>
              <w:t>陕西</w:t>
            </w:r>
            <w:r>
              <w:rPr>
                <w:rFonts w:hint="eastAsia" w:ascii="Times New Roman" w:hAnsi="Times New Roman" w:eastAsia="宋体" w:cs="Times New Roman"/>
                <w:color w:val="000000" w:themeColor="text1"/>
                <w:lang w:val="en-US" w:eastAsia="zh-CN"/>
                <w14:textFill>
                  <w14:solidFill>
                    <w14:schemeClr w14:val="tx1"/>
                  </w14:solidFill>
                </w14:textFill>
              </w:rPr>
              <w:t>德禾鑫盛环保科技有限公司</w:t>
            </w:r>
            <w:r>
              <w:rPr>
                <w:rFonts w:hint="default" w:ascii="Times New Roman" w:hAnsi="Times New Roman" w:cs="Times New Roman"/>
                <w:color w:val="000000" w:themeColor="text1"/>
                <w14:textFill>
                  <w14:solidFill>
                    <w14:schemeClr w14:val="tx1"/>
                  </w14:solidFill>
                </w14:textFill>
              </w:rPr>
              <w:t>处置。</w:t>
            </w:r>
          </w:p>
          <w:p w14:paraId="210D4AC4">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钻井过程中，井场作业区域地面全部铺设土工布进行地面防渗，井场内不开挖泥浆池，泥浆存于循环罐内，岩屑暂存在钢制收集罐内，储罐底部均铺设防渗布。施工期间在井场对钻井各环节产生的废弃泥浆收集，采取“铺设作业、带罐上岗”的模式作业，规范处理，井场作业完成3天内废弃钻井泥浆交由</w:t>
            </w:r>
            <w:r>
              <w:rPr>
                <w:rFonts w:hint="eastAsia" w:ascii="Times New Roman" w:hAnsi="Times New Roman" w:eastAsia="宋体" w:cs="Times New Roman"/>
                <w:color w:val="000000" w:themeColor="text1"/>
                <w:lang w:val="en-US" w:eastAsia="zh-CN"/>
                <w14:textFill>
                  <w14:solidFill>
                    <w14:schemeClr w14:val="tx1"/>
                  </w14:solidFill>
                </w14:textFill>
              </w:rPr>
              <w:t>陕西德禾鑫盛环保科技有限公司</w:t>
            </w:r>
            <w:r>
              <w:rPr>
                <w:rFonts w:hint="default" w:ascii="Times New Roman" w:hAnsi="Times New Roman" w:cs="Times New Roman"/>
                <w:color w:val="000000" w:themeColor="text1"/>
                <w14:textFill>
                  <w14:solidFill>
                    <w14:schemeClr w14:val="tx1"/>
                  </w14:solidFill>
                </w14:textFill>
              </w:rPr>
              <w:t>处置，对环境影响较小。废弃钻井泥浆在井场经罐车拉运至集中处理场地，谨防抛洒。</w:t>
            </w:r>
          </w:p>
          <w:p w14:paraId="6B436A6D">
            <w:pPr>
              <w:pStyle w:val="2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②钻井岩屑</w:t>
            </w:r>
          </w:p>
          <w:p w14:paraId="57195B49">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钻井过程中，岩石被钻头破碎成岩屑，随着泥浆经循环泵带出井口，经地面的泥浆不落地系统处理分离，根据本地区同类项目工程经验，钻井岩屑中不含重金属和放射性含量物质，属于Ⅱ类一般固废，委托外运处置。本项目使用水基泥浆，钻井岩屑按照《榆林市油（气）开采废弃物处置环保暂行管理办法》（榆政环发〔2015〕170号）的相关要求进行收集。</w:t>
            </w:r>
          </w:p>
          <w:p w14:paraId="33735908">
            <w:pPr>
              <w:pStyle w:val="27"/>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③依托可行性分析</w:t>
            </w:r>
          </w:p>
          <w:p w14:paraId="704AED9F">
            <w:pPr>
              <w:pStyle w:val="27"/>
              <w:bidi w:val="0"/>
              <w:rPr>
                <w:rFonts w:hint="eastAsia"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本项目产生的废弃钻井泥浆、钻井岩屑交由</w:t>
            </w:r>
            <w:r>
              <w:rPr>
                <w:rFonts w:hint="default" w:ascii="Times New Roman" w:hAnsi="Times New Roman" w:eastAsia="宋体" w:cs="Times New Roman"/>
                <w:color w:val="000000" w:themeColor="text1"/>
                <w:lang w:eastAsia="zh-CN"/>
                <w14:textFill>
                  <w14:solidFill>
                    <w14:schemeClr w14:val="tx1"/>
                  </w14:solidFill>
                </w14:textFill>
              </w:rPr>
              <w:t>陕西</w:t>
            </w:r>
            <w:r>
              <w:rPr>
                <w:rFonts w:hint="eastAsia" w:ascii="Times New Roman" w:hAnsi="Times New Roman" w:eastAsia="宋体" w:cs="Times New Roman"/>
                <w:color w:val="000000" w:themeColor="text1"/>
                <w:lang w:val="en-US" w:eastAsia="zh-CN"/>
                <w14:textFill>
                  <w14:solidFill>
                    <w14:schemeClr w14:val="tx1"/>
                  </w14:solidFill>
                </w14:textFill>
              </w:rPr>
              <w:t>德禾鑫盛环保科技</w:t>
            </w:r>
            <w:r>
              <w:rPr>
                <w:rFonts w:hint="default" w:ascii="Times New Roman" w:hAnsi="Times New Roman" w:eastAsia="宋体" w:cs="Times New Roman"/>
                <w:color w:val="000000" w:themeColor="text1"/>
                <w:lang w:eastAsia="zh-CN"/>
                <w14:textFill>
                  <w14:solidFill>
                    <w14:schemeClr w14:val="tx1"/>
                  </w14:solidFill>
                </w14:textFill>
              </w:rPr>
              <w:t>有限公司</w:t>
            </w:r>
            <w:r>
              <w:rPr>
                <w:rFonts w:hint="default" w:ascii="Times New Roman" w:hAnsi="Times New Roman" w:cs="Times New Roman"/>
                <w:color w:val="000000" w:themeColor="text1"/>
                <w14:textFill>
                  <w14:solidFill>
                    <w14:schemeClr w14:val="tx1"/>
                  </w14:solidFill>
                </w14:textFill>
              </w:rPr>
              <w:t>处置</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陕西</w:t>
            </w:r>
            <w:r>
              <w:rPr>
                <w:rFonts w:hint="eastAsia" w:ascii="Times New Roman" w:hAnsi="Times New Roman" w:eastAsia="宋体" w:cs="Times New Roman"/>
                <w:color w:val="000000" w:themeColor="text1"/>
                <w:lang w:val="en-US" w:eastAsia="zh-CN"/>
                <w14:textFill>
                  <w14:solidFill>
                    <w14:schemeClr w14:val="tx1"/>
                  </w14:solidFill>
                </w14:textFill>
              </w:rPr>
              <w:t>德禾鑫盛环保科技</w:t>
            </w:r>
            <w:r>
              <w:rPr>
                <w:rFonts w:hint="default" w:ascii="Times New Roman" w:hAnsi="Times New Roman" w:eastAsia="宋体" w:cs="Times New Roman"/>
                <w:color w:val="000000" w:themeColor="text1"/>
                <w:lang w:eastAsia="zh-CN"/>
                <w14:textFill>
                  <w14:solidFill>
                    <w14:schemeClr w14:val="tx1"/>
                  </w14:solidFill>
                </w14:textFill>
              </w:rPr>
              <w:t>有限公司</w:t>
            </w:r>
            <w:r>
              <w:rPr>
                <w:rFonts w:hint="eastAsia" w:ascii="Times New Roman" w:hAnsi="Times New Roman" w:cs="Times New Roman"/>
                <w:color w:val="000000" w:themeColor="text1"/>
                <w:lang w:val="en-US" w:eastAsia="zh-CN"/>
                <w14:textFill>
                  <w14:solidFill>
                    <w14:schemeClr w14:val="tx1"/>
                  </w14:solidFill>
                </w14:textFill>
              </w:rPr>
              <w:t>处置能力范围涵盖废弃钻井泥浆、岩屑等。</w:t>
            </w:r>
          </w:p>
          <w:p w14:paraId="4DBB49FB">
            <w:pPr>
              <w:pStyle w:val="27"/>
              <w:bidi w:val="0"/>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陕西</w:t>
            </w:r>
            <w:r>
              <w:rPr>
                <w:rFonts w:hint="eastAsia" w:ascii="Times New Roman" w:hAnsi="Times New Roman" w:eastAsia="宋体" w:cs="Times New Roman"/>
                <w:color w:val="000000" w:themeColor="text1"/>
                <w:lang w:val="en-US" w:eastAsia="zh-CN"/>
                <w14:textFill>
                  <w14:solidFill>
                    <w14:schemeClr w14:val="tx1"/>
                  </w14:solidFill>
                </w14:textFill>
              </w:rPr>
              <w:t>德禾鑫盛环保科技</w:t>
            </w:r>
            <w:r>
              <w:rPr>
                <w:rFonts w:hint="default" w:ascii="Times New Roman" w:hAnsi="Times New Roman" w:eastAsia="宋体" w:cs="Times New Roman"/>
                <w:color w:val="000000" w:themeColor="text1"/>
                <w:lang w:eastAsia="zh-CN"/>
                <w14:textFill>
                  <w14:solidFill>
                    <w14:schemeClr w14:val="tx1"/>
                  </w14:solidFill>
                </w14:textFill>
              </w:rPr>
              <w:t>有限公司</w:t>
            </w:r>
            <w:r>
              <w:rPr>
                <w:rFonts w:hint="default" w:ascii="Times New Roman" w:hAnsi="Times New Roman" w:cs="Times New Roman"/>
                <w:color w:val="000000" w:themeColor="text1"/>
                <w:lang w:val="en-US" w:eastAsia="zh-CN"/>
                <w14:textFill>
                  <w14:solidFill>
                    <w14:schemeClr w14:val="tx1"/>
                  </w14:solidFill>
                </w14:textFill>
              </w:rPr>
              <w:t>位于</w:t>
            </w:r>
            <w:r>
              <w:rPr>
                <w:rFonts w:hint="eastAsia" w:ascii="Times New Roman" w:hAnsi="Times New Roman" w:cs="Times New Roman"/>
                <w:color w:val="000000" w:themeColor="text1"/>
                <w:lang w:val="en-US" w:eastAsia="zh-CN"/>
                <w14:textFill>
                  <w14:solidFill>
                    <w14:schemeClr w14:val="tx1"/>
                  </w14:solidFill>
                </w14:textFill>
              </w:rPr>
              <w:t>榆林市佳县刘国具镇斗范梁村</w:t>
            </w:r>
            <w:r>
              <w:rPr>
                <w:rFonts w:hint="default" w:ascii="Times New Roman" w:hAnsi="Times New Roman" w:cs="Times New Roman"/>
                <w:color w:val="000000" w:themeColor="text1"/>
                <w:lang w:val="en-US" w:eastAsia="zh-CN"/>
                <w14:textFill>
                  <w14:solidFill>
                    <w14:schemeClr w14:val="tx1"/>
                  </w14:solidFill>
                </w14:textFill>
              </w:rPr>
              <w:t>，设计</w:t>
            </w:r>
            <w:r>
              <w:rPr>
                <w:rFonts w:hint="eastAsia" w:ascii="Times New Roman" w:hAnsi="Times New Roman" w:cs="Times New Roman"/>
                <w:color w:val="000000" w:themeColor="text1"/>
                <w:lang w:val="en-US" w:eastAsia="zh-CN"/>
                <w14:textFill>
                  <w14:solidFill>
                    <w14:schemeClr w14:val="tx1"/>
                  </w14:solidFill>
                </w14:textFill>
              </w:rPr>
              <w:t>年固体废物</w:t>
            </w:r>
            <w:r>
              <w:rPr>
                <w:rFonts w:hint="default" w:ascii="Times New Roman" w:hAnsi="Times New Roman" w:cs="Times New Roman"/>
                <w:color w:val="000000" w:themeColor="text1"/>
                <w:lang w:val="en-US" w:eastAsia="zh-CN"/>
                <w14:textFill>
                  <w14:solidFill>
                    <w14:schemeClr w14:val="tx1"/>
                  </w14:solidFill>
                </w14:textFill>
              </w:rPr>
              <w:t>处置</w:t>
            </w:r>
            <w:r>
              <w:rPr>
                <w:rFonts w:hint="eastAsia" w:ascii="Times New Roman" w:hAnsi="Times New Roman" w:cs="Times New Roman"/>
                <w:color w:val="000000" w:themeColor="text1"/>
                <w:lang w:val="en-US" w:eastAsia="zh-CN"/>
                <w14:textFill>
                  <w14:solidFill>
                    <w14:schemeClr w14:val="tx1"/>
                  </w14:solidFill>
                </w14:textFill>
              </w:rPr>
              <w:t>能力</w:t>
            </w:r>
            <w:r>
              <w:rPr>
                <w:rFonts w:hint="default" w:ascii="Times New Roman" w:hAnsi="Times New Roman" w:cs="Times New Roman"/>
                <w:color w:val="000000" w:themeColor="text1"/>
                <w:lang w:val="en-US" w:eastAsia="zh-CN"/>
                <w14:textFill>
                  <w14:solidFill>
                    <w14:schemeClr w14:val="tx1"/>
                  </w14:solidFill>
                </w14:textFill>
              </w:rPr>
              <w:t>为</w:t>
            </w:r>
            <w:r>
              <w:rPr>
                <w:rFonts w:hint="eastAsia" w:ascii="Times New Roman" w:hAnsi="Times New Roman" w:cs="Times New Roman"/>
                <w:color w:val="000000" w:themeColor="text1"/>
                <w:lang w:val="en-US" w:eastAsia="zh-CN"/>
                <w14:textFill>
                  <w14:solidFill>
                    <w14:schemeClr w14:val="tx1"/>
                  </w14:solidFill>
                </w14:textFill>
              </w:rPr>
              <w:t>88</w:t>
            </w:r>
            <w:r>
              <w:rPr>
                <w:rFonts w:hint="default" w:ascii="Times New Roman" w:hAnsi="Times New Roman" w:cs="Times New Roman"/>
                <w:color w:val="000000" w:themeColor="text1"/>
                <w:lang w:val="en-US" w:eastAsia="zh-CN"/>
                <w14:textFill>
                  <w14:solidFill>
                    <w14:schemeClr w14:val="tx1"/>
                  </w14:solidFill>
                </w14:textFill>
              </w:rPr>
              <w:t>万</w:t>
            </w:r>
            <w:r>
              <w:rPr>
                <w:rFonts w:hint="eastAsia" w:ascii="Times New Roman" w:hAnsi="Times New Roman" w:cs="Times New Roman"/>
                <w:color w:val="000000" w:themeColor="text1"/>
                <w:lang w:val="en-US" w:eastAsia="zh-CN"/>
                <w14:textFill>
                  <w14:solidFill>
                    <w14:schemeClr w14:val="tx1"/>
                  </w14:solidFill>
                </w14:textFill>
              </w:rPr>
              <w:t>m</w:t>
            </w:r>
            <w:r>
              <w:rPr>
                <w:rFonts w:hint="eastAsia"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，其中</w:t>
            </w:r>
            <w:r>
              <w:rPr>
                <w:rFonts w:hint="eastAsia" w:ascii="Times New Roman" w:hAnsi="Times New Roman" w:cs="Times New Roman"/>
                <w:color w:val="000000" w:themeColor="text1"/>
                <w:lang w:val="en-US" w:eastAsia="zh-CN"/>
                <w14:textFill>
                  <w14:solidFill>
                    <w14:schemeClr w14:val="tx1"/>
                  </w14:solidFill>
                </w14:textFill>
              </w:rPr>
              <w:t>钻井废弃物置量5</w:t>
            </w:r>
            <w:r>
              <w:rPr>
                <w:rFonts w:hint="default" w:ascii="Times New Roman" w:hAnsi="Times New Roman" w:cs="Times New Roman"/>
                <w:color w:val="000000" w:themeColor="text1"/>
                <w:lang w:val="en-US" w:eastAsia="zh-CN"/>
                <w14:textFill>
                  <w14:solidFill>
                    <w14:schemeClr w14:val="tx1"/>
                  </w14:solidFill>
                </w14:textFill>
              </w:rPr>
              <w:t>万</w:t>
            </w:r>
            <w:r>
              <w:rPr>
                <w:rFonts w:hint="eastAsia" w:ascii="Times New Roman" w:hAnsi="Times New Roman" w:cs="Times New Roman"/>
                <w:color w:val="000000" w:themeColor="text1"/>
                <w:lang w:val="en-US" w:eastAsia="zh-CN"/>
                <w14:textFill>
                  <w14:solidFill>
                    <w14:schemeClr w14:val="tx1"/>
                  </w14:solidFill>
                </w14:textFill>
              </w:rPr>
              <w:t>t</w:t>
            </w:r>
            <w:r>
              <w:rPr>
                <w:rFonts w:hint="eastAsia" w:ascii="Times New Roman" w:hAnsi="Times New Roman" w:cs="Times New Roman"/>
                <w:color w:val="000000" w:themeColor="text1"/>
                <w:vertAlign w:val="baseline"/>
                <w:lang w:val="en-US" w:eastAsia="zh-CN"/>
                <w14:textFill>
                  <w14:solidFill>
                    <w14:schemeClr w14:val="tx1"/>
                  </w14:solidFill>
                </w14:textFill>
              </w:rPr>
              <w:t>/a</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岩屑</w:t>
            </w:r>
            <w:r>
              <w:rPr>
                <w:rFonts w:hint="eastAsia" w:ascii="Times New Roman" w:hAnsi="Times New Roman" w:cs="Times New Roman"/>
                <w:color w:val="000000" w:themeColor="text1"/>
                <w:lang w:val="en-US" w:eastAsia="zh-CN"/>
                <w14:textFill>
                  <w14:solidFill>
                    <w14:schemeClr w14:val="tx1"/>
                  </w14:solidFill>
                </w14:textFill>
              </w:rPr>
              <w:t>处理</w:t>
            </w:r>
            <w:r>
              <w:rPr>
                <w:rFonts w:hint="default" w:ascii="Times New Roman" w:hAnsi="Times New Roman" w:cs="Times New Roman"/>
                <w:color w:val="000000" w:themeColor="text1"/>
                <w:lang w:val="en-US" w:eastAsia="zh-CN"/>
                <w14:textFill>
                  <w14:solidFill>
                    <w14:schemeClr w14:val="tx1"/>
                  </w14:solidFill>
                </w14:textFill>
              </w:rPr>
              <w:t>量</w:t>
            </w:r>
            <w:r>
              <w:rPr>
                <w:rFonts w:hint="eastAsia" w:ascii="Times New Roman" w:hAnsi="Times New Roman" w:cs="Times New Roman"/>
                <w:color w:val="000000" w:themeColor="text1"/>
                <w:lang w:val="en-US" w:eastAsia="zh-CN"/>
                <w14:textFill>
                  <w14:solidFill>
                    <w14:schemeClr w14:val="tx1"/>
                  </w14:solidFill>
                </w14:textFill>
              </w:rPr>
              <w:t>25</w:t>
            </w:r>
            <w:r>
              <w:rPr>
                <w:rFonts w:hint="default" w:ascii="Times New Roman" w:hAnsi="Times New Roman" w:cs="Times New Roman"/>
                <w:color w:val="000000" w:themeColor="text1"/>
                <w:lang w:val="en-US" w:eastAsia="zh-CN"/>
                <w14:textFill>
                  <w14:solidFill>
                    <w14:schemeClr w14:val="tx1"/>
                  </w14:solidFill>
                </w14:textFill>
              </w:rPr>
              <w:t>万</w:t>
            </w:r>
            <w:r>
              <w:rPr>
                <w:rFonts w:hint="eastAsia" w:ascii="Times New Roman" w:hAnsi="Times New Roman" w:cs="Times New Roman"/>
                <w:color w:val="000000" w:themeColor="text1"/>
                <w:lang w:val="en-US" w:eastAsia="zh-CN"/>
                <w14:textFill>
                  <w14:solidFill>
                    <w14:schemeClr w14:val="tx1"/>
                  </w14:solidFill>
                </w14:textFill>
              </w:rPr>
              <w:t>t</w:t>
            </w:r>
            <w:r>
              <w:rPr>
                <w:rFonts w:hint="eastAsia" w:ascii="Times New Roman" w:hAnsi="Times New Roman" w:cs="Times New Roman"/>
                <w:color w:val="000000" w:themeColor="text1"/>
                <w:vertAlign w:val="baseline"/>
                <w:lang w:val="en-US" w:eastAsia="zh-CN"/>
                <w14:textFill>
                  <w14:solidFill>
                    <w14:schemeClr w14:val="tx1"/>
                  </w14:solidFill>
                </w14:textFill>
              </w:rPr>
              <w:t>/a</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该</w:t>
            </w:r>
            <w:r>
              <w:rPr>
                <w:rFonts w:hint="eastAsia" w:ascii="Times New Roman" w:hAnsi="Times New Roman" w:eastAsia="宋体" w:cs="Times New Roman"/>
                <w:color w:val="000000" w:themeColor="text1"/>
                <w:lang w:val="en-US" w:eastAsia="zh-CN"/>
                <w14:textFill>
                  <w14:solidFill>
                    <w14:schemeClr w14:val="tx1"/>
                  </w14:solidFill>
                </w14:textFill>
              </w:rPr>
              <w:t>项目</w:t>
            </w:r>
            <w:r>
              <w:rPr>
                <w:rFonts w:hint="default" w:ascii="Times New Roman" w:hAnsi="Times New Roman" w:cs="Times New Roman"/>
                <w:color w:val="000000" w:themeColor="text1"/>
                <w14:textFill>
                  <w14:solidFill>
                    <w14:schemeClr w14:val="tx1"/>
                  </w14:solidFill>
                </w14:textFill>
              </w:rPr>
              <w:t>于202</w:t>
            </w:r>
            <w:r>
              <w:rPr>
                <w:rFonts w:hint="eastAsia"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年取得榆林市行政审批服务局环评批复文件（榆政审批生态发</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202</w:t>
            </w:r>
            <w:r>
              <w:rPr>
                <w:rFonts w:hint="eastAsia"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74</w:t>
            </w:r>
            <w:r>
              <w:rPr>
                <w:rFonts w:hint="default" w:ascii="Times New Roman" w:hAnsi="Times New Roman" w:cs="Times New Roman"/>
                <w:color w:val="000000" w:themeColor="text1"/>
                <w14:textFill>
                  <w14:solidFill>
                    <w14:schemeClr w14:val="tx1"/>
                  </w14:solidFill>
                </w14:textFill>
              </w:rPr>
              <w:t>号）</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2024年3月18日取得排污许可证，2024年4月19日通过竣工环境保护验收</w:t>
            </w:r>
            <w:r>
              <w:rPr>
                <w:rFonts w:hint="eastAsia" w:ascii="Times New Roman" w:hAnsi="Times New Roman" w:eastAsia="宋体" w:cs="Times New Roman"/>
                <w:color w:val="000000" w:themeColor="text1"/>
                <w:lang w:eastAsia="zh-CN"/>
                <w14:textFill>
                  <w14:solidFill>
                    <w14:schemeClr w14:val="tx1"/>
                  </w14:solidFill>
                </w14:textFill>
              </w:rPr>
              <w:t>。</w:t>
            </w:r>
          </w:p>
          <w:p w14:paraId="2707A659">
            <w:pPr>
              <w:pStyle w:val="27"/>
              <w:bidi w:val="0"/>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object>
                <v:shape id="_x0000_i1029" o:spt="75" type="#_x0000_t75" style="height:279pt;width:267pt;" o:ole="t" filled="f" o:preferrelative="t" stroked="f" coordsize="21600,21600">
                  <v:path/>
                  <v:fill on="f" focussize="0,0"/>
                  <v:stroke on="f"/>
                  <v:imagedata r:id="rId28" o:title=""/>
                  <o:lock v:ext="edit" aspectratio="f"/>
                  <w10:wrap type="none"/>
                  <w10:anchorlock/>
                </v:shape>
                <o:OLEObject Type="Embed" ProgID="Visio.Drawing.11" ShapeID="_x0000_i1029" DrawAspect="Content" ObjectID="_1468075729" r:id="rId27">
                  <o:LockedField>false</o:LockedField>
                </o:OLEObject>
              </w:object>
            </w:r>
          </w:p>
          <w:p w14:paraId="1C8B277F">
            <w:pPr>
              <w:pStyle w:val="27"/>
              <w:bidi w:val="0"/>
              <w:ind w:left="0" w:leftChars="0" w:firstLine="0" w:firstLineChars="0"/>
              <w:jc w:val="center"/>
              <w:rPr>
                <w:rFonts w:hint="eastAsia"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图</w:t>
            </w:r>
            <w:r>
              <w:rPr>
                <w:rFonts w:hint="default" w:ascii="Times New Roman" w:hAnsi="Times New Roman" w:cs="Times New Roman"/>
                <w:b/>
                <w:bCs/>
                <w:color w:val="000000" w:themeColor="text1"/>
                <w:sz w:val="21"/>
                <w:szCs w:val="21"/>
                <w:lang w:val="en-US" w:eastAsia="zh-CN"/>
                <w14:textFill>
                  <w14:solidFill>
                    <w14:schemeClr w14:val="tx1"/>
                  </w14:solidFill>
                </w14:textFill>
              </w:rPr>
              <w:t>5-</w:t>
            </w:r>
            <w:r>
              <w:rPr>
                <w:rFonts w:hint="eastAsia" w:ascii="Times New Roman" w:hAnsi="Times New Roman" w:cs="Times New Roman"/>
                <w:b/>
                <w:bCs/>
                <w:color w:val="000000" w:themeColor="text1"/>
                <w:sz w:val="21"/>
                <w:szCs w:val="21"/>
                <w:lang w:val="en-US" w:eastAsia="zh-CN"/>
                <w14:textFill>
                  <w14:solidFill>
                    <w14:schemeClr w14:val="tx1"/>
                  </w14:solidFill>
                </w14:textFill>
              </w:rPr>
              <w:t>6</w:t>
            </w:r>
            <w:r>
              <w:rPr>
                <w:rFonts w:hint="default" w:ascii="Times New Roman" w:hAnsi="Times New Roman" w:cs="Times New Roman"/>
                <w:b/>
                <w:bCs/>
                <w:color w:val="000000" w:themeColor="text1"/>
                <w:sz w:val="21"/>
                <w:szCs w:val="21"/>
                <w:lang w:eastAsia="zh-CN"/>
                <w14:textFill>
                  <w14:solidFill>
                    <w14:schemeClr w14:val="tx1"/>
                  </w14:solidFill>
                </w14:textFill>
              </w:rPr>
              <w:t xml:space="preserve">  陕西</w:t>
            </w:r>
            <w:r>
              <w:rPr>
                <w:rFonts w:hint="eastAsia" w:ascii="Times New Roman" w:hAnsi="Times New Roman" w:cs="Times New Roman"/>
                <w:b/>
                <w:bCs/>
                <w:color w:val="000000" w:themeColor="text1"/>
                <w:sz w:val="21"/>
                <w:szCs w:val="21"/>
                <w:lang w:val="en-US" w:eastAsia="zh-CN"/>
                <w14:textFill>
                  <w14:solidFill>
                    <w14:schemeClr w14:val="tx1"/>
                  </w14:solidFill>
                </w14:textFill>
              </w:rPr>
              <w:t>德禾鑫盛环保科技</w:t>
            </w:r>
            <w:r>
              <w:rPr>
                <w:rFonts w:hint="default" w:ascii="Times New Roman" w:hAnsi="Times New Roman" w:cs="Times New Roman"/>
                <w:b/>
                <w:bCs/>
                <w:color w:val="000000" w:themeColor="text1"/>
                <w:sz w:val="21"/>
                <w:szCs w:val="21"/>
                <w:lang w:eastAsia="zh-CN"/>
                <w14:textFill>
                  <w14:solidFill>
                    <w14:schemeClr w14:val="tx1"/>
                  </w14:solidFill>
                </w14:textFill>
              </w:rPr>
              <w:t>有限公司工艺流程图</w:t>
            </w:r>
          </w:p>
          <w:p w14:paraId="08130321">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本项目施工期产生的钻井岩屑</w:t>
            </w:r>
            <w:r>
              <w:rPr>
                <w:rFonts w:hint="eastAsia" w:ascii="Times New Roman" w:hAnsi="Times New Roman" w:eastAsia="宋体" w:cs="Times New Roman"/>
                <w:color w:val="000000" w:themeColor="text1"/>
                <w:lang w:val="en-US" w:eastAsia="zh-CN"/>
                <w14:textFill>
                  <w14:solidFill>
                    <w14:schemeClr w14:val="tx1"/>
                  </w14:solidFill>
                </w14:textFill>
              </w:rPr>
              <w:t>总产生量</w:t>
            </w:r>
            <w:r>
              <w:rPr>
                <w:rFonts w:hint="default" w:ascii="Times New Roman" w:hAnsi="Times New Roman" w:cs="Times New Roman"/>
                <w:color w:val="000000" w:themeColor="text1"/>
                <w14:textFill>
                  <w14:solidFill>
                    <w14:schemeClr w14:val="tx1"/>
                  </w14:solidFill>
                </w14:textFill>
              </w:rPr>
              <w:t>为</w:t>
            </w:r>
            <w:r>
              <w:rPr>
                <w:rFonts w:hint="eastAsia" w:ascii="Times New Roman" w:hAnsi="Times New Roman" w:cs="Times New Roman"/>
                <w:color w:val="000000" w:themeColor="text1"/>
                <w:lang w:val="en-US" w:eastAsia="zh-CN"/>
                <w14:textFill>
                  <w14:solidFill>
                    <w14:schemeClr w14:val="tx1"/>
                  </w14:solidFill>
                </w14:textFill>
              </w:rPr>
              <w:t>2042.14</w:t>
            </w:r>
            <w:r>
              <w:rPr>
                <w:rFonts w:hint="default" w:ascii="Times New Roman" w:hAnsi="Times New Roman" w:cs="Times New Roman"/>
                <w:color w:val="000000" w:themeColor="text1"/>
                <w:lang w:val="en-US" w:eastAsia="zh-CN"/>
                <w14:textFill>
                  <w14:solidFill>
                    <w14:schemeClr w14:val="tx1"/>
                  </w14:solidFill>
                </w14:textFill>
              </w:rPr>
              <w:t>t，废弃</w:t>
            </w:r>
            <w:r>
              <w:rPr>
                <w:rFonts w:hint="default" w:ascii="Times New Roman" w:hAnsi="Times New Roman" w:cs="Times New Roman"/>
                <w:color w:val="000000" w:themeColor="text1"/>
                <w14:textFill>
                  <w14:solidFill>
                    <w14:schemeClr w14:val="tx1"/>
                  </w14:solidFill>
                </w14:textFill>
              </w:rPr>
              <w:t>钻井</w:t>
            </w:r>
            <w:r>
              <w:rPr>
                <w:rFonts w:hint="eastAsia" w:ascii="Times New Roman" w:hAnsi="Times New Roman" w:eastAsia="宋体" w:cs="Times New Roman"/>
                <w:color w:val="000000" w:themeColor="text1"/>
                <w:lang w:val="en-US" w:eastAsia="zh-CN"/>
                <w14:textFill>
                  <w14:solidFill>
                    <w14:schemeClr w14:val="tx1"/>
                  </w14:solidFill>
                </w14:textFill>
              </w:rPr>
              <w:t>泥浆</w:t>
            </w:r>
            <w:r>
              <w:rPr>
                <w:rFonts w:hint="default" w:ascii="Times New Roman" w:hAnsi="Times New Roman" w:cs="Times New Roman"/>
                <w:color w:val="000000" w:themeColor="text1"/>
                <w14:textFill>
                  <w14:solidFill>
                    <w14:schemeClr w14:val="tx1"/>
                  </w14:solidFill>
                </w14:textFill>
              </w:rPr>
              <w:t>为</w:t>
            </w:r>
            <w:r>
              <w:rPr>
                <w:rFonts w:hint="eastAsia" w:ascii="Times New Roman" w:hAnsi="Times New Roman" w:cs="Times New Roman"/>
                <w:color w:val="000000" w:themeColor="text1"/>
                <w:lang w:val="en-US" w:eastAsia="zh-CN"/>
                <w14:textFill>
                  <w14:solidFill>
                    <w14:schemeClr w14:val="tx1"/>
                  </w14:solidFill>
                </w14:textFill>
              </w:rPr>
              <w:t>63.0</w:t>
            </w:r>
            <w:r>
              <w:rPr>
                <w:rFonts w:hint="default" w:ascii="Times New Roman" w:hAnsi="Times New Roman" w:cs="Times New Roman"/>
                <w:color w:val="000000" w:themeColor="text1"/>
                <w:lang w:val="en-US" w:eastAsia="zh-CN"/>
                <w14:textFill>
                  <w14:solidFill>
                    <w14:schemeClr w14:val="tx1"/>
                  </w14:solidFill>
                </w14:textFill>
              </w:rPr>
              <w:t>t</w:t>
            </w:r>
            <w:r>
              <w:rPr>
                <w:rFonts w:hint="default" w:ascii="Times New Roman" w:hAnsi="Times New Roman" w:cs="Times New Roman"/>
                <w:color w:val="000000" w:themeColor="text1"/>
                <w14:textFill>
                  <w14:solidFill>
                    <w14:schemeClr w14:val="tx1"/>
                  </w14:solidFill>
                </w14:textFill>
              </w:rPr>
              <w:t>，该填埋场能力能够满足本项目需求，依托可行。</w:t>
            </w:r>
          </w:p>
          <w:p w14:paraId="45330B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（3）废机油</w:t>
            </w:r>
          </w:p>
          <w:p w14:paraId="226A54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主要来源于清洗钻具、套管时产生的废机油，暂存于</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危废贮存库</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，委托有资质的单位进行处置。</w:t>
            </w:r>
          </w:p>
          <w:p w14:paraId="7BA29A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（4）生活垃圾</w:t>
            </w:r>
          </w:p>
          <w:p w14:paraId="34F0C9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探井人员生活垃圾由生活垃圾桶收集，委托当地环卫部门清运处置。</w:t>
            </w:r>
          </w:p>
          <w:p w14:paraId="0002CF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（5）废纯碱、膨润土包装袋</w:t>
            </w: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、不含油废防渗布</w:t>
            </w:r>
          </w:p>
          <w:p w14:paraId="5D1261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废纯碱、膨润土包装袋</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、不含油废防渗布</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集中收集后交由物资回收公司进行回收再利用。</w:t>
            </w:r>
          </w:p>
          <w:p w14:paraId="43E98E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（6）</w:t>
            </w: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含油废防渗布</w:t>
            </w:r>
          </w:p>
          <w:p w14:paraId="1CBFFB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废防渗膜未沾染危险废物的井场集中收集后，交由物资回收公司进行回收再利用；沾染危险废物的井场集中收集后，暂存于</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危废贮存库</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，委托有资质单位进行处置。</w:t>
            </w:r>
          </w:p>
          <w:p w14:paraId="70AE1E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（7）放喷废液</w:t>
            </w:r>
          </w:p>
          <w:p w14:paraId="4496B1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放喷废液主要为随放喷气体带出的洗井废水及放喷燃烧冷凝水，收集后暂存于放喷收集罐内，工艺完成后，做回收处理（试气专门有回收车拉运）。</w:t>
            </w:r>
          </w:p>
          <w:p w14:paraId="150B0B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危废暂存间贮存要求：</w:t>
            </w:r>
          </w:p>
          <w:p w14:paraId="2694DA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为防止危险废物在场内临时存储过程中对环境产生污染影响，根据《危险废物贮存污染控制标准》（GB18597-2023）的相关内容，本次评价要求：</w:t>
            </w:r>
          </w:p>
          <w:p w14:paraId="5487DB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①按照危险废物贮存污染控制标准要求，废机油和沾染危险废物的废防渗膜采用专用的容器存放，并置于专用</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危废贮存库</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，防止风吹雨淋和日晒。</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危废贮存库</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设立危险废物警示标志，由专人进行管理，做好危险废物排放量及处置记录。</w:t>
            </w:r>
          </w:p>
          <w:p w14:paraId="71A3EB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②项目采用撬装式</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危废贮存库</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内部防渗，</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防渗可满足《危险废物贮存污染控制标准》（GB18597-2023）的相关要求，防渗层渗透系数小于1×10</w:t>
            </w:r>
            <w:r>
              <w:rPr>
                <w:rFonts w:hint="default"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cm/s</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p>
          <w:p w14:paraId="22302E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③对装有危废的容器进行定期检查，容器泄漏损坏时必须立即处理，并将危废装入完好容器内</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p>
          <w:p w14:paraId="0C90DE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④危险废物贮存过程中在下部设置防渗托盘，可有效防止危险废物泄漏至外界；</w:t>
            </w:r>
          </w:p>
          <w:p w14:paraId="55C099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⑤危险废物的转移应遵从《危险废物转移管理办法》（生态环境部公安部交通运输部部令第23号）及其它有关规定的要求。评价要求企业在勘探结束后需立即委托资质单位接收、转移勘探期间产生的危险废物，不得私自转运至其他井场</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危废贮存库</w:t>
            </w: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储存</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p>
          <w:p w14:paraId="156769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⑥危险废物转移建立台账，并且按照相关规定要求进行申报。固体废物规范运输的管理要求</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p>
          <w:p w14:paraId="6D4E8E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一般固废转运要求：</w:t>
            </w:r>
          </w:p>
          <w:p w14:paraId="3B4063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①合理规划固体废物运输路线，选择人员稀少的路线，并减少鸣笛，以减轻对周边居民的影响</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w:t>
            </w:r>
          </w:p>
          <w:p w14:paraId="14D329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②项目产生的废弃岩屑、泥饼运输过程实施全程GPS定位及监控，严禁运输过程中随意掩埋、抛洒废弃钻井岩屑、泥饼；</w:t>
            </w:r>
          </w:p>
          <w:p w14:paraId="6FD5CD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③项目选择防渗漏、防溢流的运输车辆进行固体废物的运输。</w:t>
            </w:r>
          </w:p>
          <w:p w14:paraId="54814E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综上所述，在加强施工过程固体废物管理的前提下，固体废物环境影响可以得到有效控制和治理，环境影响较小。</w:t>
            </w:r>
          </w:p>
          <w:p w14:paraId="196E3D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七、土壤环境保护措施</w:t>
            </w:r>
          </w:p>
          <w:p w14:paraId="221F27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项目施工过程中将产生施工垃圾、生活垃圾和污水，包括泥浆、废弃余料、施工人员的一次性餐具、饮料瓶等，若不及时收集或随意丢弃会使固废残留于土壤中，对井场附近土壤造成一定程度的污染。</w:t>
            </w:r>
          </w:p>
          <w:p w14:paraId="320506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因此，施工时必须对产生的固体废物实施严格管理措施，进行统一回收和处置，严禁就地固化掩埋、严禁随意堆放抛洒；洗井废水罐和压裂返排液罐储存区均应进行防渗处理，生产废水在井场内不落地、不外排，采取以上措施后，项目对周边土壤环境造成的影响较小。</w:t>
            </w:r>
          </w:p>
          <w:p w14:paraId="2864A3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八、风险防范措施</w:t>
            </w:r>
          </w:p>
          <w:p w14:paraId="4934BE13">
            <w:pPr>
              <w:pStyle w:val="27"/>
              <w:keepNext w:val="0"/>
              <w:keepLines w:val="0"/>
              <w:pageBreakBefore w:val="0"/>
              <w:widowControl w:val="0"/>
              <w:kinsoku/>
              <w:wordWrap/>
              <w:overflowPunct/>
              <w:topLinePunct w:val="0"/>
              <w:autoSpaceDE/>
              <w:autoSpaceDN/>
              <w:bidi w:val="0"/>
              <w:adjustRightInd/>
              <w:snapToGrid/>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项目拟采取的风险防范措施如下：</w:t>
            </w:r>
          </w:p>
          <w:p w14:paraId="4DF6BE1A">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收集罐渗漏及废水外溢的防范措施</w:t>
            </w:r>
          </w:p>
          <w:p w14:paraId="5625F22A">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①储罐设置应避开不良地质或岩土松散等地质结构不稳定的地方；</w:t>
            </w:r>
          </w:p>
          <w:p w14:paraId="396C2FEA">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②储罐储存区均进行防渗处理；</w:t>
            </w:r>
          </w:p>
          <w:p w14:paraId="166CAF7F">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③加强员工操作规范管理，尽量避免废水装车失误。装车过程若遇到废水泄漏，立即停止装车作业，减少废水泄漏量，并利用井场内的污水沟将泄漏废水收集至废水箱内，不外流。</w:t>
            </w:r>
          </w:p>
          <w:p w14:paraId="7DD84EBF">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井喷事故风险防范措施</w:t>
            </w:r>
          </w:p>
          <w:p w14:paraId="07FAAB53">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①钻井地质设计、工程设计和施工设计中应有井控和防有害气体的内容，并按标准要求提供相关资料。</w:t>
            </w:r>
          </w:p>
          <w:p w14:paraId="2AF7DD5E">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②在工程设计书中应有可操作性的安全（HSE）设计篇章。其安全（HSE）设计以国家有关法律、法规、国家标准、行业标准以及安全预评价报告和环境影响评价报告为设计依据。</w:t>
            </w:r>
          </w:p>
          <w:p w14:paraId="624C1F85">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③设计书必须按照有关审批程序进行严格审批。钻井承包商在未收到设计书前禁止组织施工。</w:t>
            </w:r>
          </w:p>
          <w:p w14:paraId="2C389C63">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④应利用各种作业所获得直接或间接地层压力数据进行数理统计分析资料，划分出不同地层压力区带，与邻井可比地层压力进行分析对比，提供地层压力预测或监测曲线（值），并对漏失层段、浅层气分布情况、油气水显示和其他复杂情况进行预告。</w:t>
            </w:r>
          </w:p>
          <w:p w14:paraId="1317E122">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⑤井场平面布置应按照《钻前工程及井场布置技术要求》（SY/T5466-2013）的规定进行设置，保证能满足井喷时人员和设备撤离的要求。</w:t>
            </w:r>
          </w:p>
          <w:p w14:paraId="171F5937">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⑥钻至天然气层前100m，应将可能发生的危害、安全事项、撤离程序等告知3km范围内人员。</w:t>
            </w:r>
          </w:p>
          <w:p w14:paraId="701A0517">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⑦应在钻井周边地区设置广播设施、警示牌和风向标，使周边居民在第一时间得知井喷事故发生时逃离危险区域。</w:t>
            </w:r>
          </w:p>
          <w:p w14:paraId="48FE270C">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井喷应急处理预案</w:t>
            </w:r>
          </w:p>
          <w:p w14:paraId="0D1FDE2A">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根据事态发展变化情况，事故现场抢险指挥部根据应急领导小组的指令并充分考虑专家和有关意见的基础上，依法采取紧急措施，并注意做好以下工作：</w:t>
            </w:r>
          </w:p>
          <w:p w14:paraId="42CE76B3">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①井喷失控后严防着火和爆炸。应立即停钻机、切断井架、钻台、机泵房等处全部照明灯和用电设备的电源，熄灭一切火源，需要时打开专用探照灯，并组织警戒。</w:t>
            </w:r>
          </w:p>
          <w:p w14:paraId="17B6E01F">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②立即向当地政府报告，通知3km范围内的厂矿企业立刻进行沿反方向进行撤离，协助当地政府作好井口500m范围内居民的疏散工作。</w:t>
            </w:r>
          </w:p>
          <w:p w14:paraId="273FCA76">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③设置观察点，定时取样，监测大气中的天然气、H</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S和CO含量，划分安全范围。</w:t>
            </w:r>
          </w:p>
          <w:p w14:paraId="1B3FD991">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④迅速成立现场抢险领导小组，根据失控状况制定抢险方案，统一指挥、组织和协调抢险工作。抢险方案制订及实施，同时实施，防止出现次生环境事故。</w:t>
            </w:r>
          </w:p>
          <w:p w14:paraId="04353009">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⑤继续监测污染区有毒有害气体的浓度，根据监测情况决定是否扩大撤离范围。</w:t>
            </w:r>
          </w:p>
          <w:p w14:paraId="1CB9ED97">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⑥当井喷失控时，应：a、关停生产设施</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b、请求援助。</w:t>
            </w:r>
          </w:p>
          <w:p w14:paraId="53968888">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⑦井喷发生后，及时安排消防车、救护车、医护人员到现场救援。</w:t>
            </w:r>
          </w:p>
          <w:p w14:paraId="3ADBA307">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⑧在事故处理结束后，确认作业现场及其周边环境安全的情况与和地方政府商定撤离群众的返回时间。</w:t>
            </w:r>
          </w:p>
          <w:p w14:paraId="5B4458D3">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综合以上分析，本工程的环境风险措施切实可行。在落实各种风险防范措施的前提下，其发生事故的概率低，环境危害较小，环境风险达到可以接受水平。</w:t>
            </w:r>
          </w:p>
          <w:p w14:paraId="3A93FD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九、弃井封井措施及生态恢复措施</w:t>
            </w:r>
          </w:p>
          <w:p w14:paraId="4E58CB0D">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若为临时封井，除预留转成生产井所需的面积外，对其余临时占地覆土并恢复为原有植被和生态景观，使区域生态景观和谐一致；若为永久封井，对整个施工区域覆土并恢复为原有植被和生态景观，使区域生态景观和谐一致。</w:t>
            </w:r>
          </w:p>
          <w:p w14:paraId="3F3BA49B">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（2）气井测试完毕后，拆除</w:t>
            </w:r>
            <w:r>
              <w:rPr>
                <w:rFonts w:hint="eastAsia" w:ascii="Times New Roman" w:hAnsi="Times New Roman" w:eastAsia="宋体" w:cs="Times New Roman"/>
                <w:color w:val="000000" w:themeColor="text1"/>
                <w:lang w:eastAsia="zh-CN"/>
                <w14:textFill>
                  <w14:solidFill>
                    <w14:schemeClr w14:val="tx1"/>
                  </w14:solidFill>
                </w14:textFill>
              </w:rPr>
              <w:t>放喷池</w:t>
            </w:r>
            <w:r>
              <w:rPr>
                <w:rFonts w:hint="default" w:ascii="Times New Roman" w:hAnsi="Times New Roman" w:cs="Times New Roman"/>
                <w:color w:val="000000" w:themeColor="text1"/>
                <w14:textFill>
                  <w14:solidFill>
                    <w14:schemeClr w14:val="tx1"/>
                  </w14:solidFill>
                </w14:textFill>
              </w:rPr>
              <w:t>周围的砖墙，并进行回收。清除放喷测试留下的痕迹，再用探井场地建设时的表层土进行覆盖，然后进行植被恢复。</w:t>
            </w:r>
          </w:p>
          <w:p w14:paraId="23C5B16E">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（3）拆除所有临时占地基础（设备及地面硬化的砖瓦等）后将探井场地建设保留的耕植土摊铺覆盖于场面上，然后进行植被恢复。</w:t>
            </w:r>
          </w:p>
          <w:p w14:paraId="25EAB598">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（4）为尽快恢复土地功能，可增施肥料，加强灌溉，以改良土壤结构及其理化性质，提高土壤的保肥保水能力，恢复土壤生产能力。</w:t>
            </w:r>
          </w:p>
          <w:p w14:paraId="79150B8B">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具体恢复措施如下：</w:t>
            </w:r>
          </w:p>
          <w:p w14:paraId="49400FAD">
            <w:pPr>
              <w:pStyle w:val="27"/>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①植被恢复系数＞95%，林草覆盖率＞85%，复垦区单位面积产草量达到周边地区同等土地利用类型水平，具有生态稳定性和自我维持力</w:t>
            </w:r>
            <w:r>
              <w:rPr>
                <w:rFonts w:hint="eastAsia" w:ascii="Times New Roman" w:hAnsi="Times New Roman" w:eastAsia="宋体" w:cs="Times New Roman"/>
                <w:color w:val="000000" w:themeColor="text1"/>
                <w:lang w:eastAsia="zh-CN"/>
                <w14:textFill>
                  <w14:solidFill>
                    <w14:schemeClr w14:val="tx1"/>
                  </w14:solidFill>
                </w14:textFill>
              </w:rPr>
              <w:t>。</w:t>
            </w:r>
          </w:p>
          <w:p w14:paraId="3E8E2646">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植被选用当地耐寒、保水固土能力强根系发达的物种，优先考虑灌木树种，其次为草本植物。本区域种植较成功的乔木树种有油松、龙抓槐、云杉、旱柳、榆树等；灌木树种有柠条、沙棘等；草本有冰草、沙打旺、沙嵩、黄蒿等。</w:t>
            </w:r>
          </w:p>
          <w:p w14:paraId="164AA563">
            <w:pPr>
              <w:pStyle w:val="27"/>
              <w:keepNext w:val="0"/>
              <w:keepLines w:val="0"/>
              <w:pageBreakBefore w:val="0"/>
              <w:widowControl w:val="0"/>
              <w:kinsoku/>
              <w:wordWrap/>
              <w:overflowPunct/>
              <w:topLinePunct w:val="0"/>
              <w:autoSpaceDE/>
              <w:autoSpaceDN/>
              <w:bidi w:val="0"/>
              <w:adjustRightInd/>
              <w:snapToGrid/>
              <w:textAlignment w:val="auto"/>
              <w:rPr>
                <w:rFonts w:hint="default"/>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③探井场地弃土弃渣边坡土地整治后，在外边坡采取植物防护措施，种植草灌混交林。可选择披碱草、柠条、紫花苜蓿、白三叶等，披碱草、紫花苜蓿、白三叶撒播量45kg/hm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，灌木株行距2×2m，行间种植三百叶。</w:t>
            </w:r>
          </w:p>
        </w:tc>
      </w:tr>
      <w:tr w14:paraId="3F79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4" w:type="dxa"/>
            <w:vAlign w:val="center"/>
          </w:tcPr>
          <w:p w14:paraId="37B031BA">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运营期生态环境保护措施</w:t>
            </w:r>
          </w:p>
        </w:tc>
        <w:tc>
          <w:tcPr>
            <w:tcW w:w="8254" w:type="dxa"/>
            <w:vAlign w:val="top"/>
          </w:tcPr>
          <w:p w14:paraId="5F7286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本项目为天然气评价井的钻井工程，使用功能为天然气勘探、完井并测试，不涉及运营期。</w:t>
            </w:r>
          </w:p>
        </w:tc>
      </w:tr>
      <w:tr w14:paraId="4A55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4" w:type="dxa"/>
            <w:vAlign w:val="center"/>
          </w:tcPr>
          <w:p w14:paraId="33D672B3">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其他</w:t>
            </w:r>
          </w:p>
        </w:tc>
        <w:tc>
          <w:tcPr>
            <w:tcW w:w="8254" w:type="dxa"/>
            <w:vAlign w:val="center"/>
          </w:tcPr>
          <w:p w14:paraId="06357C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1、环境管理</w:t>
            </w:r>
          </w:p>
          <w:p w14:paraId="2A8A41EB">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（1）环境管理体系</w:t>
            </w:r>
          </w:p>
          <w:p w14:paraId="296F1730">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按HSE管理体系要求，中国石油天然气股份有限公司长庆油田分公司设质量安全环保科，设专职人员进行安全环保管理，对企业安全环保进行归档管理。项目在施工期制定安全环境管理制度，贯彻执行国家和地方各项环保方针、政策和法规。</w:t>
            </w:r>
          </w:p>
          <w:p w14:paraId="084AE10C">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（2）要求根据《陕北油气田开采清洁文明井场验收标准》、《榆林市油（气）开采废弃物处置环保暂行管理办法》，建设单位应该在管理中严格按照以下要求执行：</w:t>
            </w:r>
          </w:p>
          <w:p w14:paraId="0A866DB9">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油（气）开发企业须在井场钻井作业前15日内，向当地环保局进行申报登记，申报登记内容包括废弃钻井泥浆、井下作业废水及其它污染物的产生量、去向及处理处置方式等，实际情况发生紧急重大改变的，必须在改变后3天内进行排污申报登记变更。</w:t>
            </w:r>
          </w:p>
          <w:p w14:paraId="3A9FA09F">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②油（气）井场要在钻井前配备废弃钻井泥浆岩屑地上移动式收集设施，对钻井过程中废弃钻井泥浆岩屑进行不落地收集，收集设施不得收集其它废弃物；未配备废弃钻井泥浆收集设施的井场不得钻井作业。</w:t>
            </w:r>
          </w:p>
          <w:p w14:paraId="06AB0A25">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③油（气）井场要在压裂及其它井下作业前配备废水地上收集罐，对压裂返排液及其它废水进行统一收集；未配备废水收集罐的井场不得开展相关作业。</w:t>
            </w:r>
          </w:p>
          <w:p w14:paraId="15398EE5">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④油（气）开发企业要在油（气）井建设过程中建立气探井废弃钻井泥浆岩屑、压裂返排液及其它作业废水管理台帐，如实记录钻井泥浆及压裂液添加剂成分、用量及废弃钻井泥浆岩屑、压裂返排液及其它作业废水的产生量、循环利用量、去向及处理处置方式。</w:t>
            </w:r>
          </w:p>
          <w:p w14:paraId="545E04D3">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⑤废弃钻井泥浆岩屑须在油（气）井完井后3天内，由防渗漏、防抛洒、防扬尘的运输车辆统一运至油（气）开采废弃物集中处置场所处置；严禁废弃钻井泥浆岩屑井场处理、就地固化或随意抛洒、掩埋。</w:t>
            </w:r>
          </w:p>
          <w:p w14:paraId="05B1326C">
            <w:pPr>
              <w:pStyle w:val="2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⑥油（气）井下作业废水须在井下作业完成后3天内，洗井废水由专用收集罐临时收集贮存后委托</w:t>
            </w:r>
            <w:r>
              <w:rPr>
                <w:rFonts w:hint="default"/>
                <w:color w:val="000000" w:themeColor="text1"/>
                <w:lang w:val="en-US" w:eastAsia="zh-CN"/>
                <w14:textFill>
                  <w14:solidFill>
                    <w14:schemeClr w14:val="tx1"/>
                  </w14:solidFill>
                </w14:textFill>
              </w:rPr>
              <w:t>陕西</w:t>
            </w:r>
            <w:r>
              <w:rPr>
                <w:rFonts w:hint="eastAsia"/>
                <w:color w:val="000000" w:themeColor="text1"/>
                <w:lang w:val="en-US" w:eastAsia="zh-CN"/>
                <w14:textFill>
                  <w14:solidFill>
                    <w14:schemeClr w14:val="tx1"/>
                  </w14:solidFill>
                </w14:textFill>
              </w:rPr>
              <w:t>榆佳环保科技有限公司</w:t>
            </w:r>
            <w:r>
              <w:rPr>
                <w:rFonts w:hint="default" w:ascii="Times New Roman" w:hAnsi="Times New Roman" w:cs="Times New Roman"/>
                <w:color w:val="000000" w:themeColor="text1"/>
                <w:lang w:val="en-US" w:eastAsia="zh-CN"/>
                <w14:textFill>
                  <w14:solidFill>
                    <w14:schemeClr w14:val="tx1"/>
                  </w14:solidFill>
                </w14:textFill>
              </w:rPr>
              <w:t>外运</w:t>
            </w:r>
            <w:r>
              <w:rPr>
                <w:rFonts w:hint="default" w:ascii="Times New Roman" w:hAnsi="Times New Roman" w:cs="Times New Roman"/>
                <w:color w:val="000000" w:themeColor="text1"/>
                <w14:textFill>
                  <w14:solidFill>
                    <w14:schemeClr w14:val="tx1"/>
                  </w14:solidFill>
                </w14:textFill>
              </w:rPr>
              <w:t>处置；严禁井下作业废水排入废弃钻井泥浆岩屑收集设施或随意排放。</w:t>
            </w:r>
          </w:p>
          <w:p w14:paraId="61638890">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⑦废弃钻井泥浆岩屑和井下作业废水转移前须向市级环保部门申领《榆林市油（气）开采废弃物转移联单》，运输过程实施全程GPS定位及监控；严禁运输过程中随意掩埋、抛洒废弃钻井泥浆岩屑和井下作业废水。</w:t>
            </w:r>
          </w:p>
          <w:p w14:paraId="549DE127">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⑧油（气）开采废弃物集中处置项目选址要避开重点生态功能区、环境敏感区和限制开发区，要选择清洁生产、高效环保的处理工艺，要完成建设项目环境影响评价审批，通过环保设施竣工验收，取得相关手续，具备收集、处置能力。</w:t>
            </w:r>
          </w:p>
          <w:p w14:paraId="4F49CB51">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⑨未取得相关资质的单位或者个人，禁止从事油（气）开采废弃物的收集、运输和处置活动。</w:t>
            </w:r>
          </w:p>
          <w:p w14:paraId="3ECA4770">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⑩井场四周必须修建挡水墙，大门或通行处应设有砖石拱形挡水设施，保证场外雨水不进场，场内雨水不出场。</w:t>
            </w:r>
          </w:p>
          <w:p w14:paraId="2F5B53DB">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⑪井场要平整清洁，建有雨水收集池。雨水收集池应参照当地最大暴雨量设计容积（最大暴雨量×井场面积）。</w:t>
            </w:r>
          </w:p>
          <w:p w14:paraId="266D3DC7">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⑫井场必须设置垃圾桶，不得将含油污泥等危废混入，垃圾应及时清运，分类定点处理。</w:t>
            </w:r>
          </w:p>
          <w:p w14:paraId="4556AC0F">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⑬井场的道路两侧和围墙内外宜绿化区域应实现林草覆盖，有效覆盖面积不低于98</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p>
          <w:p w14:paraId="20DC62E7">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⑭修路和开挖井场造成植被破坏或地表裸露的，必须采取有效的修复措施，所有生态措施应在井场投运半年内完成。</w:t>
            </w:r>
          </w:p>
          <w:p w14:paraId="04BAB4B3">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⑮关闭油（气）井应封堵油（气）层、封闭井口，并同步实施井场复垦还田或植树种草工程措施。</w:t>
            </w:r>
          </w:p>
          <w:p w14:paraId="373DF243">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⑯井场应做到清洁卫生，无跑、冒、滴、漏现象，场外无油污、无垃圾，杜绝污染物乱堆乱放。</w:t>
            </w:r>
          </w:p>
          <w:p w14:paraId="0FC90B4E">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⑰按照环境事故应急预案，要对井场操作人员进行应急培训，并储备相应抢险应急物资。</w:t>
            </w:r>
          </w:p>
          <w:p w14:paraId="5F1CB6C3">
            <w:pPr>
              <w:pStyle w:val="27"/>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⑱井场实行动态管理。县级环保部门负责日常监督管理，市级环保部门负责验收并颁发统一制式的清洁文明井场牌匾。出现达不到本标准情况的，由市级环保部门收回牌匾。</w:t>
            </w:r>
          </w:p>
          <w:p w14:paraId="3E1F17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eastAsiaTheme="minorHAnsi"/>
                <w:color w:val="000000" w:themeColor="text1"/>
                <w:kern w:val="0"/>
                <w:sz w:val="24"/>
                <w:szCs w:val="21"/>
                <w:lang w:val="en-US" w:eastAsia="en-US" w:bidi="ar-SA"/>
                <w14:textFill>
                  <w14:solidFill>
                    <w14:schemeClr w14:val="tx1"/>
                  </w14:solidFill>
                </w14:textFill>
              </w:rPr>
              <w:t>⑲不得调整井口坐标，确保钻井井口距居民住宅距离大于100m，加强施工机械噪声管理，保证不影响周边居民生活。</w:t>
            </w:r>
          </w:p>
        </w:tc>
      </w:tr>
      <w:tr w14:paraId="04206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4" w:type="dxa"/>
            <w:vAlign w:val="center"/>
          </w:tcPr>
          <w:p w14:paraId="1D31F07A">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环保投资</w:t>
            </w:r>
          </w:p>
        </w:tc>
        <w:tc>
          <w:tcPr>
            <w:tcW w:w="8254" w:type="dxa"/>
            <w:vAlign w:val="top"/>
          </w:tcPr>
          <w:p w14:paraId="6A4D5F4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本项目总投资</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2000</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万元，其中环保投资</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224.2</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万元，占总投资的</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11.21</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w:t>
            </w:r>
          </w:p>
          <w:p w14:paraId="6DB439A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表5-5   本项目主要环保投资一览表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21"/>
              <w:gridCol w:w="1279"/>
              <w:gridCol w:w="3883"/>
              <w:gridCol w:w="1269"/>
              <w:gridCol w:w="1587"/>
            </w:tblGrid>
            <w:tr w14:paraId="0A766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900" w:type="dxa"/>
                  <w:gridSpan w:val="2"/>
                  <w:vAlign w:val="center"/>
                </w:tcPr>
                <w:p w14:paraId="1339AEDC">
                  <w:pPr>
                    <w:pStyle w:val="28"/>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项目</w:t>
                  </w:r>
                </w:p>
              </w:tc>
              <w:tc>
                <w:tcPr>
                  <w:tcW w:w="3883" w:type="dxa"/>
                  <w:vAlign w:val="center"/>
                </w:tcPr>
                <w:p w14:paraId="082237D2">
                  <w:pPr>
                    <w:pStyle w:val="28"/>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治理措施</w:t>
                  </w:r>
                </w:p>
              </w:tc>
              <w:tc>
                <w:tcPr>
                  <w:tcW w:w="1269" w:type="dxa"/>
                  <w:vAlign w:val="center"/>
                </w:tcPr>
                <w:p w14:paraId="099BCDDE">
                  <w:pPr>
                    <w:pStyle w:val="28"/>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数量</w:t>
                  </w:r>
                </w:p>
              </w:tc>
              <w:tc>
                <w:tcPr>
                  <w:tcW w:w="1587" w:type="dxa"/>
                  <w:vAlign w:val="center"/>
                </w:tcPr>
                <w:p w14:paraId="15FBB7FE">
                  <w:pPr>
                    <w:pStyle w:val="28"/>
                    <w:bidi w:val="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费用（万元）</w:t>
                  </w:r>
                </w:p>
              </w:tc>
            </w:tr>
            <w:tr w14:paraId="75E0A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900" w:type="dxa"/>
                  <w:gridSpan w:val="2"/>
                  <w:vMerge w:val="restart"/>
                  <w:vAlign w:val="center"/>
                </w:tcPr>
                <w:p w14:paraId="2AF609A1">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废气</w:t>
                  </w:r>
                </w:p>
              </w:tc>
              <w:tc>
                <w:tcPr>
                  <w:tcW w:w="3883" w:type="dxa"/>
                  <w:vAlign w:val="center"/>
                </w:tcPr>
                <w:p w14:paraId="5B2DC88F">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洒水设备、设置挡板、车辆运输遮盖苫布</w:t>
                  </w:r>
                </w:p>
              </w:tc>
              <w:tc>
                <w:tcPr>
                  <w:tcW w:w="1269" w:type="dxa"/>
                  <w:vAlign w:val="center"/>
                </w:tcPr>
                <w:p w14:paraId="679E2A1D">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587" w:type="dxa"/>
                  <w:vAlign w:val="center"/>
                </w:tcPr>
                <w:p w14:paraId="55EE7C5F">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p>
              </w:tc>
            </w:tr>
            <w:tr w14:paraId="3A9B2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900" w:type="dxa"/>
                  <w:gridSpan w:val="2"/>
                  <w:vMerge w:val="continue"/>
                  <w:vAlign w:val="center"/>
                </w:tcPr>
                <w:p w14:paraId="1AC0A74B">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p>
              </w:tc>
              <w:tc>
                <w:tcPr>
                  <w:tcW w:w="3883" w:type="dxa"/>
                  <w:vAlign w:val="center"/>
                </w:tcPr>
                <w:p w14:paraId="435F0AFF">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放喷池</w:t>
                  </w:r>
                  <w:r>
                    <w:rPr>
                      <w:rFonts w:hint="default" w:ascii="Times New Roman" w:hAnsi="Times New Roman" w:cs="Times New Roman"/>
                      <w:color w:val="000000" w:themeColor="text1"/>
                      <w:sz w:val="21"/>
                      <w:szCs w:val="21"/>
                      <w14:textFill>
                        <w14:solidFill>
                          <w14:schemeClr w14:val="tx1"/>
                        </w14:solidFill>
                      </w14:textFill>
                    </w:rPr>
                    <w:t>10</w:t>
                  </w:r>
                  <w:r>
                    <w:rPr>
                      <w:rFonts w:hint="eastAsia" w:cs="Times New Roman"/>
                      <w:color w:val="000000" w:themeColor="text1"/>
                      <w:sz w:val="21"/>
                      <w:szCs w:val="21"/>
                      <w:lang w:val="en-US" w:eastAsia="zh-CN"/>
                      <w14:textFill>
                        <w14:solidFill>
                          <w14:schemeClr w14:val="tx1"/>
                        </w14:solidFill>
                      </w14:textFill>
                    </w:rPr>
                    <w:t>.6</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1269" w:type="dxa"/>
                  <w:vAlign w:val="center"/>
                </w:tcPr>
                <w:p w14:paraId="6198CC47">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r>
                    <w:rPr>
                      <w:rFonts w:hint="default" w:ascii="Times New Roman" w:hAnsi="Times New Roman" w:cs="Times New Roman"/>
                      <w:color w:val="000000" w:themeColor="text1"/>
                      <w:sz w:val="21"/>
                      <w:szCs w:val="21"/>
                      <w:lang w:val="en-US" w:eastAsia="zh-CN"/>
                      <w14:textFill>
                        <w14:solidFill>
                          <w14:schemeClr w14:val="tx1"/>
                        </w14:solidFill>
                      </w14:textFill>
                    </w:rPr>
                    <w:t>座</w:t>
                  </w:r>
                </w:p>
              </w:tc>
              <w:tc>
                <w:tcPr>
                  <w:tcW w:w="1587" w:type="dxa"/>
                  <w:vAlign w:val="center"/>
                </w:tcPr>
                <w:p w14:paraId="23DF4EE7">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p>
              </w:tc>
            </w:tr>
            <w:tr w14:paraId="69A98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21" w:type="dxa"/>
                  <w:vMerge w:val="restart"/>
                  <w:vAlign w:val="center"/>
                </w:tcPr>
                <w:p w14:paraId="36676134">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废水</w:t>
                  </w:r>
                </w:p>
              </w:tc>
              <w:tc>
                <w:tcPr>
                  <w:tcW w:w="1279" w:type="dxa"/>
                  <w:vAlign w:val="center"/>
                </w:tcPr>
                <w:p w14:paraId="3AF712AD">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洗井废水</w:t>
                  </w:r>
                </w:p>
              </w:tc>
              <w:tc>
                <w:tcPr>
                  <w:tcW w:w="3883" w:type="dxa"/>
                  <w:vAlign w:val="center"/>
                </w:tcPr>
                <w:p w14:paraId="503445BF">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专用收集罐75m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1269" w:type="dxa"/>
                  <w:vAlign w:val="center"/>
                </w:tcPr>
                <w:p w14:paraId="5422D3BA">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r>
                    <w:rPr>
                      <w:rFonts w:hint="default" w:ascii="Times New Roman" w:hAnsi="Times New Roman" w:cs="Times New Roman"/>
                      <w:color w:val="000000" w:themeColor="text1"/>
                      <w:sz w:val="21"/>
                      <w:szCs w:val="21"/>
                      <w:lang w:val="en-US" w:eastAsia="zh-CN"/>
                      <w14:textFill>
                        <w14:solidFill>
                          <w14:schemeClr w14:val="tx1"/>
                        </w14:solidFill>
                      </w14:textFill>
                    </w:rPr>
                    <w:t>个</w:t>
                  </w:r>
                </w:p>
              </w:tc>
              <w:tc>
                <w:tcPr>
                  <w:tcW w:w="1587" w:type="dxa"/>
                  <w:vAlign w:val="center"/>
                </w:tcPr>
                <w:p w14:paraId="704F130D">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16</w:t>
                  </w:r>
                </w:p>
              </w:tc>
            </w:tr>
            <w:tr w14:paraId="521CB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21" w:type="dxa"/>
                  <w:vMerge w:val="continue"/>
                  <w:vAlign w:val="center"/>
                </w:tcPr>
                <w:p w14:paraId="78C3EA7A">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p>
              </w:tc>
              <w:tc>
                <w:tcPr>
                  <w:tcW w:w="1279" w:type="dxa"/>
                  <w:vAlign w:val="center"/>
                </w:tcPr>
                <w:p w14:paraId="767D088B">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压裂返排液</w:t>
                  </w:r>
                </w:p>
              </w:tc>
              <w:tc>
                <w:tcPr>
                  <w:tcW w:w="3883" w:type="dxa"/>
                  <w:vAlign w:val="center"/>
                </w:tcPr>
                <w:p w14:paraId="49F761E4">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专用收集罐75m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1269" w:type="dxa"/>
                  <w:vAlign w:val="center"/>
                </w:tcPr>
                <w:p w14:paraId="2F51A7AD">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r>
                    <w:rPr>
                      <w:rFonts w:hint="default" w:ascii="Times New Roman" w:hAnsi="Times New Roman" w:cs="Times New Roman"/>
                      <w:color w:val="000000" w:themeColor="text1"/>
                      <w:sz w:val="21"/>
                      <w:szCs w:val="21"/>
                      <w:lang w:val="en-US" w:eastAsia="zh-CN"/>
                      <w14:textFill>
                        <w14:solidFill>
                          <w14:schemeClr w14:val="tx1"/>
                        </w14:solidFill>
                      </w14:textFill>
                    </w:rPr>
                    <w:t>个</w:t>
                  </w:r>
                </w:p>
              </w:tc>
              <w:tc>
                <w:tcPr>
                  <w:tcW w:w="1587" w:type="dxa"/>
                  <w:vAlign w:val="center"/>
                </w:tcPr>
                <w:p w14:paraId="0455E0E3">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24</w:t>
                  </w:r>
                </w:p>
              </w:tc>
            </w:tr>
            <w:tr w14:paraId="546A8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21" w:type="dxa"/>
                  <w:vMerge w:val="continue"/>
                  <w:vAlign w:val="center"/>
                </w:tcPr>
                <w:p w14:paraId="6D26EBE8">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p>
              </w:tc>
              <w:tc>
                <w:tcPr>
                  <w:tcW w:w="1279" w:type="dxa"/>
                  <w:vMerge w:val="restart"/>
                  <w:vAlign w:val="center"/>
                </w:tcPr>
                <w:p w14:paraId="5DFB45AC">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w:t>
                  </w:r>
                </w:p>
              </w:tc>
              <w:tc>
                <w:tcPr>
                  <w:tcW w:w="3883" w:type="dxa"/>
                  <w:vAlign w:val="center"/>
                </w:tcPr>
                <w:p w14:paraId="38EC89B9">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移动式环保型</w:t>
                  </w:r>
                  <w:r>
                    <w:rPr>
                      <w:rFonts w:hint="eastAsia" w:cs="Times New Roman"/>
                      <w:color w:val="000000" w:themeColor="text1"/>
                      <w:sz w:val="21"/>
                      <w:szCs w:val="21"/>
                      <w:lang w:val="en-US" w:eastAsia="zh-CN"/>
                      <w14:textFill>
                        <w14:solidFill>
                          <w14:schemeClr w14:val="tx1"/>
                        </w14:solidFill>
                      </w14:textFill>
                    </w:rPr>
                    <w:t>卫生</w:t>
                  </w:r>
                  <w:r>
                    <w:rPr>
                      <w:rFonts w:hint="default" w:ascii="Times New Roman" w:hAnsi="Times New Roman" w:cs="Times New Roman"/>
                      <w:color w:val="000000" w:themeColor="text1"/>
                      <w:sz w:val="21"/>
                      <w:szCs w:val="21"/>
                      <w14:textFill>
                        <w14:solidFill>
                          <w14:schemeClr w14:val="tx1"/>
                        </w14:solidFill>
                      </w14:textFill>
                    </w:rPr>
                    <w:t>旱厕</w:t>
                  </w:r>
                </w:p>
              </w:tc>
              <w:tc>
                <w:tcPr>
                  <w:tcW w:w="1269" w:type="dxa"/>
                  <w:vAlign w:val="center"/>
                </w:tcPr>
                <w:p w14:paraId="31469036">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r>
                    <w:rPr>
                      <w:rFonts w:hint="default" w:ascii="Times New Roman" w:hAnsi="Times New Roman" w:cs="Times New Roman"/>
                      <w:color w:val="000000" w:themeColor="text1"/>
                      <w:sz w:val="21"/>
                      <w:szCs w:val="21"/>
                      <w:lang w:val="en-US" w:eastAsia="zh-CN"/>
                      <w14:textFill>
                        <w14:solidFill>
                          <w14:schemeClr w14:val="tx1"/>
                        </w14:solidFill>
                      </w14:textFill>
                    </w:rPr>
                    <w:t>个</w:t>
                  </w:r>
                </w:p>
              </w:tc>
              <w:tc>
                <w:tcPr>
                  <w:tcW w:w="1587" w:type="dxa"/>
                  <w:vAlign w:val="center"/>
                </w:tcPr>
                <w:p w14:paraId="01693B6E">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r>
            <w:tr w14:paraId="16C7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21" w:type="dxa"/>
                  <w:vMerge w:val="continue"/>
                  <w:vAlign w:val="center"/>
                </w:tcPr>
                <w:p w14:paraId="4199545C">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p>
              </w:tc>
              <w:tc>
                <w:tcPr>
                  <w:tcW w:w="1279" w:type="dxa"/>
                  <w:vMerge w:val="continue"/>
                  <w:vAlign w:val="center"/>
                </w:tcPr>
                <w:p w14:paraId="3E19C8B9">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p>
              </w:tc>
              <w:tc>
                <w:tcPr>
                  <w:tcW w:w="3883" w:type="dxa"/>
                  <w:vAlign w:val="center"/>
                </w:tcPr>
                <w:p w14:paraId="216C8F02">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生活污水沉淀罐</w:t>
                  </w:r>
                </w:p>
              </w:tc>
              <w:tc>
                <w:tcPr>
                  <w:tcW w:w="1269" w:type="dxa"/>
                  <w:vAlign w:val="center"/>
                </w:tcPr>
                <w:p w14:paraId="31456599">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座</w:t>
                  </w:r>
                </w:p>
              </w:tc>
              <w:tc>
                <w:tcPr>
                  <w:tcW w:w="1587" w:type="dxa"/>
                  <w:vAlign w:val="center"/>
                </w:tcPr>
                <w:p w14:paraId="1CDCDECE">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w:t>
                  </w:r>
                </w:p>
              </w:tc>
            </w:tr>
            <w:tr w14:paraId="30E37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4" w:hRule="atLeast"/>
                <w:jc w:val="center"/>
              </w:trPr>
              <w:tc>
                <w:tcPr>
                  <w:tcW w:w="621" w:type="dxa"/>
                  <w:vAlign w:val="center"/>
                </w:tcPr>
                <w:p w14:paraId="79E38BC6">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噪声</w:t>
                  </w:r>
                </w:p>
              </w:tc>
              <w:tc>
                <w:tcPr>
                  <w:tcW w:w="1279" w:type="dxa"/>
                  <w:vAlign w:val="center"/>
                </w:tcPr>
                <w:p w14:paraId="7E08167B">
                  <w:pPr>
                    <w:pStyle w:val="28"/>
                    <w:bidi w:val="0"/>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钻井设备</w:t>
                  </w:r>
                </w:p>
              </w:tc>
              <w:tc>
                <w:tcPr>
                  <w:tcW w:w="3883" w:type="dxa"/>
                  <w:vAlign w:val="center"/>
                </w:tcPr>
                <w:p w14:paraId="6C768A83">
                  <w:pPr>
                    <w:pStyle w:val="28"/>
                    <w:bidi w:val="0"/>
                    <w:ind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选用低噪声设备、</w:t>
                  </w:r>
                  <w:r>
                    <w:rPr>
                      <w:rFonts w:hint="default" w:ascii="Times New Roman" w:hAnsi="Times New Roman" w:cs="Times New Roman"/>
                      <w:color w:val="000000" w:themeColor="text1"/>
                      <w:sz w:val="21"/>
                      <w:szCs w:val="21"/>
                      <w:highlight w:val="none"/>
                      <w14:textFill>
                        <w14:solidFill>
                          <w14:schemeClr w14:val="tx1"/>
                        </w14:solidFill>
                      </w14:textFill>
                    </w:rPr>
                    <w:t>基础减</w:t>
                  </w:r>
                  <w:r>
                    <w:rPr>
                      <w:rFonts w:hint="eastAsia" w:cs="Times New Roman"/>
                      <w:color w:val="000000" w:themeColor="text1"/>
                      <w:sz w:val="21"/>
                      <w:szCs w:val="21"/>
                      <w:highlight w:val="none"/>
                      <w:lang w:val="en-US" w:eastAsia="zh-CN"/>
                      <w14:textFill>
                        <w14:solidFill>
                          <w14:schemeClr w14:val="tx1"/>
                        </w14:solidFill>
                      </w14:textFill>
                    </w:rPr>
                    <w:t>振</w:t>
                  </w:r>
                </w:p>
              </w:tc>
              <w:tc>
                <w:tcPr>
                  <w:tcW w:w="1269" w:type="dxa"/>
                  <w:vAlign w:val="center"/>
                </w:tcPr>
                <w:p w14:paraId="109D9921">
                  <w:pPr>
                    <w:pStyle w:val="28"/>
                    <w:bidi w:val="0"/>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1587" w:type="dxa"/>
                  <w:vAlign w:val="center"/>
                </w:tcPr>
                <w:p w14:paraId="6DC551C0">
                  <w:pPr>
                    <w:pStyle w:val="28"/>
                    <w:bidi w:val="0"/>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16</w:t>
                  </w:r>
                </w:p>
              </w:tc>
            </w:tr>
            <w:tr w14:paraId="7681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21" w:type="dxa"/>
                  <w:vMerge w:val="restart"/>
                  <w:vAlign w:val="center"/>
                </w:tcPr>
                <w:p w14:paraId="50845E5B">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固体废物</w:t>
                  </w:r>
                </w:p>
              </w:tc>
              <w:tc>
                <w:tcPr>
                  <w:tcW w:w="1279" w:type="dxa"/>
                  <w:vAlign w:val="center"/>
                </w:tcPr>
                <w:p w14:paraId="2851E7D8">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废弃泥浆、</w:t>
                  </w:r>
                </w:p>
                <w:p w14:paraId="3F42BF23">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钻井岩屑</w:t>
                  </w:r>
                </w:p>
              </w:tc>
              <w:tc>
                <w:tcPr>
                  <w:tcW w:w="3883" w:type="dxa"/>
                  <w:vAlign w:val="center"/>
                </w:tcPr>
                <w:p w14:paraId="7D93F7F0">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移动式收集罐</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14:textFill>
                        <w14:solidFill>
                          <w14:schemeClr w14:val="tx1"/>
                        </w14:solidFill>
                      </w14:textFill>
                    </w:rPr>
                    <w:t>0m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1269" w:type="dxa"/>
                  <w:vAlign w:val="center"/>
                </w:tcPr>
                <w:p w14:paraId="02546384">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r>
                    <w:rPr>
                      <w:rFonts w:hint="default" w:ascii="Times New Roman" w:hAnsi="Times New Roman" w:cs="Times New Roman"/>
                      <w:color w:val="000000" w:themeColor="text1"/>
                      <w:sz w:val="21"/>
                      <w:szCs w:val="21"/>
                      <w:lang w:val="en-US" w:eastAsia="zh-CN"/>
                      <w14:textFill>
                        <w14:solidFill>
                          <w14:schemeClr w14:val="tx1"/>
                        </w14:solidFill>
                      </w14:textFill>
                    </w:rPr>
                    <w:t>个</w:t>
                  </w:r>
                </w:p>
              </w:tc>
              <w:tc>
                <w:tcPr>
                  <w:tcW w:w="1587" w:type="dxa"/>
                  <w:vAlign w:val="center"/>
                </w:tcPr>
                <w:p w14:paraId="71E1C6AE">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w:t>
                  </w:r>
                </w:p>
              </w:tc>
            </w:tr>
            <w:tr w14:paraId="41179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21" w:type="dxa"/>
                  <w:vMerge w:val="continue"/>
                  <w:vAlign w:val="center"/>
                </w:tcPr>
                <w:p w14:paraId="535FB7BA">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1279" w:type="dxa"/>
                  <w:vAlign w:val="center"/>
                </w:tcPr>
                <w:p w14:paraId="37DC2735">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泥浆循环罐</w:t>
                  </w:r>
                </w:p>
              </w:tc>
              <w:tc>
                <w:tcPr>
                  <w:tcW w:w="3883" w:type="dxa"/>
                  <w:vAlign w:val="center"/>
                </w:tcPr>
                <w:p w14:paraId="7EA095CE">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单个井场设置7个50m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泥浆循环罐</w:t>
                  </w:r>
                </w:p>
              </w:tc>
              <w:tc>
                <w:tcPr>
                  <w:tcW w:w="1269" w:type="dxa"/>
                  <w:vAlign w:val="center"/>
                </w:tcPr>
                <w:p w14:paraId="7E316BFB">
                  <w:pPr>
                    <w:pStyle w:val="28"/>
                    <w:bidi w:val="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14个</w:t>
                  </w:r>
                </w:p>
              </w:tc>
              <w:tc>
                <w:tcPr>
                  <w:tcW w:w="1587" w:type="dxa"/>
                  <w:vAlign w:val="center"/>
                </w:tcPr>
                <w:p w14:paraId="3A75B646">
                  <w:pPr>
                    <w:pStyle w:val="28"/>
                    <w:bidi w:val="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24</w:t>
                  </w:r>
                </w:p>
              </w:tc>
            </w:tr>
            <w:tr w14:paraId="701ED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21" w:type="dxa"/>
                  <w:vMerge w:val="continue"/>
                  <w:vAlign w:val="center"/>
                </w:tcPr>
                <w:p w14:paraId="45C48300">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p>
              </w:tc>
              <w:tc>
                <w:tcPr>
                  <w:tcW w:w="1279" w:type="dxa"/>
                  <w:vAlign w:val="center"/>
                </w:tcPr>
                <w:p w14:paraId="0949BC1C">
                  <w:pPr>
                    <w:pStyle w:val="28"/>
                    <w:bidi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危险废物</w:t>
                  </w:r>
                </w:p>
              </w:tc>
              <w:tc>
                <w:tcPr>
                  <w:tcW w:w="3883" w:type="dxa"/>
                  <w:vAlign w:val="center"/>
                </w:tcPr>
                <w:p w14:paraId="4EE86FCD">
                  <w:pPr>
                    <w:pStyle w:val="28"/>
                    <w:bidi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危废</w:t>
                  </w:r>
                  <w:r>
                    <w:rPr>
                      <w:rFonts w:hint="eastAsia" w:cs="Times New Roman"/>
                      <w:color w:val="000000" w:themeColor="text1"/>
                      <w:sz w:val="21"/>
                      <w:szCs w:val="21"/>
                      <w:lang w:val="en-US" w:eastAsia="zh-CN"/>
                      <w14:textFill>
                        <w14:solidFill>
                          <w14:schemeClr w14:val="tx1"/>
                        </w14:solidFill>
                      </w14:textFill>
                    </w:rPr>
                    <w:t>贮存库</w:t>
                  </w:r>
                </w:p>
              </w:tc>
              <w:tc>
                <w:tcPr>
                  <w:tcW w:w="1269" w:type="dxa"/>
                  <w:vAlign w:val="center"/>
                </w:tcPr>
                <w:p w14:paraId="491EEA2A">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r>
                    <w:rPr>
                      <w:rFonts w:hint="default" w:ascii="Times New Roman" w:hAnsi="Times New Roman" w:cs="Times New Roman"/>
                      <w:color w:val="000000" w:themeColor="text1"/>
                      <w:sz w:val="21"/>
                      <w:szCs w:val="21"/>
                      <w:lang w:val="en-US" w:eastAsia="zh-CN"/>
                      <w14:textFill>
                        <w14:solidFill>
                          <w14:schemeClr w14:val="tx1"/>
                        </w14:solidFill>
                      </w14:textFill>
                    </w:rPr>
                    <w:t>个</w:t>
                  </w:r>
                </w:p>
              </w:tc>
              <w:tc>
                <w:tcPr>
                  <w:tcW w:w="1587" w:type="dxa"/>
                  <w:vAlign w:val="center"/>
                </w:tcPr>
                <w:p w14:paraId="7A644B0A">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r>
            <w:tr w14:paraId="089E2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21" w:type="dxa"/>
                  <w:vMerge w:val="continue"/>
                  <w:vAlign w:val="center"/>
                </w:tcPr>
                <w:p w14:paraId="08A60BB9">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p>
              </w:tc>
              <w:tc>
                <w:tcPr>
                  <w:tcW w:w="1279" w:type="dxa"/>
                  <w:vAlign w:val="center"/>
                </w:tcPr>
                <w:p w14:paraId="0656AC02">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生活垃圾</w:t>
                  </w:r>
                </w:p>
              </w:tc>
              <w:tc>
                <w:tcPr>
                  <w:tcW w:w="3883" w:type="dxa"/>
                  <w:vAlign w:val="center"/>
                </w:tcPr>
                <w:p w14:paraId="797D83A7">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经垃圾桶集中收集后由</w:t>
                  </w:r>
                  <w:r>
                    <w:rPr>
                      <w:rFonts w:hint="default" w:ascii="Times New Roman" w:hAnsi="Times New Roman" w:cs="Times New Roman"/>
                      <w:color w:val="000000" w:themeColor="text1"/>
                      <w:sz w:val="21"/>
                      <w:szCs w:val="21"/>
                      <w:lang w:val="en-US" w:eastAsia="zh-CN"/>
                      <w14:textFill>
                        <w14:solidFill>
                          <w14:schemeClr w14:val="tx1"/>
                        </w14:solidFill>
                      </w14:textFill>
                    </w:rPr>
                    <w:t>交由</w:t>
                  </w:r>
                  <w:r>
                    <w:rPr>
                      <w:rFonts w:hint="default" w:ascii="Times New Roman" w:hAnsi="Times New Roman" w:cs="Times New Roman"/>
                      <w:color w:val="000000" w:themeColor="text1"/>
                      <w:sz w:val="21"/>
                      <w:szCs w:val="21"/>
                      <w14:textFill>
                        <w14:solidFill>
                          <w14:schemeClr w14:val="tx1"/>
                        </w14:solidFill>
                      </w14:textFill>
                    </w:rPr>
                    <w:t>当地环卫部门集中处置。</w:t>
                  </w:r>
                </w:p>
              </w:tc>
              <w:tc>
                <w:tcPr>
                  <w:tcW w:w="1269" w:type="dxa"/>
                  <w:vAlign w:val="center"/>
                </w:tcPr>
                <w:p w14:paraId="7D9F27D5">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若干</w:t>
                  </w:r>
                </w:p>
              </w:tc>
              <w:tc>
                <w:tcPr>
                  <w:tcW w:w="1587" w:type="dxa"/>
                  <w:vAlign w:val="center"/>
                </w:tcPr>
                <w:p w14:paraId="455FB95D">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w:t>
                  </w:r>
                </w:p>
              </w:tc>
            </w:tr>
            <w:tr w14:paraId="330E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900" w:type="dxa"/>
                  <w:gridSpan w:val="2"/>
                  <w:vAlign w:val="center"/>
                </w:tcPr>
                <w:p w14:paraId="0E532C64">
                  <w:pPr>
                    <w:pStyle w:val="28"/>
                    <w:bidi w:val="0"/>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地下水污染防治</w:t>
                  </w:r>
                </w:p>
              </w:tc>
              <w:tc>
                <w:tcPr>
                  <w:tcW w:w="3883" w:type="dxa"/>
                  <w:vAlign w:val="center"/>
                </w:tcPr>
                <w:p w14:paraId="596DCF42">
                  <w:pPr>
                    <w:pStyle w:val="28"/>
                    <w:bidi w:val="0"/>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钻井工作区、泥浆不落地系统区、钻井液材料房、储罐区</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撬装式</w:t>
                  </w:r>
                  <w:r>
                    <w:rPr>
                      <w:rFonts w:hint="eastAsia" w:cs="Times New Roman"/>
                      <w:color w:val="000000" w:themeColor="text1"/>
                      <w:sz w:val="21"/>
                      <w:szCs w:val="21"/>
                      <w:lang w:eastAsia="zh-CN"/>
                      <w14:textFill>
                        <w14:solidFill>
                          <w14:schemeClr w14:val="tx1"/>
                        </w14:solidFill>
                      </w14:textFill>
                    </w:rPr>
                    <w:t>危废贮存库</w:t>
                  </w:r>
                  <w:r>
                    <w:rPr>
                      <w:rFonts w:hint="eastAsia" w:cs="Times New Roman"/>
                      <w:color w:val="000000" w:themeColor="text1"/>
                      <w:sz w:val="21"/>
                      <w:szCs w:val="21"/>
                      <w:lang w:val="en-US" w:eastAsia="zh-CN"/>
                      <w14:textFill>
                        <w14:solidFill>
                          <w14:schemeClr w14:val="tx1"/>
                        </w14:solidFill>
                      </w14:textFill>
                    </w:rPr>
                    <w:t>内部</w:t>
                  </w:r>
                  <w:r>
                    <w:rPr>
                      <w:rFonts w:hint="default" w:ascii="Times New Roman" w:hAnsi="Times New Roman"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eastAsia="zh-CN"/>
                      <w14:textFill>
                        <w14:solidFill>
                          <w14:schemeClr w14:val="tx1"/>
                        </w14:solidFill>
                      </w14:textFill>
                    </w:rPr>
                    <w:t>放喷池</w:t>
                  </w:r>
                  <w:r>
                    <w:rPr>
                      <w:rFonts w:hint="default" w:ascii="Times New Roman" w:hAnsi="Times New Roman" w:cs="Times New Roman"/>
                      <w:color w:val="000000" w:themeColor="text1"/>
                      <w:sz w:val="21"/>
                      <w:szCs w:val="21"/>
                      <w14:textFill>
                        <w14:solidFill>
                          <w14:schemeClr w14:val="tx1"/>
                        </w14:solidFill>
                      </w14:textFill>
                    </w:rPr>
                    <w:t>进行重点防渗处理</w:t>
                  </w:r>
                </w:p>
              </w:tc>
              <w:tc>
                <w:tcPr>
                  <w:tcW w:w="1269" w:type="dxa"/>
                  <w:vAlign w:val="center"/>
                </w:tcPr>
                <w:p w14:paraId="21C9F30F">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587" w:type="dxa"/>
                  <w:vAlign w:val="center"/>
                </w:tcPr>
                <w:p w14:paraId="78CE24C1">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w:t>
                  </w:r>
                </w:p>
              </w:tc>
            </w:tr>
            <w:tr w14:paraId="6DA1A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900" w:type="dxa"/>
                  <w:gridSpan w:val="2"/>
                  <w:vAlign w:val="center"/>
                </w:tcPr>
                <w:p w14:paraId="2C2BEB13">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风险防范</w:t>
                  </w:r>
                </w:p>
              </w:tc>
              <w:tc>
                <w:tcPr>
                  <w:tcW w:w="3883" w:type="dxa"/>
                  <w:vAlign w:val="center"/>
                </w:tcPr>
                <w:p w14:paraId="2BCE7CF9">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风险防范措施</w:t>
                  </w:r>
                </w:p>
              </w:tc>
              <w:tc>
                <w:tcPr>
                  <w:tcW w:w="1269" w:type="dxa"/>
                  <w:vAlign w:val="center"/>
                </w:tcPr>
                <w:p w14:paraId="4BDE4C93">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587" w:type="dxa"/>
                  <w:vAlign w:val="center"/>
                </w:tcPr>
                <w:p w14:paraId="1C73AF11">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14</w:t>
                  </w:r>
                </w:p>
              </w:tc>
            </w:tr>
            <w:tr w14:paraId="64578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900" w:type="dxa"/>
                  <w:gridSpan w:val="2"/>
                  <w:vAlign w:val="center"/>
                </w:tcPr>
                <w:p w14:paraId="6BBEB69A">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临时占地生态恢复</w:t>
                  </w:r>
                </w:p>
              </w:tc>
              <w:tc>
                <w:tcPr>
                  <w:tcW w:w="3883" w:type="dxa"/>
                  <w:vAlign w:val="center"/>
                </w:tcPr>
                <w:p w14:paraId="5D9CBC63">
                  <w:pPr>
                    <w:pStyle w:val="28"/>
                    <w:bidi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覆土平整、恢复原有使用功能</w:t>
                  </w:r>
                </w:p>
              </w:tc>
              <w:tc>
                <w:tcPr>
                  <w:tcW w:w="1269" w:type="dxa"/>
                  <w:vAlign w:val="center"/>
                </w:tcPr>
                <w:p w14:paraId="4C183D19">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46940</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p>
              </w:tc>
              <w:tc>
                <w:tcPr>
                  <w:tcW w:w="1587" w:type="dxa"/>
                  <w:vAlign w:val="center"/>
                </w:tcPr>
                <w:p w14:paraId="661C118E">
                  <w:pPr>
                    <w:pStyle w:val="28"/>
                    <w:bidi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80</w:t>
                  </w:r>
                </w:p>
              </w:tc>
            </w:tr>
            <w:tr w14:paraId="3E2A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52" w:type="dxa"/>
                  <w:gridSpan w:val="4"/>
                  <w:vAlign w:val="center"/>
                </w:tcPr>
                <w:p w14:paraId="51AB479D">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合计</w:t>
                  </w:r>
                </w:p>
              </w:tc>
              <w:tc>
                <w:tcPr>
                  <w:tcW w:w="1587" w:type="dxa"/>
                  <w:vAlign w:val="center"/>
                </w:tcPr>
                <w:p w14:paraId="2343DF78">
                  <w:pPr>
                    <w:pStyle w:val="28"/>
                    <w:bidi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224.2</w:t>
                  </w:r>
                </w:p>
              </w:tc>
            </w:tr>
          </w:tbl>
          <w:p w14:paraId="037CAB3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备注：本项目米172-06、米37-14M同一时期施工，施工结束后各类设备分别搬迁至米172-08、米172-06，各类收集罐、沉淀罐等均重复使用，本次环保投资按照设备的折旧费计算。</w:t>
            </w:r>
          </w:p>
          <w:p w14:paraId="1EA9C4AF">
            <w:pPr>
              <w:pStyle w:val="18"/>
              <w:jc w:val="both"/>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p w14:paraId="5090171A">
            <w:pPr>
              <w:jc w:val="both"/>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p w14:paraId="416AC68B">
            <w:pPr>
              <w:pStyle w:val="18"/>
              <w:jc w:val="both"/>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p w14:paraId="73AF04D7">
            <w:pPr>
              <w:jc w:val="both"/>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p w14:paraId="31D1FF76">
            <w:pPr>
              <w:pStyle w:val="18"/>
              <w:jc w:val="both"/>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p w14:paraId="26A6D62B">
            <w:pPr>
              <w:jc w:val="both"/>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p w14:paraId="4A6EB8EB">
            <w:pPr>
              <w:pStyle w:val="18"/>
              <w:jc w:val="both"/>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p w14:paraId="39B40EF6">
            <w:pPr>
              <w:jc w:val="both"/>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p w14:paraId="51031F61">
            <w:pPr>
              <w:pStyle w:val="18"/>
              <w:jc w:val="both"/>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p w14:paraId="282FCBF7">
            <w:pPr>
              <w:jc w:val="both"/>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p w14:paraId="3026D606">
            <w:pPr>
              <w:pStyle w:val="18"/>
              <w:jc w:val="both"/>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p w14:paraId="30C2E809">
            <w:pPr>
              <w:jc w:val="both"/>
              <w:rPr>
                <w:rFonts w:hint="default"/>
                <w:color w:val="000000" w:themeColor="text1"/>
                <w:lang w:val="en-US" w:eastAsia="zh-CN"/>
                <w14:textFill>
                  <w14:solidFill>
                    <w14:schemeClr w14:val="tx1"/>
                  </w14:solidFill>
                </w14:textFill>
              </w:rPr>
            </w:pPr>
          </w:p>
          <w:p w14:paraId="2671C30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p w14:paraId="76B9E9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p w14:paraId="4820D813">
            <w:pPr>
              <w:pStyle w:val="18"/>
              <w:jc w:val="both"/>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p w14:paraId="50F8BC4F">
            <w:pPr>
              <w:numPr>
                <w:ilvl w:val="0"/>
                <w:numId w:val="0"/>
              </w:numPr>
              <w:jc w:val="both"/>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r>
    </w:tbl>
    <w:p w14:paraId="1E2028F3">
      <w:pPr>
        <w:rPr>
          <w:rFonts w:hint="default" w:ascii="Times New Roman" w:hAnsi="Times New Roman" w:eastAsia="黑体" w:cs="Times New Roman"/>
          <w:b w:val="0"/>
          <w:bCs w:val="0"/>
          <w:color w:val="000000" w:themeColor="text1"/>
          <w:sz w:val="28"/>
          <w:szCs w:val="28"/>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8"/>
          <w:szCs w:val="28"/>
          <w:lang w:val="en-US" w:eastAsia="zh-CN"/>
          <w14:textFill>
            <w14:solidFill>
              <w14:schemeClr w14:val="tx1"/>
            </w14:solidFill>
          </w14:textFill>
        </w:rPr>
        <w:br w:type="page"/>
      </w:r>
    </w:p>
    <w:p w14:paraId="0660B732">
      <w:pPr>
        <w:numPr>
          <w:ilvl w:val="0"/>
          <w:numId w:val="4"/>
        </w:numPr>
        <w:ind w:left="0" w:leftChars="0" w:firstLine="0" w:firstLineChars="0"/>
        <w:jc w:val="center"/>
        <w:rPr>
          <w:rFonts w:hint="default" w:ascii="Times New Roman" w:hAnsi="Times New Roman" w:eastAsia="黑体" w:cs="Times New Roman"/>
          <w:b w:val="0"/>
          <w:bCs w:val="0"/>
          <w:color w:val="000000" w:themeColor="text1"/>
          <w:sz w:val="28"/>
          <w:szCs w:val="28"/>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8"/>
          <w:szCs w:val="28"/>
          <w:lang w:val="en-US" w:eastAsia="zh-CN"/>
          <w14:textFill>
            <w14:solidFill>
              <w14:schemeClr w14:val="tx1"/>
            </w14:solidFill>
          </w14:textFill>
        </w:rPr>
        <w:t>生态环境保护措施监督检查清单</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4782"/>
        <w:gridCol w:w="1738"/>
        <w:gridCol w:w="862"/>
        <w:gridCol w:w="642"/>
      </w:tblGrid>
      <w:tr w14:paraId="47FA2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restart"/>
            <w:vAlign w:val="center"/>
          </w:tcPr>
          <w:p w14:paraId="1E6B4B8B">
            <w:pPr>
              <w:numPr>
                <w:ilvl w:val="0"/>
                <w:numId w:val="0"/>
              </w:numPr>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3810</wp:posOffset>
                      </wp:positionV>
                      <wp:extent cx="793115" cy="588645"/>
                      <wp:effectExtent l="3810" t="5080" r="22225" b="15875"/>
                      <wp:wrapNone/>
                      <wp:docPr id="4" name="直接连接符 4"/>
                      <wp:cNvGraphicFramePr/>
                      <a:graphic xmlns:a="http://schemas.openxmlformats.org/drawingml/2006/main">
                        <a:graphicData uri="http://schemas.microsoft.com/office/word/2010/wordprocessingShape">
                          <wps:wsp>
                            <wps:cNvCnPr/>
                            <wps:spPr>
                              <a:xfrm>
                                <a:off x="831215" y="1315720"/>
                                <a:ext cx="793115" cy="58864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4pt;margin-top:0.3pt;height:46.35pt;width:62.45pt;z-index:251660288;mso-width-relative:page;mso-height-relative:page;" filled="f" stroked="t" coordsize="21600,21600" o:gfxdata="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OdeHNYAAAAHAQAADwAAAAAAAAABACAAAAAiAAAAZHJzL2Rvd25yZXYueG1sUEsBAhQA&#10;FAAAAAgAh07iQC7zlXz0AQAAwQMAAA4AAAAAAAAAAQAgAAAAJQEAAGRycy9lMm9Eb2MueG1sUEsF&#10;BgAAAAAGAAYAWQEAAIsFAAAAAA==&#10;">
                      <v:fill on="f" focussize="0,0"/>
                      <v:stroke weight="1pt" color="#000000 [3213]" miterlimit="8" joinstyle="miter"/>
                      <v:imagedata o:title=""/>
                      <o:lock v:ext="edit" aspectratio="f"/>
                    </v:line>
                  </w:pict>
                </mc:Fallback>
              </mc:AlternateConten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内容</w:t>
            </w:r>
          </w:p>
          <w:p w14:paraId="0DF14A95">
            <w:pPr>
              <w:numPr>
                <w:ilvl w:val="0"/>
                <w:numId w:val="0"/>
              </w:numPr>
              <w:jc w:val="both"/>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要素</w:t>
            </w:r>
          </w:p>
        </w:tc>
        <w:tc>
          <w:tcPr>
            <w:tcW w:w="6520" w:type="dxa"/>
            <w:gridSpan w:val="2"/>
            <w:vAlign w:val="center"/>
          </w:tcPr>
          <w:p w14:paraId="19937743">
            <w:pPr>
              <w:numPr>
                <w:ilvl w:val="0"/>
                <w:numId w:val="0"/>
              </w:numPr>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施工期</w:t>
            </w:r>
          </w:p>
        </w:tc>
        <w:tc>
          <w:tcPr>
            <w:tcW w:w="1504" w:type="dxa"/>
            <w:gridSpan w:val="2"/>
            <w:vAlign w:val="center"/>
          </w:tcPr>
          <w:p w14:paraId="0A54388E">
            <w:pPr>
              <w:numPr>
                <w:ilvl w:val="0"/>
                <w:numId w:val="0"/>
              </w:numPr>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营运期</w:t>
            </w:r>
          </w:p>
        </w:tc>
      </w:tr>
      <w:tr w14:paraId="20579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2E32F2C0">
            <w:pPr>
              <w:numPr>
                <w:ilvl w:val="0"/>
                <w:numId w:val="0"/>
              </w:numPr>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4782" w:type="dxa"/>
            <w:vAlign w:val="center"/>
          </w:tcPr>
          <w:p w14:paraId="15FD63BC">
            <w:pPr>
              <w:numPr>
                <w:ilvl w:val="0"/>
                <w:numId w:val="0"/>
              </w:numPr>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环境保护措施</w:t>
            </w:r>
          </w:p>
        </w:tc>
        <w:tc>
          <w:tcPr>
            <w:tcW w:w="1738" w:type="dxa"/>
            <w:vAlign w:val="center"/>
          </w:tcPr>
          <w:p w14:paraId="46738352">
            <w:pPr>
              <w:numPr>
                <w:ilvl w:val="0"/>
                <w:numId w:val="0"/>
              </w:numPr>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验收要求</w:t>
            </w:r>
          </w:p>
        </w:tc>
        <w:tc>
          <w:tcPr>
            <w:tcW w:w="862" w:type="dxa"/>
            <w:vAlign w:val="center"/>
          </w:tcPr>
          <w:p w14:paraId="7008D869">
            <w:pPr>
              <w:numPr>
                <w:ilvl w:val="0"/>
                <w:numId w:val="0"/>
              </w:numPr>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环境保护措施</w:t>
            </w:r>
          </w:p>
        </w:tc>
        <w:tc>
          <w:tcPr>
            <w:tcW w:w="642" w:type="dxa"/>
            <w:vAlign w:val="center"/>
          </w:tcPr>
          <w:p w14:paraId="0A50942F">
            <w:pPr>
              <w:numPr>
                <w:ilvl w:val="0"/>
                <w:numId w:val="0"/>
              </w:numPr>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验收要求</w:t>
            </w:r>
          </w:p>
        </w:tc>
      </w:tr>
      <w:tr w14:paraId="16253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32A74E60">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陆生生态</w:t>
            </w:r>
          </w:p>
        </w:tc>
        <w:tc>
          <w:tcPr>
            <w:tcW w:w="4782" w:type="dxa"/>
            <w:vAlign w:val="center"/>
          </w:tcPr>
          <w:p w14:paraId="73B765C3">
            <w:pPr>
              <w:spacing w:beforeLines="0" w:afterLines="0"/>
              <w:jc w:val="left"/>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施工期：</w:t>
            </w:r>
          </w:p>
          <w:p w14:paraId="3352E1E7">
            <w:pPr>
              <w:spacing w:beforeLines="0" w:afterLines="0"/>
              <w:jc w:val="left"/>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合理布置井场及钻井设备，减少井场占地面积；合理安排施工时间；禁止废水、废弃泥浆、岩屑以及其他废物流失和乱排放；完井后回收各种废料；施工结束后，除生产井所需的面积外，对其余占地覆土恢复植被种植。</w:t>
            </w:r>
          </w:p>
          <w:p w14:paraId="4523B605">
            <w:pPr>
              <w:spacing w:beforeLines="0" w:afterLines="0"/>
              <w:jc w:val="left"/>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封井期：拆除场地地面设施，进行井场清理，耕地交由农户进行复垦，草地恢复为草地，林地恢复为林地，并辅以草地搭配，园地种植原有果树。</w:t>
            </w:r>
          </w:p>
        </w:tc>
        <w:tc>
          <w:tcPr>
            <w:tcW w:w="1738" w:type="dxa"/>
            <w:vAlign w:val="center"/>
          </w:tcPr>
          <w:p w14:paraId="43EEE835">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生态环境质量不降低</w:t>
            </w:r>
          </w:p>
        </w:tc>
        <w:tc>
          <w:tcPr>
            <w:tcW w:w="862" w:type="dxa"/>
            <w:vAlign w:val="center"/>
          </w:tcPr>
          <w:p w14:paraId="2741EBEC">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642" w:type="dxa"/>
            <w:vAlign w:val="center"/>
          </w:tcPr>
          <w:p w14:paraId="7549DAD0">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78C0C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72DB9E2E">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水生生态</w:t>
            </w:r>
          </w:p>
        </w:tc>
        <w:tc>
          <w:tcPr>
            <w:tcW w:w="4782" w:type="dxa"/>
            <w:vAlign w:val="center"/>
          </w:tcPr>
          <w:p w14:paraId="14D159D1">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1738" w:type="dxa"/>
            <w:vAlign w:val="center"/>
          </w:tcPr>
          <w:p w14:paraId="361459A7">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862" w:type="dxa"/>
            <w:vAlign w:val="center"/>
          </w:tcPr>
          <w:p w14:paraId="489137E4">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642" w:type="dxa"/>
            <w:vAlign w:val="center"/>
          </w:tcPr>
          <w:p w14:paraId="14FD2942">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7C5EA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restart"/>
            <w:vAlign w:val="center"/>
          </w:tcPr>
          <w:p w14:paraId="47F97866">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地表水环境</w:t>
            </w:r>
          </w:p>
        </w:tc>
        <w:tc>
          <w:tcPr>
            <w:tcW w:w="4782" w:type="dxa"/>
            <w:vAlign w:val="center"/>
          </w:tcPr>
          <w:p w14:paraId="3ADB10D3">
            <w:pPr>
              <w:keepNext w:val="0"/>
              <w:keepLines w:val="0"/>
              <w:pageBreakBefore w:val="0"/>
              <w:widowControl w:val="0"/>
              <w:kinsoku/>
              <w:wordWrap/>
              <w:overflowPunct/>
              <w:topLinePunct w:val="0"/>
              <w:autoSpaceDE/>
              <w:autoSpaceDN/>
              <w:bidi w:val="0"/>
              <w:adjustRightInd/>
              <w:snapToGrid/>
              <w:spacing w:beforeLines="0" w:afterLines="0"/>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钻井废水：项目钻井废水经泥浆水循环系统处理后优先作为钻井液配水回用，钻井结束后，</w:t>
            </w:r>
            <w:r>
              <w:rPr>
                <w:rFonts w:hint="eastAsia" w:ascii="宋体" w:hAnsi="宋体" w:eastAsia="宋体" w:cs="宋体"/>
                <w:color w:val="000000" w:themeColor="text1"/>
                <w:sz w:val="21"/>
                <w:szCs w:val="21"/>
                <w14:textFill>
                  <w14:solidFill>
                    <w14:schemeClr w14:val="tx1"/>
                  </w14:solidFill>
                </w14:textFill>
              </w:rPr>
              <w:t>不能回用的钻井废水委托</w:t>
            </w:r>
            <w:r>
              <w:rPr>
                <w:rFonts w:hint="default" w:ascii="宋体" w:hAnsi="宋体" w:eastAsia="宋体" w:cs="宋体"/>
                <w:color w:val="000000" w:themeColor="text1"/>
                <w:sz w:val="21"/>
                <w:szCs w:val="21"/>
                <w:lang w:val="en-US" w:eastAsia="zh-CN"/>
                <w14:textFill>
                  <w14:solidFill>
                    <w14:schemeClr w14:val="tx1"/>
                  </w14:solidFill>
                </w14:textFill>
              </w:rPr>
              <w:t>陕西</w:t>
            </w:r>
            <w:r>
              <w:rPr>
                <w:rFonts w:hint="eastAsia" w:ascii="宋体" w:hAnsi="宋体" w:eastAsia="宋体" w:cs="宋体"/>
                <w:color w:val="000000" w:themeColor="text1"/>
                <w:sz w:val="21"/>
                <w:szCs w:val="21"/>
                <w:lang w:val="en-US" w:eastAsia="zh-CN"/>
                <w14:textFill>
                  <w14:solidFill>
                    <w14:schemeClr w14:val="tx1"/>
                  </w14:solidFill>
                </w14:textFill>
              </w:rPr>
              <w:t>榆佳环保科技有限公司</w:t>
            </w:r>
            <w:r>
              <w:rPr>
                <w:rFonts w:hint="eastAsia" w:ascii="宋体" w:hAnsi="宋体" w:eastAsia="宋体" w:cs="宋体"/>
                <w:color w:val="000000" w:themeColor="text1"/>
                <w:sz w:val="21"/>
                <w:szCs w:val="21"/>
                <w14:textFill>
                  <w14:solidFill>
                    <w14:schemeClr w14:val="tx1"/>
                  </w14:solidFill>
                </w14:textFill>
              </w:rPr>
              <w:t>外运处理。</w:t>
            </w:r>
          </w:p>
        </w:tc>
        <w:tc>
          <w:tcPr>
            <w:tcW w:w="1738" w:type="dxa"/>
            <w:vMerge w:val="restart"/>
            <w:vAlign w:val="center"/>
          </w:tcPr>
          <w:p w14:paraId="03EF5F9E">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废水妥善处置，不外排</w:t>
            </w:r>
          </w:p>
        </w:tc>
        <w:tc>
          <w:tcPr>
            <w:tcW w:w="862" w:type="dxa"/>
            <w:vAlign w:val="center"/>
          </w:tcPr>
          <w:p w14:paraId="7E19861B">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642" w:type="dxa"/>
            <w:vAlign w:val="center"/>
          </w:tcPr>
          <w:p w14:paraId="19E5B72C">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01218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323CEBB7">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4782" w:type="dxa"/>
            <w:vAlign w:val="center"/>
          </w:tcPr>
          <w:p w14:paraId="230AAF5D">
            <w:pPr>
              <w:keepNext w:val="0"/>
              <w:keepLines w:val="0"/>
              <w:pageBreakBefore w:val="0"/>
              <w:widowControl w:val="0"/>
              <w:kinsoku/>
              <w:wordWrap/>
              <w:overflowPunct/>
              <w:topLinePunct w:val="0"/>
              <w:autoSpaceDE/>
              <w:autoSpaceDN/>
              <w:bidi w:val="0"/>
              <w:adjustRightInd/>
              <w:snapToGrid/>
              <w:spacing w:beforeLines="0" w:afterLines="0"/>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洗井废水：由专用收集罐临时收集</w:t>
            </w:r>
            <w:r>
              <w:rPr>
                <w:rFonts w:hint="default" w:ascii="Times New Roman" w:hAnsi="Times New Roman" w:eastAsia="宋体" w:cs="Times New Roman"/>
                <w:color w:val="000000" w:themeColor="text1"/>
                <w:sz w:val="21"/>
                <w:szCs w:val="24"/>
                <w:lang w:eastAsia="zh-CN"/>
                <w14:textFill>
                  <w14:solidFill>
                    <w14:schemeClr w14:val="tx1"/>
                  </w14:solidFill>
                </w14:textFill>
              </w:rPr>
              <w:t>，</w:t>
            </w:r>
            <w:r>
              <w:rPr>
                <w:rFonts w:hint="default" w:ascii="Times New Roman" w:hAnsi="Times New Roman" w:eastAsia="宋体" w:cs="Times New Roman"/>
                <w:color w:val="000000" w:themeColor="text1"/>
                <w:sz w:val="21"/>
                <w:szCs w:val="24"/>
                <w14:textFill>
                  <w14:solidFill>
                    <w14:schemeClr w14:val="tx1"/>
                  </w14:solidFill>
                </w14:textFill>
              </w:rPr>
              <w:t>钻井结束后，</w:t>
            </w:r>
            <w:r>
              <w:rPr>
                <w:rFonts w:hint="eastAsia" w:ascii="宋体" w:hAnsi="宋体" w:eastAsia="宋体" w:cs="宋体"/>
                <w:color w:val="000000" w:themeColor="text1"/>
                <w:sz w:val="21"/>
                <w:szCs w:val="21"/>
                <w14:textFill>
                  <w14:solidFill>
                    <w14:schemeClr w14:val="tx1"/>
                  </w14:solidFill>
                </w14:textFill>
              </w:rPr>
              <w:t>不能回用的钻井废水委托</w:t>
            </w:r>
            <w:r>
              <w:rPr>
                <w:rFonts w:hint="default" w:ascii="宋体" w:hAnsi="宋体" w:eastAsia="宋体" w:cs="宋体"/>
                <w:color w:val="000000" w:themeColor="text1"/>
                <w:sz w:val="21"/>
                <w:szCs w:val="21"/>
                <w:lang w:val="en-US" w:eastAsia="zh-CN"/>
                <w14:textFill>
                  <w14:solidFill>
                    <w14:schemeClr w14:val="tx1"/>
                  </w14:solidFill>
                </w14:textFill>
              </w:rPr>
              <w:t>陕西</w:t>
            </w:r>
            <w:r>
              <w:rPr>
                <w:rFonts w:hint="eastAsia" w:ascii="宋体" w:hAnsi="宋体" w:eastAsia="宋体" w:cs="宋体"/>
                <w:color w:val="000000" w:themeColor="text1"/>
                <w:sz w:val="21"/>
                <w:szCs w:val="21"/>
                <w:lang w:val="en-US" w:eastAsia="zh-CN"/>
                <w14:textFill>
                  <w14:solidFill>
                    <w14:schemeClr w14:val="tx1"/>
                  </w14:solidFill>
                </w14:textFill>
              </w:rPr>
              <w:t>榆佳环保科技有限公司</w:t>
            </w:r>
            <w:r>
              <w:rPr>
                <w:rFonts w:hint="eastAsia" w:ascii="宋体" w:hAnsi="宋体" w:eastAsia="宋体" w:cs="宋体"/>
                <w:color w:val="000000" w:themeColor="text1"/>
                <w:sz w:val="21"/>
                <w:szCs w:val="21"/>
                <w14:textFill>
                  <w14:solidFill>
                    <w14:schemeClr w14:val="tx1"/>
                  </w14:solidFill>
                </w14:textFill>
              </w:rPr>
              <w:t>外运处理。</w:t>
            </w:r>
          </w:p>
        </w:tc>
        <w:tc>
          <w:tcPr>
            <w:tcW w:w="1738" w:type="dxa"/>
            <w:vMerge w:val="continue"/>
            <w:vAlign w:val="center"/>
          </w:tcPr>
          <w:p w14:paraId="51EE03B3">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862" w:type="dxa"/>
            <w:vAlign w:val="center"/>
          </w:tcPr>
          <w:p w14:paraId="73F869E7">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642" w:type="dxa"/>
            <w:vAlign w:val="center"/>
          </w:tcPr>
          <w:p w14:paraId="66D9B5A2">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4F01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05AB4AF3">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4782" w:type="dxa"/>
            <w:vAlign w:val="center"/>
          </w:tcPr>
          <w:p w14:paraId="450ADA70">
            <w:pPr>
              <w:keepNext w:val="0"/>
              <w:keepLines w:val="0"/>
              <w:pageBreakBefore w:val="0"/>
              <w:widowControl w:val="0"/>
              <w:kinsoku/>
              <w:wordWrap/>
              <w:overflowPunct/>
              <w:topLinePunct w:val="0"/>
              <w:autoSpaceDE/>
              <w:autoSpaceDN/>
              <w:bidi w:val="0"/>
              <w:adjustRightInd/>
              <w:snapToGrid/>
              <w:spacing w:beforeLines="0" w:afterLines="0"/>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压裂返排液：本项目压裂返排液临时收集贮存于专用收集罐，钻井结束后剩余压裂返排液用专用收集罐收集，</w:t>
            </w:r>
            <w:r>
              <w:rPr>
                <w:rFonts w:hint="eastAsia" w:ascii="宋体" w:hAnsi="宋体" w:eastAsia="宋体" w:cs="宋体"/>
                <w:color w:val="000000" w:themeColor="text1"/>
                <w:sz w:val="21"/>
                <w:szCs w:val="21"/>
                <w14:textFill>
                  <w14:solidFill>
                    <w14:schemeClr w14:val="tx1"/>
                  </w14:solidFill>
                </w14:textFill>
              </w:rPr>
              <w:t>委托</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陕西</w:t>
            </w:r>
            <w:r>
              <w:rPr>
                <w:rFonts w:hint="eastAsia" w:ascii="Times New Roman" w:hAnsi="Times New Roman" w:eastAsia="宋体" w:cs="Times New Roman"/>
                <w:color w:val="000000" w:themeColor="text1"/>
                <w:sz w:val="21"/>
                <w:szCs w:val="24"/>
                <w:lang w:val="en-US" w:eastAsia="zh-CN"/>
                <w14:textFill>
                  <w14:solidFill>
                    <w14:schemeClr w14:val="tx1"/>
                  </w14:solidFill>
                </w14:textFill>
              </w:rPr>
              <w:t>榆佳环保科技有限公司</w:t>
            </w:r>
            <w:r>
              <w:rPr>
                <w:rFonts w:hint="eastAsia" w:ascii="Times New Roman" w:hAnsi="Times New Roman" w:eastAsia="宋体" w:cs="Times New Roman"/>
                <w:color w:val="000000" w:themeColor="text1"/>
                <w:sz w:val="21"/>
                <w:szCs w:val="24"/>
                <w14:textFill>
                  <w14:solidFill>
                    <w14:schemeClr w14:val="tx1"/>
                  </w14:solidFill>
                </w14:textFill>
              </w:rPr>
              <w:t>外</w:t>
            </w:r>
            <w:r>
              <w:rPr>
                <w:rFonts w:hint="eastAsia" w:ascii="宋体" w:hAnsi="宋体" w:eastAsia="宋体" w:cs="宋体"/>
                <w:color w:val="000000" w:themeColor="text1"/>
                <w:sz w:val="21"/>
                <w:szCs w:val="21"/>
                <w14:textFill>
                  <w14:solidFill>
                    <w14:schemeClr w14:val="tx1"/>
                  </w14:solidFill>
                </w14:textFill>
              </w:rPr>
              <w:t>运处理。</w:t>
            </w:r>
          </w:p>
        </w:tc>
        <w:tc>
          <w:tcPr>
            <w:tcW w:w="1738" w:type="dxa"/>
            <w:vMerge w:val="continue"/>
            <w:vAlign w:val="center"/>
          </w:tcPr>
          <w:p w14:paraId="05565B0C">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862" w:type="dxa"/>
            <w:vAlign w:val="center"/>
          </w:tcPr>
          <w:p w14:paraId="2DDAC901">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642" w:type="dxa"/>
            <w:vAlign w:val="center"/>
          </w:tcPr>
          <w:p w14:paraId="3BDBA5D4">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71186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0673A698">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4782" w:type="dxa"/>
            <w:vAlign w:val="center"/>
          </w:tcPr>
          <w:p w14:paraId="47C9ABE7">
            <w:pPr>
              <w:keepNext w:val="0"/>
              <w:keepLines w:val="0"/>
              <w:pageBreakBefore w:val="0"/>
              <w:widowControl w:val="0"/>
              <w:kinsoku/>
              <w:wordWrap/>
              <w:overflowPunct/>
              <w:topLinePunct w:val="0"/>
              <w:autoSpaceDE/>
              <w:autoSpaceDN/>
              <w:bidi w:val="0"/>
              <w:adjustRightInd/>
              <w:snapToGrid/>
              <w:spacing w:beforeLines="0" w:afterLines="0"/>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生活污水：场区设移动式防渗</w:t>
            </w:r>
            <w:r>
              <w:rPr>
                <w:rFonts w:hint="eastAsia" w:ascii="Times New Roman" w:hAnsi="Times New Roman" w:eastAsia="宋体" w:cs="Times New Roman"/>
                <w:color w:val="000000" w:themeColor="text1"/>
                <w:sz w:val="21"/>
                <w:szCs w:val="24"/>
                <w:lang w:val="en-US" w:eastAsia="zh-CN"/>
                <w14:textFill>
                  <w14:solidFill>
                    <w14:schemeClr w14:val="tx1"/>
                  </w14:solidFill>
                </w14:textFill>
              </w:rPr>
              <w:t>卫生</w:t>
            </w:r>
            <w:r>
              <w:rPr>
                <w:rFonts w:hint="default" w:ascii="Times New Roman" w:hAnsi="Times New Roman" w:eastAsia="宋体" w:cs="Times New Roman"/>
                <w:color w:val="000000" w:themeColor="text1"/>
                <w:sz w:val="21"/>
                <w:szCs w:val="24"/>
                <w14:textFill>
                  <w14:solidFill>
                    <w14:schemeClr w14:val="tx1"/>
                  </w14:solidFill>
                </w14:textFill>
              </w:rPr>
              <w:t>旱厕，定期清掏用作周边农田堆肥。</w:t>
            </w:r>
          </w:p>
        </w:tc>
        <w:tc>
          <w:tcPr>
            <w:tcW w:w="1738" w:type="dxa"/>
            <w:vMerge w:val="continue"/>
            <w:vAlign w:val="center"/>
          </w:tcPr>
          <w:p w14:paraId="639DC652">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862" w:type="dxa"/>
            <w:vAlign w:val="center"/>
          </w:tcPr>
          <w:p w14:paraId="124EC2EF">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642" w:type="dxa"/>
            <w:vAlign w:val="center"/>
          </w:tcPr>
          <w:p w14:paraId="5DA80E81">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18C9A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04AC8BDD">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地下水及土壤环境</w:t>
            </w:r>
          </w:p>
        </w:tc>
        <w:tc>
          <w:tcPr>
            <w:tcW w:w="4782" w:type="dxa"/>
            <w:vAlign w:val="center"/>
          </w:tcPr>
          <w:p w14:paraId="07131BC5">
            <w:pPr>
              <w:numPr>
                <w:ilvl w:val="0"/>
                <w:numId w:val="0"/>
              </w:numPr>
              <w:jc w:val="both"/>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重</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点防渗区地面底部利用机械将衬层压实，四周用土堆成简易围堰，围堰内地面连同四周的土围堰整体铺设防渗材料（HDPE膜</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，双层</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），等效黏土防渗层Mb≥6.0m，K≤1×10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cm/s，HDPE膜敷设面积应适当扩大，覆盖围堰区外延1.0m范围；</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放喷池</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防渗措施：</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罐</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底填筑一定厚度的土壤后压实，</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罐</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底及四周铺设</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防渗膜</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作防渗漏处理，</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防渗膜</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搭接长度不小于300mm，等效黏土防渗层Mb≥6.0m，K≤1×10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cm/s；危废</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贮存库</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防渗措施：采用撬装式危废</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贮存库</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，防渗同时可满足《危险废物贮存污染控制标准》(GB18597-2023)的相关要求，防渗层渗透系数小于1×10</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cm/s。</w:t>
            </w:r>
          </w:p>
        </w:tc>
        <w:tc>
          <w:tcPr>
            <w:tcW w:w="1738" w:type="dxa"/>
            <w:vAlign w:val="center"/>
          </w:tcPr>
          <w:p w14:paraId="5A8DD908">
            <w:pPr>
              <w:numPr>
                <w:ilvl w:val="0"/>
                <w:numId w:val="0"/>
              </w:numPr>
              <w:jc w:val="both"/>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施工现场无遗留废水、固体废物等可能对地下水及土壤环境造成影响的污染物；污染物均得到妥善处置</w:t>
            </w:r>
          </w:p>
        </w:tc>
        <w:tc>
          <w:tcPr>
            <w:tcW w:w="862" w:type="dxa"/>
            <w:vAlign w:val="center"/>
          </w:tcPr>
          <w:p w14:paraId="2F7B3914">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642" w:type="dxa"/>
            <w:vAlign w:val="center"/>
          </w:tcPr>
          <w:p w14:paraId="24468261">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2E184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1041E89F">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声环境</w:t>
            </w:r>
          </w:p>
        </w:tc>
        <w:tc>
          <w:tcPr>
            <w:tcW w:w="4782" w:type="dxa"/>
            <w:vAlign w:val="center"/>
          </w:tcPr>
          <w:p w14:paraId="032668C5">
            <w:pPr>
              <w:spacing w:beforeLines="0" w:afterLines="0"/>
              <w:jc w:val="left"/>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采用符合国家规定的设备；严格控制高噪声设备运行时间段，加强施工管理；泥浆泵加衬弹性垫料，管理和作业过程中平稳操作，避免特种作业时产生非正常的噪声；</w:t>
            </w:r>
            <w:r>
              <w:rPr>
                <w:rFonts w:hint="eastAsia" w:ascii="Times New Roman" w:hAnsi="Times New Roman" w:eastAsia="宋体" w:cs="Times New Roman"/>
                <w:color w:val="000000" w:themeColor="text1"/>
                <w:sz w:val="21"/>
                <w:szCs w:val="24"/>
                <w:lang w:val="en-US" w:eastAsia="zh-CN"/>
                <w14:textFill>
                  <w14:solidFill>
                    <w14:schemeClr w14:val="tx1"/>
                  </w14:solidFill>
                </w14:textFill>
              </w:rPr>
              <w:t>压裂车设置隔声设备，仅在白天运行</w:t>
            </w:r>
            <w:r>
              <w:rPr>
                <w:rFonts w:hint="default" w:ascii="Times New Roman" w:hAnsi="Times New Roman" w:eastAsia="宋体" w:cs="Times New Roman"/>
                <w:color w:val="000000" w:themeColor="text1"/>
                <w:sz w:val="21"/>
                <w:szCs w:val="24"/>
                <w14:textFill>
                  <w14:solidFill>
                    <w14:schemeClr w14:val="tx1"/>
                  </w14:solidFill>
                </w14:textFill>
              </w:rPr>
              <w:t>等</w:t>
            </w:r>
          </w:p>
        </w:tc>
        <w:tc>
          <w:tcPr>
            <w:tcW w:w="1738" w:type="dxa"/>
            <w:vAlign w:val="center"/>
          </w:tcPr>
          <w:p w14:paraId="4457214D">
            <w:pPr>
              <w:keepNext w:val="0"/>
              <w:keepLines w:val="0"/>
              <w:pageBreakBefore w:val="0"/>
              <w:widowControl w:val="0"/>
              <w:kinsoku/>
              <w:wordWrap/>
              <w:overflowPunct/>
              <w:topLinePunct w:val="0"/>
              <w:autoSpaceDE/>
              <w:autoSpaceDN/>
              <w:bidi w:val="0"/>
              <w:adjustRightInd/>
              <w:snapToGrid/>
              <w:spacing w:beforeLines="0" w:afterLines="0"/>
              <w:jc w:val="both"/>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满足《建筑施工场界环境噪声排放标准》（</w:t>
            </w:r>
            <w:r>
              <w:rPr>
                <w:rFonts w:hint="default" w:ascii="Times New Roman" w:hAnsi="Times New Roman" w:eastAsia="TimesNewRomanPSMT" w:cs="Times New Roman"/>
                <w:color w:val="000000" w:themeColor="text1"/>
                <w:sz w:val="21"/>
                <w:szCs w:val="24"/>
                <w14:textFill>
                  <w14:solidFill>
                    <w14:schemeClr w14:val="tx1"/>
                  </w14:solidFill>
                </w14:textFill>
              </w:rPr>
              <w:t>GB12523-2011</w:t>
            </w:r>
            <w:r>
              <w:rPr>
                <w:rFonts w:hint="default" w:ascii="Times New Roman" w:hAnsi="Times New Roman" w:eastAsia="宋体" w:cs="Times New Roman"/>
                <w:color w:val="000000" w:themeColor="text1"/>
                <w:sz w:val="21"/>
                <w:szCs w:val="24"/>
                <w14:textFill>
                  <w14:solidFill>
                    <w14:schemeClr w14:val="tx1"/>
                  </w14:solidFill>
                </w14:textFill>
              </w:rPr>
              <w:t>）中限值要求</w:t>
            </w:r>
          </w:p>
        </w:tc>
        <w:tc>
          <w:tcPr>
            <w:tcW w:w="862" w:type="dxa"/>
            <w:vAlign w:val="center"/>
          </w:tcPr>
          <w:p w14:paraId="28F75C5E">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642" w:type="dxa"/>
            <w:vAlign w:val="center"/>
          </w:tcPr>
          <w:p w14:paraId="5622B860">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1FCE1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2E153457">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振动</w:t>
            </w:r>
          </w:p>
        </w:tc>
        <w:tc>
          <w:tcPr>
            <w:tcW w:w="4782" w:type="dxa"/>
            <w:vAlign w:val="center"/>
          </w:tcPr>
          <w:p w14:paraId="7818B9C3">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1738" w:type="dxa"/>
            <w:vAlign w:val="center"/>
          </w:tcPr>
          <w:p w14:paraId="4EDEBCB7">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862" w:type="dxa"/>
            <w:vAlign w:val="center"/>
          </w:tcPr>
          <w:p w14:paraId="759B5848">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642" w:type="dxa"/>
            <w:vAlign w:val="center"/>
          </w:tcPr>
          <w:p w14:paraId="37EE8774">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72C00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4A7F9E55">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大气环境</w:t>
            </w:r>
          </w:p>
        </w:tc>
        <w:tc>
          <w:tcPr>
            <w:tcW w:w="4782" w:type="dxa"/>
            <w:vAlign w:val="center"/>
          </w:tcPr>
          <w:p w14:paraId="2F65841C">
            <w:pPr>
              <w:spacing w:beforeLines="0" w:afterLines="0"/>
              <w:jc w:val="left"/>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施工扬尘：施工场地围挡、物料堆放覆盖、洒水降尘、土方开挖湿法作业；利用现有道路运输；重污染天气严禁开挖等作业；禁止就地焚烧固体废弃物等。</w:t>
            </w:r>
          </w:p>
        </w:tc>
        <w:tc>
          <w:tcPr>
            <w:tcW w:w="1738" w:type="dxa"/>
            <w:vAlign w:val="center"/>
          </w:tcPr>
          <w:p w14:paraId="154DB631">
            <w:pPr>
              <w:spacing w:beforeLines="0" w:afterLines="0"/>
              <w:jc w:val="left"/>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达到《施工场界扬尘排放限值》（</w:t>
            </w:r>
            <w:r>
              <w:rPr>
                <w:rFonts w:hint="default" w:ascii="Times New Roman" w:hAnsi="Times New Roman" w:eastAsia="TimesNewRomanPSMT" w:cs="Times New Roman"/>
                <w:color w:val="000000" w:themeColor="text1"/>
                <w:sz w:val="21"/>
                <w:szCs w:val="24"/>
                <w14:textFill>
                  <w14:solidFill>
                    <w14:schemeClr w14:val="tx1"/>
                  </w14:solidFill>
                </w14:textFill>
              </w:rPr>
              <w:t>DB61/1078-2017</w:t>
            </w:r>
            <w:r>
              <w:rPr>
                <w:rFonts w:hint="default" w:ascii="Times New Roman" w:hAnsi="Times New Roman" w:eastAsia="宋体" w:cs="Times New Roman"/>
                <w:color w:val="000000" w:themeColor="text1"/>
                <w:sz w:val="21"/>
                <w:szCs w:val="24"/>
                <w14:textFill>
                  <w14:solidFill>
                    <w14:schemeClr w14:val="tx1"/>
                  </w14:solidFill>
                </w14:textFill>
              </w:rPr>
              <w:t>）的相关要求</w:t>
            </w:r>
          </w:p>
        </w:tc>
        <w:tc>
          <w:tcPr>
            <w:tcW w:w="862" w:type="dxa"/>
            <w:vAlign w:val="center"/>
          </w:tcPr>
          <w:p w14:paraId="78B8C71A">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642" w:type="dxa"/>
            <w:vAlign w:val="center"/>
          </w:tcPr>
          <w:p w14:paraId="6A0E82D5">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62352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restart"/>
            <w:vAlign w:val="center"/>
          </w:tcPr>
          <w:p w14:paraId="58C5C430">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固体废物</w:t>
            </w:r>
          </w:p>
        </w:tc>
        <w:tc>
          <w:tcPr>
            <w:tcW w:w="4782" w:type="dxa"/>
            <w:vAlign w:val="center"/>
          </w:tcPr>
          <w:p w14:paraId="0F26BDB5">
            <w:pPr>
              <w:adjustRightInd w:val="0"/>
              <w:snapToGrid w:val="0"/>
              <w:jc w:val="left"/>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泥饼</w:t>
            </w:r>
            <w:r>
              <w:rPr>
                <w:rFonts w:hint="default" w:ascii="Times New Roman" w:hAnsi="Times New Roman" w:eastAsia="宋体" w:cs="Times New Roman"/>
                <w:color w:val="000000" w:themeColor="text1"/>
                <w:sz w:val="21"/>
                <w:szCs w:val="24"/>
                <w14:textFill>
                  <w14:solidFill>
                    <w14:schemeClr w14:val="tx1"/>
                  </w14:solidFill>
                </w14:textFill>
              </w:rPr>
              <w:t>、岩屑：</w:t>
            </w:r>
            <w:r>
              <w:rPr>
                <w:rFonts w:hint="eastAsia" w:ascii="Times New Roman" w:hAnsi="Times New Roman" w:eastAsia="宋体" w:cs="宋体"/>
                <w:color w:val="000000" w:themeColor="text1"/>
                <w:sz w:val="21"/>
                <w:szCs w:val="21"/>
                <w14:textFill>
                  <w14:solidFill>
                    <w14:schemeClr w14:val="tx1"/>
                  </w14:solidFill>
                </w14:textFill>
              </w:rPr>
              <w:t>由移动式收集罐统一收集，</w:t>
            </w:r>
            <w:r>
              <w:rPr>
                <w:rFonts w:hint="default" w:ascii="Times New Roman" w:hAnsi="Times New Roman" w:cs="Times New Roman"/>
                <w:color w:val="000000" w:themeColor="text1"/>
                <w:sz w:val="21"/>
                <w:szCs w:val="21"/>
                <w:lang w:val="en-US" w:eastAsia="zh-CN"/>
                <w14:textFill>
                  <w14:solidFill>
                    <w14:schemeClr w14:val="tx1"/>
                  </w14:solidFill>
                </w14:textFill>
              </w:rPr>
              <w:t>委托</w:t>
            </w:r>
            <w:r>
              <w:rPr>
                <w:rFonts w:hint="default" w:ascii="Times New Roman" w:hAnsi="Times New Roman" w:eastAsia="宋体" w:cs="Times New Roman"/>
                <w:color w:val="000000" w:themeColor="text1"/>
                <w:sz w:val="21"/>
                <w:szCs w:val="21"/>
                <w:lang w:eastAsia="zh-CN"/>
                <w14:textFill>
                  <w14:solidFill>
                    <w14:schemeClr w14:val="tx1"/>
                  </w14:solidFill>
                </w14:textFill>
              </w:rPr>
              <w:t>陕西</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德禾鑫盛环保科技有限公司</w:t>
            </w:r>
            <w:r>
              <w:rPr>
                <w:rFonts w:hint="default" w:ascii="Times New Roman" w:hAnsi="Times New Roman" w:cs="Times New Roman"/>
                <w:color w:val="000000" w:themeColor="text1"/>
                <w:sz w:val="21"/>
                <w:szCs w:val="21"/>
                <w:lang w:val="en-US" w:eastAsia="zh-CN"/>
                <w14:textFill>
                  <w14:solidFill>
                    <w14:schemeClr w14:val="tx1"/>
                  </w14:solidFill>
                </w14:textFill>
              </w:rPr>
              <w:t>外运处置</w:t>
            </w: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1738" w:type="dxa"/>
            <w:vMerge w:val="restart"/>
            <w:vAlign w:val="center"/>
          </w:tcPr>
          <w:p w14:paraId="03D36279">
            <w:pPr>
              <w:spacing w:beforeLines="0" w:afterLines="0"/>
              <w:jc w:val="left"/>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合理妥善处置；施工现场无遗留固体废弃物</w:t>
            </w:r>
          </w:p>
        </w:tc>
        <w:tc>
          <w:tcPr>
            <w:tcW w:w="862" w:type="dxa"/>
            <w:vAlign w:val="center"/>
          </w:tcPr>
          <w:p w14:paraId="654B895D">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642" w:type="dxa"/>
            <w:vAlign w:val="center"/>
          </w:tcPr>
          <w:p w14:paraId="0C881D1A">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31D4E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62F3F383">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4782" w:type="dxa"/>
            <w:vAlign w:val="center"/>
          </w:tcPr>
          <w:p w14:paraId="26AD65CE">
            <w:pPr>
              <w:spacing w:beforeLines="0" w:afterLines="0"/>
              <w:jc w:val="left"/>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废机油、沾染危险废物的废防渗膜：暂存于</w:t>
            </w:r>
            <w:r>
              <w:rPr>
                <w:rFonts w:hint="eastAsia" w:ascii="Times New Roman" w:hAnsi="Times New Roman" w:eastAsia="宋体" w:cs="Times New Roman"/>
                <w:color w:val="000000" w:themeColor="text1"/>
                <w:sz w:val="21"/>
                <w:szCs w:val="24"/>
                <w:lang w:eastAsia="zh-CN"/>
                <w14:textFill>
                  <w14:solidFill>
                    <w14:schemeClr w14:val="tx1"/>
                  </w14:solidFill>
                </w14:textFill>
              </w:rPr>
              <w:t>危废贮存库</w:t>
            </w:r>
            <w:r>
              <w:rPr>
                <w:rFonts w:hint="default" w:ascii="Times New Roman" w:hAnsi="Times New Roman" w:eastAsia="宋体" w:cs="Times New Roman"/>
                <w:color w:val="000000" w:themeColor="text1"/>
                <w:sz w:val="21"/>
                <w:szCs w:val="24"/>
                <w14:textFill>
                  <w14:solidFill>
                    <w14:schemeClr w14:val="tx1"/>
                  </w14:solidFill>
                </w14:textFill>
              </w:rPr>
              <w:t>，委托有资质单位处置。</w:t>
            </w:r>
          </w:p>
        </w:tc>
        <w:tc>
          <w:tcPr>
            <w:tcW w:w="1738" w:type="dxa"/>
            <w:vMerge w:val="continue"/>
            <w:vAlign w:val="center"/>
          </w:tcPr>
          <w:p w14:paraId="304839F0">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862" w:type="dxa"/>
            <w:vAlign w:val="center"/>
          </w:tcPr>
          <w:p w14:paraId="68304D75">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642" w:type="dxa"/>
            <w:vAlign w:val="center"/>
          </w:tcPr>
          <w:p w14:paraId="1C65EFB2">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7817F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2E830EC0">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4782" w:type="dxa"/>
            <w:vAlign w:val="center"/>
          </w:tcPr>
          <w:p w14:paraId="3D0119C6">
            <w:pPr>
              <w:spacing w:beforeLines="0" w:afterLines="0"/>
              <w:jc w:val="left"/>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生活垃圾：集中收集，委托当地环卫部门清运处置</w:t>
            </w:r>
          </w:p>
        </w:tc>
        <w:tc>
          <w:tcPr>
            <w:tcW w:w="1738" w:type="dxa"/>
            <w:vMerge w:val="continue"/>
            <w:vAlign w:val="center"/>
          </w:tcPr>
          <w:p w14:paraId="21F8FE10">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862" w:type="dxa"/>
            <w:vAlign w:val="center"/>
          </w:tcPr>
          <w:p w14:paraId="29AAFC6A">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642" w:type="dxa"/>
            <w:vAlign w:val="center"/>
          </w:tcPr>
          <w:p w14:paraId="6A1E5058">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0027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116A6AFB">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4782" w:type="dxa"/>
            <w:vAlign w:val="center"/>
          </w:tcPr>
          <w:p w14:paraId="249247C1">
            <w:pPr>
              <w:spacing w:beforeLines="0" w:afterLines="0"/>
              <w:jc w:val="left"/>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废包装袋、废防渗膜（一般固废）：集中收集后交由物资回收公司回收处置</w:t>
            </w:r>
          </w:p>
        </w:tc>
        <w:tc>
          <w:tcPr>
            <w:tcW w:w="1738" w:type="dxa"/>
            <w:vMerge w:val="continue"/>
            <w:vAlign w:val="center"/>
          </w:tcPr>
          <w:p w14:paraId="35477D07">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862" w:type="dxa"/>
            <w:vAlign w:val="center"/>
          </w:tcPr>
          <w:p w14:paraId="30EA4893">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642" w:type="dxa"/>
            <w:vAlign w:val="center"/>
          </w:tcPr>
          <w:p w14:paraId="7EB4BE69">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31B4F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12DD9430">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电磁环境</w:t>
            </w:r>
          </w:p>
        </w:tc>
        <w:tc>
          <w:tcPr>
            <w:tcW w:w="4782" w:type="dxa"/>
            <w:vAlign w:val="center"/>
          </w:tcPr>
          <w:p w14:paraId="635DE0FA">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1738" w:type="dxa"/>
            <w:vAlign w:val="center"/>
          </w:tcPr>
          <w:p w14:paraId="35D86177">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862" w:type="dxa"/>
            <w:vAlign w:val="center"/>
          </w:tcPr>
          <w:p w14:paraId="12D12C8B">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642" w:type="dxa"/>
            <w:vAlign w:val="center"/>
          </w:tcPr>
          <w:p w14:paraId="2B4CA6C7">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625E1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2F2DE413">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环境风险</w:t>
            </w:r>
          </w:p>
        </w:tc>
        <w:tc>
          <w:tcPr>
            <w:tcW w:w="4782" w:type="dxa"/>
            <w:vAlign w:val="center"/>
          </w:tcPr>
          <w:p w14:paraId="72CFFAE9">
            <w:pPr>
              <w:spacing w:beforeLines="0" w:afterLines="0"/>
              <w:jc w:val="left"/>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井口安装防喷器和控制装置，定期检查与维护；对废水罐区、泥浆不落地装置区、原辅料存放区、</w:t>
            </w:r>
            <w:r>
              <w:rPr>
                <w:rFonts w:hint="eastAsia" w:ascii="Times New Roman" w:hAnsi="Times New Roman" w:eastAsia="宋体" w:cs="Times New Roman"/>
                <w:color w:val="000000" w:themeColor="text1"/>
                <w:sz w:val="21"/>
                <w:szCs w:val="24"/>
                <w:lang w:val="en-US" w:eastAsia="zh-CN"/>
                <w14:textFill>
                  <w14:solidFill>
                    <w14:schemeClr w14:val="tx1"/>
                  </w14:solidFill>
                </w14:textFill>
              </w:rPr>
              <w:t>危废贮存库</w:t>
            </w:r>
            <w:r>
              <w:rPr>
                <w:rFonts w:hint="default" w:ascii="Times New Roman" w:hAnsi="Times New Roman" w:eastAsia="宋体" w:cs="Times New Roman"/>
                <w:color w:val="000000" w:themeColor="text1"/>
                <w:sz w:val="21"/>
                <w:szCs w:val="24"/>
                <w14:textFill>
                  <w14:solidFill>
                    <w14:schemeClr w14:val="tx1"/>
                  </w14:solidFill>
                </w14:textFill>
              </w:rPr>
              <w:t>进行重点防渗处理，采取基础黏土防渗</w:t>
            </w:r>
            <w:r>
              <w:rPr>
                <w:rFonts w:hint="default" w:ascii="Times New Roman" w:hAnsi="Times New Roman" w:eastAsia="TimesNewRomanPSMT" w:cs="Times New Roman"/>
                <w:color w:val="000000" w:themeColor="text1"/>
                <w:sz w:val="21"/>
                <w:szCs w:val="24"/>
                <w14:textFill>
                  <w14:solidFill>
                    <w14:schemeClr w14:val="tx1"/>
                  </w14:solidFill>
                </w14:textFill>
              </w:rPr>
              <w:t>+</w:t>
            </w:r>
            <w:r>
              <w:rPr>
                <w:rFonts w:hint="default" w:ascii="Times New Roman" w:hAnsi="Times New Roman" w:eastAsia="宋体" w:cs="Times New Roman"/>
                <w:color w:val="000000" w:themeColor="text1"/>
                <w:sz w:val="21"/>
                <w:szCs w:val="24"/>
                <w14:textFill>
                  <w14:solidFill>
                    <w14:schemeClr w14:val="tx1"/>
                  </w14:solidFill>
                </w14:textFill>
              </w:rPr>
              <w:t>双层防渗布的措施，并定期巡查。</w:t>
            </w:r>
          </w:p>
        </w:tc>
        <w:tc>
          <w:tcPr>
            <w:tcW w:w="1738" w:type="dxa"/>
            <w:vAlign w:val="center"/>
          </w:tcPr>
          <w:p w14:paraId="14FC8BF6">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环境风险可控</w:t>
            </w:r>
          </w:p>
        </w:tc>
        <w:tc>
          <w:tcPr>
            <w:tcW w:w="862" w:type="dxa"/>
            <w:vAlign w:val="center"/>
          </w:tcPr>
          <w:p w14:paraId="3301A9C0">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642" w:type="dxa"/>
            <w:vAlign w:val="center"/>
          </w:tcPr>
          <w:p w14:paraId="7C053C45">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1A33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5931009E">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环境监测</w:t>
            </w:r>
          </w:p>
        </w:tc>
        <w:tc>
          <w:tcPr>
            <w:tcW w:w="4782" w:type="dxa"/>
            <w:vAlign w:val="center"/>
          </w:tcPr>
          <w:p w14:paraId="4C6E583D">
            <w:pPr>
              <w:numPr>
                <w:ilvl w:val="0"/>
                <w:numId w:val="0"/>
              </w:numPr>
              <w:jc w:val="both"/>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根据监测计划进行监测</w:t>
            </w:r>
          </w:p>
        </w:tc>
        <w:tc>
          <w:tcPr>
            <w:tcW w:w="1738" w:type="dxa"/>
            <w:vAlign w:val="center"/>
          </w:tcPr>
          <w:p w14:paraId="6FE19ED0">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满足相关标准要求</w:t>
            </w:r>
          </w:p>
        </w:tc>
        <w:tc>
          <w:tcPr>
            <w:tcW w:w="862" w:type="dxa"/>
            <w:vAlign w:val="center"/>
          </w:tcPr>
          <w:p w14:paraId="1B45156C">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642" w:type="dxa"/>
            <w:vAlign w:val="center"/>
          </w:tcPr>
          <w:p w14:paraId="383C8FF8">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r w14:paraId="1B336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2A04B339">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其他</w:t>
            </w:r>
          </w:p>
        </w:tc>
        <w:tc>
          <w:tcPr>
            <w:tcW w:w="4782" w:type="dxa"/>
            <w:vAlign w:val="center"/>
          </w:tcPr>
          <w:p w14:paraId="3B95E2D9">
            <w:pPr>
              <w:spacing w:beforeLines="0" w:afterLines="0"/>
              <w:jc w:val="left"/>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加强施工管理，合理利用场地，严格控制施工范围，尽可能减少临时占地，严格执行《石油天然气钻井井控技术规范》，加强安全管理措施等。</w:t>
            </w:r>
          </w:p>
        </w:tc>
        <w:tc>
          <w:tcPr>
            <w:tcW w:w="1738" w:type="dxa"/>
            <w:vAlign w:val="center"/>
          </w:tcPr>
          <w:p w14:paraId="63153C40">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862" w:type="dxa"/>
            <w:vAlign w:val="center"/>
          </w:tcPr>
          <w:p w14:paraId="6A24F46B">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c>
          <w:tcPr>
            <w:tcW w:w="642" w:type="dxa"/>
            <w:vAlign w:val="center"/>
          </w:tcPr>
          <w:p w14:paraId="732E02BC">
            <w:pPr>
              <w:numPr>
                <w:ilvl w:val="0"/>
                <w:numId w:val="0"/>
              </w:num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w:t>
            </w:r>
          </w:p>
        </w:tc>
      </w:tr>
    </w:tbl>
    <w:p w14:paraId="634D13CE">
      <w:pPr>
        <w:numPr>
          <w:ilvl w:val="0"/>
          <w:numId w:val="0"/>
        </w:numPr>
        <w:ind w:leftChars="0"/>
        <w:jc w:val="both"/>
        <w:rPr>
          <w:rFonts w:hint="default" w:ascii="Times New Roman" w:hAnsi="Times New Roman" w:eastAsia="黑体" w:cs="Times New Roman"/>
          <w:b w:val="0"/>
          <w:bCs w:val="0"/>
          <w:color w:val="000000" w:themeColor="text1"/>
          <w:sz w:val="28"/>
          <w:szCs w:val="28"/>
          <w:lang w:val="en-US" w:eastAsia="zh-CN"/>
          <w14:textFill>
            <w14:solidFill>
              <w14:schemeClr w14:val="tx1"/>
            </w14:solidFill>
          </w14:textFill>
        </w:rPr>
        <w:sectPr>
          <w:pgSz w:w="11906" w:h="16838"/>
          <w:pgMar w:top="1417" w:right="1417" w:bottom="1417" w:left="1417" w:header="992" w:footer="896" w:gutter="0"/>
          <w:pgBorders>
            <w:top w:val="none" w:sz="0" w:space="0"/>
            <w:left w:val="none" w:sz="0" w:space="0"/>
            <w:bottom w:val="none" w:sz="0" w:space="0"/>
            <w:right w:val="none" w:sz="0" w:space="0"/>
          </w:pgBorders>
          <w:pgNumType w:fmt="decimal"/>
          <w:cols w:space="0" w:num="1"/>
          <w:rtlGutter w:val="0"/>
          <w:docGrid w:type="lines" w:linePitch="318" w:charSpace="0"/>
        </w:sectPr>
      </w:pPr>
    </w:p>
    <w:p w14:paraId="5C8ACAB4">
      <w:pPr>
        <w:numPr>
          <w:ilvl w:val="0"/>
          <w:numId w:val="4"/>
        </w:numPr>
        <w:ind w:left="0" w:leftChars="0" w:firstLine="0" w:firstLineChars="0"/>
        <w:jc w:val="center"/>
        <w:rPr>
          <w:rFonts w:hint="default" w:ascii="Times New Roman" w:hAnsi="Times New Roman" w:eastAsia="黑体" w:cs="Times New Roman"/>
          <w:b w:val="0"/>
          <w:bCs w:val="0"/>
          <w:color w:val="000000" w:themeColor="text1"/>
          <w:sz w:val="28"/>
          <w:szCs w:val="28"/>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8"/>
          <w:szCs w:val="28"/>
          <w:lang w:val="en-US" w:eastAsia="zh-CN"/>
          <w14:textFill>
            <w14:solidFill>
              <w14:schemeClr w14:val="tx1"/>
            </w14:solidFill>
          </w14:textFill>
        </w:rPr>
        <w:t>结论</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54665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vAlign w:val="center"/>
          </w:tcPr>
          <w:p w14:paraId="71A487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各井场</w:t>
            </w:r>
            <w:r>
              <w:rPr>
                <w:rFonts w:hint="eastAsia"/>
                <w:color w:val="000000" w:themeColor="text1"/>
                <w:sz w:val="24"/>
                <w:szCs w:val="24"/>
                <w14:textFill>
                  <w14:solidFill>
                    <w14:schemeClr w14:val="tx1"/>
                  </w14:solidFill>
                </w14:textFill>
              </w:rPr>
              <w:t>建设符合国家产业政策和相关法规、技术规范、政策要求，选址合理，项目建设环境影响主要集中在施工期，在严格执行本评价提出的各项污染防治措施、生态保护措施和风险防范措施后，项目建设对环境影响较小。从环境保护角度</w:t>
            </w:r>
            <w:r>
              <w:rPr>
                <w:rFonts w:hint="eastAsia"/>
                <w:color w:val="000000" w:themeColor="text1"/>
                <w:sz w:val="24"/>
                <w:szCs w:val="24"/>
                <w:lang w:val="en-US" w:eastAsia="zh-CN"/>
                <w14:textFill>
                  <w14:solidFill>
                    <w14:schemeClr w14:val="tx1"/>
                  </w14:solidFill>
                </w14:textFill>
              </w:rPr>
              <w:t>分析</w:t>
            </w:r>
            <w:r>
              <w:rPr>
                <w:rFonts w:hint="eastAsia"/>
                <w:color w:val="000000" w:themeColor="text1"/>
                <w:sz w:val="24"/>
                <w:szCs w:val="24"/>
                <w14:textFill>
                  <w14:solidFill>
                    <w14:schemeClr w14:val="tx1"/>
                  </w14:solidFill>
                </w14:textFill>
              </w:rPr>
              <w:t>，项目建设环境影响可行</w:t>
            </w:r>
            <w:r>
              <w:rPr>
                <w:rFonts w:hint="eastAsia"/>
                <w:color w:val="000000" w:themeColor="text1"/>
                <w:sz w:val="24"/>
                <w:szCs w:val="24"/>
                <w:lang w:eastAsia="zh-CN"/>
                <w14:textFill>
                  <w14:solidFill>
                    <w14:schemeClr w14:val="tx1"/>
                  </w14:solidFill>
                </w14:textFill>
              </w:rPr>
              <w:t>。</w:t>
            </w:r>
          </w:p>
          <w:p w14:paraId="4FF7F784">
            <w:pPr>
              <w:numPr>
                <w:ilvl w:val="0"/>
                <w:numId w:val="0"/>
              </w:numPr>
              <w:jc w:val="both"/>
              <w:rPr>
                <w:rFonts w:hint="default" w:ascii="Times New Roman" w:hAnsi="Times New Roman" w:eastAsia="黑体" w:cs="Times New Roman"/>
                <w:b w:val="0"/>
                <w:bCs w:val="0"/>
                <w:color w:val="000000" w:themeColor="text1"/>
                <w:sz w:val="28"/>
                <w:szCs w:val="28"/>
                <w:vertAlign w:val="baseline"/>
                <w:lang w:val="en-US" w:eastAsia="zh-CN"/>
                <w14:textFill>
                  <w14:solidFill>
                    <w14:schemeClr w14:val="tx1"/>
                  </w14:solidFill>
                </w14:textFill>
              </w:rPr>
            </w:pPr>
          </w:p>
          <w:p w14:paraId="68DAE2DB">
            <w:pPr>
              <w:numPr>
                <w:ilvl w:val="0"/>
                <w:numId w:val="0"/>
              </w:numPr>
              <w:jc w:val="both"/>
              <w:rPr>
                <w:rFonts w:hint="default" w:ascii="Times New Roman" w:hAnsi="Times New Roman" w:eastAsia="黑体" w:cs="Times New Roman"/>
                <w:b w:val="0"/>
                <w:bCs w:val="0"/>
                <w:color w:val="000000" w:themeColor="text1"/>
                <w:sz w:val="28"/>
                <w:szCs w:val="28"/>
                <w:vertAlign w:val="baseline"/>
                <w:lang w:val="en-US" w:eastAsia="zh-CN"/>
                <w14:textFill>
                  <w14:solidFill>
                    <w14:schemeClr w14:val="tx1"/>
                  </w14:solidFill>
                </w14:textFill>
              </w:rPr>
            </w:pPr>
          </w:p>
          <w:p w14:paraId="3A6A10B3">
            <w:pPr>
              <w:numPr>
                <w:ilvl w:val="0"/>
                <w:numId w:val="0"/>
              </w:numPr>
              <w:jc w:val="both"/>
              <w:rPr>
                <w:rFonts w:hint="default" w:ascii="Times New Roman" w:hAnsi="Times New Roman" w:eastAsia="黑体" w:cs="Times New Roman"/>
                <w:b w:val="0"/>
                <w:bCs w:val="0"/>
                <w:color w:val="000000" w:themeColor="text1"/>
                <w:sz w:val="28"/>
                <w:szCs w:val="28"/>
                <w:vertAlign w:val="baseline"/>
                <w:lang w:val="en-US" w:eastAsia="zh-CN"/>
                <w14:textFill>
                  <w14:solidFill>
                    <w14:schemeClr w14:val="tx1"/>
                  </w14:solidFill>
                </w14:textFill>
              </w:rPr>
            </w:pPr>
          </w:p>
          <w:p w14:paraId="545A746F">
            <w:pPr>
              <w:numPr>
                <w:ilvl w:val="0"/>
                <w:numId w:val="0"/>
              </w:numPr>
              <w:jc w:val="both"/>
              <w:rPr>
                <w:rFonts w:hint="default" w:ascii="Times New Roman" w:hAnsi="Times New Roman" w:eastAsia="黑体" w:cs="Times New Roman"/>
                <w:b w:val="0"/>
                <w:bCs w:val="0"/>
                <w:color w:val="000000" w:themeColor="text1"/>
                <w:sz w:val="28"/>
                <w:szCs w:val="28"/>
                <w:vertAlign w:val="baseline"/>
                <w:lang w:val="en-US" w:eastAsia="zh-CN"/>
                <w14:textFill>
                  <w14:solidFill>
                    <w14:schemeClr w14:val="tx1"/>
                  </w14:solidFill>
                </w14:textFill>
              </w:rPr>
            </w:pPr>
          </w:p>
          <w:p w14:paraId="00416841">
            <w:pPr>
              <w:numPr>
                <w:ilvl w:val="0"/>
                <w:numId w:val="0"/>
              </w:numPr>
              <w:jc w:val="both"/>
              <w:rPr>
                <w:rFonts w:hint="default" w:ascii="Times New Roman" w:hAnsi="Times New Roman" w:eastAsia="黑体" w:cs="Times New Roman"/>
                <w:b w:val="0"/>
                <w:bCs w:val="0"/>
                <w:color w:val="000000" w:themeColor="text1"/>
                <w:sz w:val="28"/>
                <w:szCs w:val="28"/>
                <w:vertAlign w:val="baseline"/>
                <w:lang w:val="en-US" w:eastAsia="zh-CN"/>
                <w14:textFill>
                  <w14:solidFill>
                    <w14:schemeClr w14:val="tx1"/>
                  </w14:solidFill>
                </w14:textFill>
              </w:rPr>
            </w:pPr>
          </w:p>
          <w:p w14:paraId="4CD3469A">
            <w:pPr>
              <w:numPr>
                <w:ilvl w:val="0"/>
                <w:numId w:val="0"/>
              </w:numPr>
              <w:jc w:val="both"/>
              <w:rPr>
                <w:rFonts w:hint="default" w:ascii="Times New Roman" w:hAnsi="Times New Roman" w:eastAsia="黑体" w:cs="Times New Roman"/>
                <w:b w:val="0"/>
                <w:bCs w:val="0"/>
                <w:color w:val="000000" w:themeColor="text1"/>
                <w:sz w:val="28"/>
                <w:szCs w:val="28"/>
                <w:vertAlign w:val="baseline"/>
                <w:lang w:val="en-US" w:eastAsia="zh-CN"/>
                <w14:textFill>
                  <w14:solidFill>
                    <w14:schemeClr w14:val="tx1"/>
                  </w14:solidFill>
                </w14:textFill>
              </w:rPr>
            </w:pPr>
          </w:p>
          <w:p w14:paraId="7984097C">
            <w:pPr>
              <w:numPr>
                <w:ilvl w:val="0"/>
                <w:numId w:val="0"/>
              </w:numPr>
              <w:jc w:val="both"/>
              <w:rPr>
                <w:rFonts w:hint="default" w:ascii="Times New Roman" w:hAnsi="Times New Roman" w:eastAsia="黑体" w:cs="Times New Roman"/>
                <w:b w:val="0"/>
                <w:bCs w:val="0"/>
                <w:color w:val="000000" w:themeColor="text1"/>
                <w:sz w:val="28"/>
                <w:szCs w:val="28"/>
                <w:vertAlign w:val="baseline"/>
                <w:lang w:val="en-US" w:eastAsia="zh-CN"/>
                <w14:textFill>
                  <w14:solidFill>
                    <w14:schemeClr w14:val="tx1"/>
                  </w14:solidFill>
                </w14:textFill>
              </w:rPr>
            </w:pPr>
          </w:p>
          <w:p w14:paraId="69B2A3B9">
            <w:pPr>
              <w:numPr>
                <w:ilvl w:val="0"/>
                <w:numId w:val="0"/>
              </w:numPr>
              <w:jc w:val="both"/>
              <w:rPr>
                <w:rFonts w:hint="default" w:ascii="Times New Roman" w:hAnsi="Times New Roman" w:eastAsia="黑体" w:cs="Times New Roman"/>
                <w:b w:val="0"/>
                <w:bCs w:val="0"/>
                <w:color w:val="000000" w:themeColor="text1"/>
                <w:sz w:val="28"/>
                <w:szCs w:val="28"/>
                <w:vertAlign w:val="baseline"/>
                <w:lang w:val="en-US" w:eastAsia="zh-CN"/>
                <w14:textFill>
                  <w14:solidFill>
                    <w14:schemeClr w14:val="tx1"/>
                  </w14:solidFill>
                </w14:textFill>
              </w:rPr>
            </w:pPr>
          </w:p>
          <w:p w14:paraId="5EACB004">
            <w:pPr>
              <w:numPr>
                <w:ilvl w:val="0"/>
                <w:numId w:val="0"/>
              </w:numPr>
              <w:jc w:val="both"/>
              <w:rPr>
                <w:rFonts w:hint="default" w:ascii="Times New Roman" w:hAnsi="Times New Roman" w:eastAsia="黑体" w:cs="Times New Roman"/>
                <w:b w:val="0"/>
                <w:bCs w:val="0"/>
                <w:color w:val="000000" w:themeColor="text1"/>
                <w:sz w:val="28"/>
                <w:szCs w:val="28"/>
                <w:vertAlign w:val="baseline"/>
                <w:lang w:val="en-US" w:eastAsia="zh-CN"/>
                <w14:textFill>
                  <w14:solidFill>
                    <w14:schemeClr w14:val="tx1"/>
                  </w14:solidFill>
                </w14:textFill>
              </w:rPr>
            </w:pPr>
          </w:p>
          <w:p w14:paraId="6055DA0B">
            <w:pPr>
              <w:numPr>
                <w:ilvl w:val="0"/>
                <w:numId w:val="0"/>
              </w:numPr>
              <w:jc w:val="both"/>
              <w:rPr>
                <w:rFonts w:hint="default" w:ascii="Times New Roman" w:hAnsi="Times New Roman" w:eastAsia="黑体" w:cs="Times New Roman"/>
                <w:b w:val="0"/>
                <w:bCs w:val="0"/>
                <w:color w:val="000000" w:themeColor="text1"/>
                <w:sz w:val="28"/>
                <w:szCs w:val="28"/>
                <w:vertAlign w:val="baseline"/>
                <w:lang w:val="en-US" w:eastAsia="zh-CN"/>
                <w14:textFill>
                  <w14:solidFill>
                    <w14:schemeClr w14:val="tx1"/>
                  </w14:solidFill>
                </w14:textFill>
              </w:rPr>
            </w:pPr>
          </w:p>
          <w:p w14:paraId="140692AA">
            <w:pPr>
              <w:numPr>
                <w:ilvl w:val="0"/>
                <w:numId w:val="0"/>
              </w:numPr>
              <w:jc w:val="both"/>
              <w:rPr>
                <w:rFonts w:hint="default" w:ascii="Times New Roman" w:hAnsi="Times New Roman" w:eastAsia="黑体" w:cs="Times New Roman"/>
                <w:b w:val="0"/>
                <w:bCs w:val="0"/>
                <w:color w:val="000000" w:themeColor="text1"/>
                <w:sz w:val="28"/>
                <w:szCs w:val="28"/>
                <w:vertAlign w:val="baseline"/>
                <w:lang w:val="en-US" w:eastAsia="zh-CN"/>
                <w14:textFill>
                  <w14:solidFill>
                    <w14:schemeClr w14:val="tx1"/>
                  </w14:solidFill>
                </w14:textFill>
              </w:rPr>
            </w:pPr>
          </w:p>
          <w:p w14:paraId="6FD314BD">
            <w:pPr>
              <w:numPr>
                <w:ilvl w:val="0"/>
                <w:numId w:val="0"/>
              </w:numPr>
              <w:jc w:val="both"/>
              <w:rPr>
                <w:rFonts w:hint="default" w:ascii="Times New Roman" w:hAnsi="Times New Roman" w:eastAsia="黑体" w:cs="Times New Roman"/>
                <w:b w:val="0"/>
                <w:bCs w:val="0"/>
                <w:color w:val="000000" w:themeColor="text1"/>
                <w:sz w:val="28"/>
                <w:szCs w:val="28"/>
                <w:vertAlign w:val="baseline"/>
                <w:lang w:val="en-US" w:eastAsia="zh-CN"/>
                <w14:textFill>
                  <w14:solidFill>
                    <w14:schemeClr w14:val="tx1"/>
                  </w14:solidFill>
                </w14:textFill>
              </w:rPr>
            </w:pPr>
          </w:p>
          <w:p w14:paraId="1DC4AD7B">
            <w:pPr>
              <w:numPr>
                <w:ilvl w:val="0"/>
                <w:numId w:val="0"/>
              </w:numPr>
              <w:jc w:val="both"/>
              <w:rPr>
                <w:rFonts w:hint="default" w:ascii="Times New Roman" w:hAnsi="Times New Roman" w:eastAsia="黑体" w:cs="Times New Roman"/>
                <w:b w:val="0"/>
                <w:bCs w:val="0"/>
                <w:color w:val="000000" w:themeColor="text1"/>
                <w:sz w:val="28"/>
                <w:szCs w:val="28"/>
                <w:vertAlign w:val="baseline"/>
                <w:lang w:val="en-US" w:eastAsia="zh-CN"/>
                <w14:textFill>
                  <w14:solidFill>
                    <w14:schemeClr w14:val="tx1"/>
                  </w14:solidFill>
                </w14:textFill>
              </w:rPr>
            </w:pPr>
          </w:p>
          <w:p w14:paraId="2E08B8E6">
            <w:pPr>
              <w:numPr>
                <w:ilvl w:val="0"/>
                <w:numId w:val="0"/>
              </w:numPr>
              <w:jc w:val="both"/>
              <w:rPr>
                <w:rFonts w:hint="default" w:ascii="Times New Roman" w:hAnsi="Times New Roman" w:eastAsia="黑体" w:cs="Times New Roman"/>
                <w:b w:val="0"/>
                <w:bCs w:val="0"/>
                <w:color w:val="000000" w:themeColor="text1"/>
                <w:sz w:val="28"/>
                <w:szCs w:val="28"/>
                <w:vertAlign w:val="baseline"/>
                <w:lang w:val="en-US" w:eastAsia="zh-CN"/>
                <w14:textFill>
                  <w14:solidFill>
                    <w14:schemeClr w14:val="tx1"/>
                  </w14:solidFill>
                </w14:textFill>
              </w:rPr>
            </w:pPr>
          </w:p>
          <w:p w14:paraId="651FBB4D">
            <w:pPr>
              <w:numPr>
                <w:ilvl w:val="0"/>
                <w:numId w:val="0"/>
              </w:numPr>
              <w:jc w:val="both"/>
              <w:rPr>
                <w:rFonts w:hint="default" w:ascii="Times New Roman" w:hAnsi="Times New Roman" w:eastAsia="黑体" w:cs="Times New Roman"/>
                <w:b w:val="0"/>
                <w:bCs w:val="0"/>
                <w:color w:val="000000" w:themeColor="text1"/>
                <w:sz w:val="28"/>
                <w:szCs w:val="28"/>
                <w:vertAlign w:val="baseline"/>
                <w:lang w:val="en-US" w:eastAsia="zh-CN"/>
                <w14:textFill>
                  <w14:solidFill>
                    <w14:schemeClr w14:val="tx1"/>
                  </w14:solidFill>
                </w14:textFill>
              </w:rPr>
            </w:pPr>
          </w:p>
          <w:p w14:paraId="21A06687">
            <w:pPr>
              <w:numPr>
                <w:ilvl w:val="0"/>
                <w:numId w:val="0"/>
              </w:numPr>
              <w:jc w:val="both"/>
              <w:rPr>
                <w:rFonts w:hint="default" w:ascii="Times New Roman" w:hAnsi="Times New Roman" w:eastAsia="黑体" w:cs="Times New Roman"/>
                <w:b w:val="0"/>
                <w:bCs w:val="0"/>
                <w:color w:val="000000" w:themeColor="text1"/>
                <w:sz w:val="28"/>
                <w:szCs w:val="28"/>
                <w:vertAlign w:val="baseline"/>
                <w:lang w:val="en-US" w:eastAsia="zh-CN"/>
                <w14:textFill>
                  <w14:solidFill>
                    <w14:schemeClr w14:val="tx1"/>
                  </w14:solidFill>
                </w14:textFill>
              </w:rPr>
            </w:pPr>
          </w:p>
          <w:p w14:paraId="2488CC6E">
            <w:pPr>
              <w:numPr>
                <w:ilvl w:val="0"/>
                <w:numId w:val="0"/>
              </w:numPr>
              <w:jc w:val="both"/>
              <w:rPr>
                <w:rFonts w:hint="default" w:ascii="Times New Roman" w:hAnsi="Times New Roman" w:eastAsia="黑体" w:cs="Times New Roman"/>
                <w:b w:val="0"/>
                <w:bCs w:val="0"/>
                <w:color w:val="000000" w:themeColor="text1"/>
                <w:sz w:val="28"/>
                <w:szCs w:val="28"/>
                <w:vertAlign w:val="baseline"/>
                <w:lang w:val="en-US" w:eastAsia="zh-CN"/>
                <w14:textFill>
                  <w14:solidFill>
                    <w14:schemeClr w14:val="tx1"/>
                  </w14:solidFill>
                </w14:textFill>
              </w:rPr>
            </w:pPr>
          </w:p>
        </w:tc>
      </w:tr>
    </w:tbl>
    <w:p w14:paraId="53565F8F">
      <w:pPr>
        <w:numPr>
          <w:ilvl w:val="0"/>
          <w:numId w:val="0"/>
        </w:numPr>
        <w:ind w:leftChars="0"/>
        <w:jc w:val="both"/>
        <w:rPr>
          <w:rFonts w:hint="default" w:ascii="Times New Roman" w:hAnsi="Times New Roman" w:eastAsia="黑体" w:cs="Times New Roman"/>
          <w:b w:val="0"/>
          <w:bCs w:val="0"/>
          <w:color w:val="000000" w:themeColor="text1"/>
          <w:sz w:val="28"/>
          <w:szCs w:val="28"/>
          <w:lang w:val="en-US" w:eastAsia="zh-CN"/>
          <w14:textFill>
            <w14:solidFill>
              <w14:schemeClr w14:val="tx1"/>
            </w14:solidFill>
          </w14:textFill>
        </w:rPr>
      </w:pPr>
    </w:p>
    <w:sectPr>
      <w:pgSz w:w="11906" w:h="16838"/>
      <w:pgMar w:top="1417" w:right="1417" w:bottom="1417" w:left="1417" w:header="992" w:footer="896" w:gutter="0"/>
      <w:pgBorders>
        <w:top w:val="none" w:sz="0" w:space="0"/>
        <w:left w:val="none" w:sz="0" w:space="0"/>
        <w:bottom w:val="none" w:sz="0" w:space="0"/>
        <w:right w:val="none" w:sz="0" w:space="0"/>
      </w:pgBorders>
      <w:pgNumType w:fmt="decimal"/>
      <w:cols w:space="0" w:num="1"/>
      <w:rtlGutter w:val="0"/>
      <w:docGrid w:type="lines" w:linePitch="31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小标宋_GBK">
    <w:altName w:val="微软雅黑"/>
    <w:panose1 w:val="02000000000000000000"/>
    <w:charset w:val="86"/>
    <w:family w:val="script"/>
    <w:pitch w:val="default"/>
    <w:sig w:usb0="00000000" w:usb1="00000000" w:usb2="00082016" w:usb3="00000000" w:csb0="0004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DAF40">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91D50E">
                          <w:pPr>
                            <w:pStyle w:val="1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A91D50E">
                    <w:pPr>
                      <w:pStyle w:val="1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4CFF8B"/>
    <w:multiLevelType w:val="multilevel"/>
    <w:tmpl w:val="8D4CFF8B"/>
    <w:lvl w:ilvl="0" w:tentative="0">
      <w:start w:val="1"/>
      <w:numFmt w:val="decimal"/>
      <w:pStyle w:val="4"/>
      <w:lvlText w:val="%1."/>
      <w:lvlJc w:val="left"/>
      <w:pPr>
        <w:ind w:left="0" w:leftChars="0" w:firstLine="0" w:firstLineChars="0"/>
      </w:pPr>
      <w:rPr>
        <w:rFonts w:hint="default"/>
      </w:rPr>
    </w:lvl>
    <w:lvl w:ilvl="1" w:tentative="0">
      <w:start w:val="1"/>
      <w:numFmt w:val="decimal"/>
      <w:lvlText w:val="%1.%2."/>
      <w:lvlJc w:val="left"/>
      <w:pPr>
        <w:ind w:left="0" w:leftChars="0" w:firstLine="0" w:firstLineChars="0"/>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ADB9B55F"/>
    <w:multiLevelType w:val="singleLevel"/>
    <w:tmpl w:val="ADB9B55F"/>
    <w:lvl w:ilvl="0" w:tentative="0">
      <w:start w:val="5"/>
      <w:numFmt w:val="chineseCounting"/>
      <w:suff w:val="nothing"/>
      <w:lvlText w:val="%1、"/>
      <w:lvlJc w:val="left"/>
      <w:rPr>
        <w:rFonts w:hint="eastAsia"/>
      </w:rPr>
    </w:lvl>
  </w:abstractNum>
  <w:abstractNum w:abstractNumId="2">
    <w:nsid w:val="B41C1ECA"/>
    <w:multiLevelType w:val="singleLevel"/>
    <w:tmpl w:val="B41C1ECA"/>
    <w:lvl w:ilvl="0" w:tentative="0">
      <w:start w:val="2"/>
      <w:numFmt w:val="chineseCounting"/>
      <w:suff w:val="nothing"/>
      <w:lvlText w:val="%1、"/>
      <w:lvlJc w:val="left"/>
      <w:rPr>
        <w:rFonts w:hint="eastAsia"/>
      </w:rPr>
    </w:lvl>
  </w:abstractNum>
  <w:abstractNum w:abstractNumId="3">
    <w:nsid w:val="32149D62"/>
    <w:multiLevelType w:val="singleLevel"/>
    <w:tmpl w:val="32149D62"/>
    <w:lvl w:ilvl="0" w:tentative="0">
      <w:start w:val="1"/>
      <w:numFmt w:val="chineseCounting"/>
      <w:suff w:val="nothing"/>
      <w:lvlText w:val="%1、"/>
      <w:lvlJc w:val="left"/>
      <w:rPr>
        <w:rFonts w:hint="eastAsia"/>
      </w:rPr>
    </w:lvl>
  </w:abstractNum>
  <w:abstractNum w:abstractNumId="4">
    <w:nsid w:val="49C5845D"/>
    <w:multiLevelType w:val="singleLevel"/>
    <w:tmpl w:val="49C5845D"/>
    <w:lvl w:ilvl="0" w:tentative="0">
      <w:start w:val="1"/>
      <w:numFmt w:val="decimal"/>
      <w:suff w:val="nothing"/>
      <w:lvlText w:val="%1、"/>
      <w:lvlJc w:val="left"/>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EzZTUyNGQwZTBkNDhlZGFiNDgwNzBmZjUyMWUyZTIifQ=="/>
  </w:docVars>
  <w:rsids>
    <w:rsidRoot w:val="00172A27"/>
    <w:rsid w:val="00134CA1"/>
    <w:rsid w:val="00B2494E"/>
    <w:rsid w:val="01DF79C5"/>
    <w:rsid w:val="02906F11"/>
    <w:rsid w:val="039A281D"/>
    <w:rsid w:val="03CA6453"/>
    <w:rsid w:val="03D81701"/>
    <w:rsid w:val="04D20BB8"/>
    <w:rsid w:val="052120A3"/>
    <w:rsid w:val="0526590B"/>
    <w:rsid w:val="05D004D8"/>
    <w:rsid w:val="05EA5FAC"/>
    <w:rsid w:val="07BB2A7D"/>
    <w:rsid w:val="08AF5C17"/>
    <w:rsid w:val="09242161"/>
    <w:rsid w:val="09320F56"/>
    <w:rsid w:val="0968266D"/>
    <w:rsid w:val="09A3577C"/>
    <w:rsid w:val="0ACE6829"/>
    <w:rsid w:val="0AEB133D"/>
    <w:rsid w:val="0B4C4AD3"/>
    <w:rsid w:val="0BFA514F"/>
    <w:rsid w:val="0E2B79A6"/>
    <w:rsid w:val="0E63372C"/>
    <w:rsid w:val="0EB26C85"/>
    <w:rsid w:val="103F3D25"/>
    <w:rsid w:val="1068018E"/>
    <w:rsid w:val="10B92383"/>
    <w:rsid w:val="10DF55BC"/>
    <w:rsid w:val="11601843"/>
    <w:rsid w:val="119431BD"/>
    <w:rsid w:val="11A20BBD"/>
    <w:rsid w:val="136715C8"/>
    <w:rsid w:val="136E0C91"/>
    <w:rsid w:val="14151024"/>
    <w:rsid w:val="157804E9"/>
    <w:rsid w:val="15813FCC"/>
    <w:rsid w:val="16005D04"/>
    <w:rsid w:val="1743234C"/>
    <w:rsid w:val="17E37E5C"/>
    <w:rsid w:val="17F03118"/>
    <w:rsid w:val="18D3065E"/>
    <w:rsid w:val="190D676E"/>
    <w:rsid w:val="198B05F8"/>
    <w:rsid w:val="19D85808"/>
    <w:rsid w:val="1A6D4E7D"/>
    <w:rsid w:val="1AA55997"/>
    <w:rsid w:val="1B6805D3"/>
    <w:rsid w:val="1B761937"/>
    <w:rsid w:val="1B841906"/>
    <w:rsid w:val="1C8F582E"/>
    <w:rsid w:val="1D0504A8"/>
    <w:rsid w:val="1DC422F3"/>
    <w:rsid w:val="1F35288E"/>
    <w:rsid w:val="1FEC0668"/>
    <w:rsid w:val="20992FDD"/>
    <w:rsid w:val="20AB2356"/>
    <w:rsid w:val="21D73DBD"/>
    <w:rsid w:val="230010F2"/>
    <w:rsid w:val="23C87E61"/>
    <w:rsid w:val="24D06A69"/>
    <w:rsid w:val="25070584"/>
    <w:rsid w:val="254E0DAA"/>
    <w:rsid w:val="25EA16C0"/>
    <w:rsid w:val="2648502F"/>
    <w:rsid w:val="26C62652"/>
    <w:rsid w:val="2733555C"/>
    <w:rsid w:val="27EC0DA0"/>
    <w:rsid w:val="288640AE"/>
    <w:rsid w:val="28CB4154"/>
    <w:rsid w:val="29011EFD"/>
    <w:rsid w:val="2926268A"/>
    <w:rsid w:val="295D54F0"/>
    <w:rsid w:val="297B777B"/>
    <w:rsid w:val="298A5BB9"/>
    <w:rsid w:val="29CF0DBC"/>
    <w:rsid w:val="2A052684"/>
    <w:rsid w:val="2A954815"/>
    <w:rsid w:val="2A9A62D0"/>
    <w:rsid w:val="2CC52C74"/>
    <w:rsid w:val="2D9B0395"/>
    <w:rsid w:val="2E361A6C"/>
    <w:rsid w:val="2EA414CB"/>
    <w:rsid w:val="2F3E6E64"/>
    <w:rsid w:val="2FD85BE8"/>
    <w:rsid w:val="3034687E"/>
    <w:rsid w:val="32214117"/>
    <w:rsid w:val="323B4FF4"/>
    <w:rsid w:val="33424497"/>
    <w:rsid w:val="342F604B"/>
    <w:rsid w:val="3499449E"/>
    <w:rsid w:val="34A55C73"/>
    <w:rsid w:val="352252DB"/>
    <w:rsid w:val="352944D8"/>
    <w:rsid w:val="361231BE"/>
    <w:rsid w:val="388365F5"/>
    <w:rsid w:val="38A500E9"/>
    <w:rsid w:val="38D806EF"/>
    <w:rsid w:val="3920368E"/>
    <w:rsid w:val="394F0285"/>
    <w:rsid w:val="39507C97"/>
    <w:rsid w:val="39DB7D7F"/>
    <w:rsid w:val="3A4309FB"/>
    <w:rsid w:val="3A4937EB"/>
    <w:rsid w:val="3AA4715B"/>
    <w:rsid w:val="3D14194E"/>
    <w:rsid w:val="3D251A29"/>
    <w:rsid w:val="3D912B7A"/>
    <w:rsid w:val="3DAC214A"/>
    <w:rsid w:val="3DEB0EC4"/>
    <w:rsid w:val="3F1217B3"/>
    <w:rsid w:val="3F2635C5"/>
    <w:rsid w:val="401B0B1C"/>
    <w:rsid w:val="4041036B"/>
    <w:rsid w:val="40995C2D"/>
    <w:rsid w:val="41AC568B"/>
    <w:rsid w:val="436846ED"/>
    <w:rsid w:val="445C6678"/>
    <w:rsid w:val="448F7F10"/>
    <w:rsid w:val="45660E30"/>
    <w:rsid w:val="45B92F84"/>
    <w:rsid w:val="45EC3A2B"/>
    <w:rsid w:val="469D381F"/>
    <w:rsid w:val="486A02C1"/>
    <w:rsid w:val="49396F88"/>
    <w:rsid w:val="499C3944"/>
    <w:rsid w:val="4C7E2F03"/>
    <w:rsid w:val="4CDD336E"/>
    <w:rsid w:val="4CFE5DF2"/>
    <w:rsid w:val="4D8D6076"/>
    <w:rsid w:val="4DE4323A"/>
    <w:rsid w:val="4EB40496"/>
    <w:rsid w:val="4F07644B"/>
    <w:rsid w:val="4FA026D5"/>
    <w:rsid w:val="50493828"/>
    <w:rsid w:val="51A80D1E"/>
    <w:rsid w:val="51DB4B16"/>
    <w:rsid w:val="52595FA5"/>
    <w:rsid w:val="5292555D"/>
    <w:rsid w:val="52EA55C9"/>
    <w:rsid w:val="53A476F3"/>
    <w:rsid w:val="540C7047"/>
    <w:rsid w:val="54A2105D"/>
    <w:rsid w:val="559952EE"/>
    <w:rsid w:val="56916930"/>
    <w:rsid w:val="572A43B4"/>
    <w:rsid w:val="583B5BA2"/>
    <w:rsid w:val="594F68E5"/>
    <w:rsid w:val="597050CF"/>
    <w:rsid w:val="59744BA8"/>
    <w:rsid w:val="59BE107D"/>
    <w:rsid w:val="5A36150B"/>
    <w:rsid w:val="5A53372E"/>
    <w:rsid w:val="5B0B1E06"/>
    <w:rsid w:val="5B7B7A99"/>
    <w:rsid w:val="5B8B17A8"/>
    <w:rsid w:val="5BB95B5E"/>
    <w:rsid w:val="5C2421EB"/>
    <w:rsid w:val="5C9C18B0"/>
    <w:rsid w:val="5D8521D0"/>
    <w:rsid w:val="5E6D6ABE"/>
    <w:rsid w:val="5F4720CA"/>
    <w:rsid w:val="61271964"/>
    <w:rsid w:val="61491BEA"/>
    <w:rsid w:val="61A94127"/>
    <w:rsid w:val="62595B4D"/>
    <w:rsid w:val="62AA466E"/>
    <w:rsid w:val="63275C4B"/>
    <w:rsid w:val="64BD54F9"/>
    <w:rsid w:val="64CD212B"/>
    <w:rsid w:val="64F86911"/>
    <w:rsid w:val="657C76E0"/>
    <w:rsid w:val="66DB2FD4"/>
    <w:rsid w:val="68C40C08"/>
    <w:rsid w:val="697C3875"/>
    <w:rsid w:val="6AF879B8"/>
    <w:rsid w:val="6B9D4CFC"/>
    <w:rsid w:val="6BFD7AF2"/>
    <w:rsid w:val="6C240F7A"/>
    <w:rsid w:val="6DC522E8"/>
    <w:rsid w:val="6E1D3ED3"/>
    <w:rsid w:val="6E682450"/>
    <w:rsid w:val="6E8757F0"/>
    <w:rsid w:val="6E954194"/>
    <w:rsid w:val="6F586F41"/>
    <w:rsid w:val="6FBB1E58"/>
    <w:rsid w:val="6FC36F6D"/>
    <w:rsid w:val="6FDC0286"/>
    <w:rsid w:val="701A7094"/>
    <w:rsid w:val="70F0197B"/>
    <w:rsid w:val="71252A22"/>
    <w:rsid w:val="720862FD"/>
    <w:rsid w:val="728271CA"/>
    <w:rsid w:val="728C1627"/>
    <w:rsid w:val="72E13941"/>
    <w:rsid w:val="7352461E"/>
    <w:rsid w:val="73C875E4"/>
    <w:rsid w:val="73D44D08"/>
    <w:rsid w:val="74E966B4"/>
    <w:rsid w:val="753524B9"/>
    <w:rsid w:val="759233F8"/>
    <w:rsid w:val="75C512CB"/>
    <w:rsid w:val="75FD270A"/>
    <w:rsid w:val="76026A27"/>
    <w:rsid w:val="7679100F"/>
    <w:rsid w:val="76E063E5"/>
    <w:rsid w:val="76E61C4D"/>
    <w:rsid w:val="776374D8"/>
    <w:rsid w:val="797F5A41"/>
    <w:rsid w:val="7A766BBA"/>
    <w:rsid w:val="7BCD518A"/>
    <w:rsid w:val="7C6548D1"/>
    <w:rsid w:val="7C765821"/>
    <w:rsid w:val="7C915CDE"/>
    <w:rsid w:val="7CF908DC"/>
    <w:rsid w:val="7D3D3869"/>
    <w:rsid w:val="7D584F27"/>
    <w:rsid w:val="7DB03031"/>
    <w:rsid w:val="7E162C72"/>
    <w:rsid w:val="7E6B6EDC"/>
    <w:rsid w:val="7E8152D9"/>
    <w:rsid w:val="7EFB6FE1"/>
    <w:rsid w:val="7FC20A4D"/>
    <w:rsid w:val="7FC22F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spacing w:after="0" w:line="240" w:lineRule="auto"/>
    </w:pPr>
    <w:rPr>
      <w:rFonts w:asciiTheme="minorHAnsi" w:hAnsiTheme="minorHAnsi" w:eastAsiaTheme="minorHAnsi" w:cstheme="minorBidi"/>
      <w:sz w:val="22"/>
      <w:szCs w:val="22"/>
      <w:lang w:val="en-US" w:eastAsia="en-US" w:bidi="ar-SA"/>
    </w:rPr>
  </w:style>
  <w:style w:type="paragraph" w:styleId="3">
    <w:name w:val="heading 1"/>
    <w:basedOn w:val="1"/>
    <w:next w:val="1"/>
    <w:unhideWhenUsed/>
    <w:qFormat/>
    <w:uiPriority w:val="99"/>
    <w:pPr>
      <w:keepNext/>
      <w:overflowPunct w:val="0"/>
      <w:snapToGrid w:val="0"/>
      <w:spacing w:before="120" w:after="160" w:line="259" w:lineRule="auto"/>
      <w:ind w:left="432" w:hanging="432"/>
      <w:outlineLvl w:val="0"/>
    </w:pPr>
    <w:rPr>
      <w:rFonts w:hint="eastAsia"/>
      <w:b/>
      <w:color w:val="000000"/>
      <w:kern w:val="44"/>
      <w:sz w:val="30"/>
      <w:szCs w:val="24"/>
    </w:rPr>
  </w:style>
  <w:style w:type="paragraph" w:styleId="4">
    <w:name w:val="heading 2"/>
    <w:basedOn w:val="1"/>
    <w:next w:val="1"/>
    <w:semiHidden/>
    <w:unhideWhenUsed/>
    <w:qFormat/>
    <w:uiPriority w:val="0"/>
    <w:pPr>
      <w:numPr>
        <w:ilvl w:val="0"/>
        <w:numId w:val="1"/>
      </w:numPr>
      <w:spacing w:beforeAutospacing="1" w:after="0" w:afterAutospacing="1"/>
      <w:ind w:firstLine="0" w:firstLineChars="0"/>
      <w:jc w:val="left"/>
      <w:outlineLvl w:val="1"/>
    </w:pPr>
    <w:rPr>
      <w:rFonts w:hint="eastAsia" w:ascii="Times New Roman" w:hAnsi="Times New Roman" w:eastAsia="宋体" w:cs="宋体"/>
      <w:b/>
      <w:bCs/>
      <w:sz w:val="30"/>
      <w:szCs w:val="36"/>
      <w:lang w:eastAsia="zh-CN" w:bidi="ar"/>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widowControl/>
      <w:snapToGrid w:val="0"/>
      <w:spacing w:before="60" w:after="160" w:line="259" w:lineRule="auto"/>
      <w:ind w:right="113"/>
    </w:pPr>
    <w:rPr>
      <w:kern w:val="0"/>
      <w:sz w:val="18"/>
      <w:szCs w:val="20"/>
    </w:rPr>
  </w:style>
  <w:style w:type="paragraph" w:styleId="5">
    <w:name w:val="Normal Indent"/>
    <w:basedOn w:val="1"/>
    <w:qFormat/>
    <w:uiPriority w:val="0"/>
    <w:pPr>
      <w:ind w:firstLine="420"/>
    </w:pPr>
    <w:rPr>
      <w:szCs w:val="20"/>
    </w:rPr>
  </w:style>
  <w:style w:type="paragraph" w:styleId="6">
    <w:name w:val="caption"/>
    <w:basedOn w:val="1"/>
    <w:next w:val="1"/>
    <w:unhideWhenUsed/>
    <w:qFormat/>
    <w:uiPriority w:val="0"/>
    <w:pPr>
      <w:jc w:val="center"/>
    </w:pPr>
    <w:rPr>
      <w:b/>
      <w:sz w:val="24"/>
    </w:rPr>
  </w:style>
  <w:style w:type="paragraph" w:styleId="7">
    <w:name w:val="annotation text"/>
    <w:basedOn w:val="1"/>
    <w:qFormat/>
    <w:uiPriority w:val="0"/>
    <w:pPr>
      <w:jc w:val="left"/>
    </w:pPr>
  </w:style>
  <w:style w:type="paragraph" w:styleId="8">
    <w:name w:val="Body Text Indent"/>
    <w:basedOn w:val="1"/>
    <w:qFormat/>
    <w:uiPriority w:val="0"/>
    <w:pPr>
      <w:spacing w:line="360" w:lineRule="auto"/>
      <w:ind w:firstLine="480"/>
    </w:pPr>
    <w:rPr>
      <w:sz w:val="24"/>
    </w:rPr>
  </w:style>
  <w:style w:type="paragraph" w:styleId="9">
    <w:name w:val="Plain Text"/>
    <w:basedOn w:val="1"/>
    <w:next w:val="10"/>
    <w:qFormat/>
    <w:uiPriority w:val="0"/>
    <w:rPr>
      <w:rFonts w:ascii="宋体" w:hAnsi="Courier New" w:cs="Courier New"/>
      <w:sz w:val="21"/>
      <w:szCs w:val="21"/>
    </w:rPr>
  </w:style>
  <w:style w:type="paragraph" w:styleId="10">
    <w:name w:val="toc 9"/>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1">
    <w:name w:val="Body Text Indent 2"/>
    <w:basedOn w:val="1"/>
    <w:next w:val="12"/>
    <w:qFormat/>
    <w:uiPriority w:val="0"/>
    <w:pPr>
      <w:spacing w:after="120" w:afterLines="0" w:line="480" w:lineRule="auto"/>
      <w:ind w:left="420" w:leftChars="200"/>
    </w:pPr>
    <w:rPr>
      <w:sz w:val="21"/>
      <w:szCs w:val="24"/>
    </w:rPr>
  </w:style>
  <w:style w:type="paragraph" w:styleId="12">
    <w:name w:val="Body Text First Indent 2"/>
    <w:basedOn w:val="8"/>
    <w:next w:val="1"/>
    <w:unhideWhenUsed/>
    <w:qFormat/>
    <w:uiPriority w:val="0"/>
    <w:pPr>
      <w:widowControl/>
      <w:spacing w:before="60" w:line="240" w:lineRule="auto"/>
      <w:ind w:firstLine="420"/>
    </w:pPr>
    <w:rPr>
      <w:rFonts w:ascii="宋体" w:hAnsi="宋体" w:eastAsia="宋体"/>
      <w:color w:val="000000"/>
      <w:szCs w:val="24"/>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semiHidden/>
    <w:unhideWhenUsed/>
    <w:qFormat/>
    <w:uiPriority w:val="39"/>
  </w:style>
  <w:style w:type="paragraph" w:styleId="16">
    <w:name w:val="List"/>
    <w:basedOn w:val="1"/>
    <w:qFormat/>
    <w:uiPriority w:val="0"/>
    <w:pPr>
      <w:ind w:left="420" w:hanging="420"/>
    </w:pPr>
    <w:rPr>
      <w:rFonts w:ascii="宋体"/>
      <w:b/>
      <w:snapToGrid w:val="0"/>
      <w:kern w:val="0"/>
      <w:sz w:val="44"/>
    </w:rPr>
  </w:style>
  <w:style w:type="paragraph" w:styleId="17">
    <w:name w:val="table of figures"/>
    <w:basedOn w:val="1"/>
    <w:next w:val="1"/>
    <w:unhideWhenUsed/>
    <w:qFormat/>
    <w:uiPriority w:val="99"/>
  </w:style>
  <w:style w:type="paragraph" w:styleId="18">
    <w:name w:val="Body Text 2"/>
    <w:basedOn w:val="1"/>
    <w:next w:val="1"/>
    <w:unhideWhenUsed/>
    <w:qFormat/>
    <w:uiPriority w:val="99"/>
    <w:pPr>
      <w:spacing w:after="120" w:afterLines="0" w:afterAutospacing="0" w:line="480" w:lineRule="auto"/>
    </w:pPr>
  </w:style>
  <w:style w:type="paragraph" w:styleId="19">
    <w:name w:val="Body Text First Indent"/>
    <w:basedOn w:val="2"/>
    <w:next w:val="17"/>
    <w:qFormat/>
    <w:uiPriority w:val="0"/>
    <w:pPr>
      <w:ind w:firstLine="420" w:firstLineChars="1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
    <w:name w:val="表格"/>
    <w:basedOn w:val="16"/>
    <w:next w:val="1"/>
    <w:qFormat/>
    <w:uiPriority w:val="0"/>
    <w:pPr>
      <w:adjustRightInd w:val="0"/>
      <w:snapToGrid w:val="0"/>
      <w:spacing w:beforeLines="10" w:afterLines="10" w:line="259" w:lineRule="auto"/>
      <w:jc w:val="center"/>
    </w:pPr>
    <w:rPr>
      <w:rFonts w:ascii="宋体"/>
      <w:kern w:val="0"/>
      <w:sz w:val="20"/>
      <w:szCs w:val="21"/>
    </w:rPr>
  </w:style>
  <w:style w:type="paragraph" w:customStyle="1" w:styleId="24">
    <w:name w:val="Default"/>
    <w:basedOn w:val="25"/>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5">
    <w:name w:val="纯文本1"/>
    <w:basedOn w:val="1"/>
    <w:qFormat/>
    <w:uiPriority w:val="0"/>
    <w:pPr>
      <w:autoSpaceDE w:val="0"/>
      <w:autoSpaceDN w:val="0"/>
      <w:adjustRightInd w:val="0"/>
      <w:textAlignment w:val="baseline"/>
    </w:pPr>
    <w:rPr>
      <w:rFonts w:ascii="Courier New" w:hAnsi="Courier New"/>
      <w:sz w:val="15"/>
    </w:rPr>
  </w:style>
  <w:style w:type="paragraph" w:customStyle="1" w:styleId="26">
    <w:name w:val="Table Paragraph"/>
    <w:basedOn w:val="1"/>
    <w:qFormat/>
    <w:uiPriority w:val="1"/>
    <w:rPr>
      <w:rFonts w:ascii="宋体" w:hAnsi="宋体" w:eastAsia="宋体" w:cs="宋体"/>
      <w:lang w:val="zh-CN" w:eastAsia="zh-CN" w:bidi="zh-CN"/>
    </w:rPr>
  </w:style>
  <w:style w:type="paragraph" w:customStyle="1" w:styleId="27">
    <w:name w:val="报告正文"/>
    <w:basedOn w:val="1"/>
    <w:qFormat/>
    <w:uiPriority w:val="0"/>
    <w:pPr>
      <w:adjustRightInd w:val="0"/>
      <w:snapToGrid w:val="0"/>
      <w:spacing w:line="360" w:lineRule="auto"/>
      <w:ind w:firstLine="720" w:firstLineChars="200"/>
      <w:jc w:val="both"/>
    </w:pPr>
    <w:rPr>
      <w:rFonts w:cs="宋体"/>
      <w:kern w:val="0"/>
      <w:sz w:val="24"/>
      <w:szCs w:val="21"/>
    </w:rPr>
  </w:style>
  <w:style w:type="paragraph" w:customStyle="1" w:styleId="28">
    <w:name w:val="表格文字"/>
    <w:basedOn w:val="1"/>
    <w:qFormat/>
    <w:uiPriority w:val="0"/>
    <w:pPr>
      <w:adjustRightInd w:val="0"/>
      <w:snapToGrid w:val="0"/>
      <w:spacing w:line="240" w:lineRule="auto"/>
      <w:ind w:firstLine="0" w:firstLineChars="0"/>
      <w:jc w:val="center"/>
      <w:textAlignment w:val="center"/>
    </w:pPr>
    <w:rPr>
      <w:rFonts w:ascii="Times New Roman" w:hAnsi="Times New Roman" w:eastAsia="宋体" w:cs="宋体"/>
      <w:kern w:val="0"/>
      <w:szCs w:val="21"/>
    </w:rPr>
  </w:style>
  <w:style w:type="paragraph" w:customStyle="1" w:styleId="29">
    <w:name w:val="表格内容"/>
    <w:basedOn w:val="1"/>
    <w:qFormat/>
    <w:uiPriority w:val="0"/>
    <w:pPr>
      <w:adjustRightInd w:val="0"/>
      <w:snapToGrid w:val="0"/>
      <w:spacing w:line="240" w:lineRule="auto"/>
      <w:ind w:firstLine="0" w:firstLineChars="0"/>
      <w:jc w:val="center"/>
    </w:pPr>
    <w:rPr>
      <w:sz w:val="21"/>
    </w:rPr>
  </w:style>
  <w:style w:type="table" w:customStyle="1" w:styleId="30">
    <w:name w:val="网格型1"/>
    <w:basedOn w:val="20"/>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1">
    <w:name w:val="正文格式"/>
    <w:basedOn w:val="1"/>
    <w:qFormat/>
    <w:uiPriority w:val="0"/>
    <w:pPr>
      <w:spacing w:line="360" w:lineRule="auto"/>
      <w:ind w:firstLine="482"/>
    </w:pPr>
    <w:rPr>
      <w:rFonts w:ascii="宋体" w:cs="宋体"/>
      <w:color w:val="000000"/>
      <w:sz w:val="24"/>
      <w:lang w:bidi="ar-SA"/>
    </w:rPr>
  </w:style>
  <w:style w:type="character" w:customStyle="1" w:styleId="32">
    <w:name w:val="font31"/>
    <w:basedOn w:val="22"/>
    <w:qFormat/>
    <w:uiPriority w:val="0"/>
    <w:rPr>
      <w:rFonts w:ascii="宋体" w:hAnsi="宋体" w:eastAsia="宋体" w:cs="宋体"/>
      <w:color w:val="000000"/>
      <w:sz w:val="14"/>
      <w:szCs w:val="14"/>
      <w:u w:val="none"/>
    </w:rPr>
  </w:style>
  <w:style w:type="character" w:customStyle="1" w:styleId="33">
    <w:name w:val="font21"/>
    <w:basedOn w:val="22"/>
    <w:qFormat/>
    <w:uiPriority w:val="0"/>
    <w:rPr>
      <w:rFonts w:ascii="宋体" w:hAnsi="宋体" w:eastAsia="宋体" w:cs="宋体"/>
      <w:color w:val="000096"/>
      <w:sz w:val="14"/>
      <w:szCs w:val="14"/>
      <w:u w:val="none"/>
    </w:rPr>
  </w:style>
  <w:style w:type="character" w:customStyle="1" w:styleId="34">
    <w:name w:val="font41"/>
    <w:basedOn w:val="22"/>
    <w:qFormat/>
    <w:uiPriority w:val="0"/>
    <w:rPr>
      <w:rFonts w:ascii="宋体" w:hAnsi="宋体" w:eastAsia="宋体" w:cs="宋体"/>
      <w:color w:val="000000"/>
      <w:sz w:val="18"/>
      <w:szCs w:val="18"/>
      <w:u w:val="none"/>
    </w:rPr>
  </w:style>
  <w:style w:type="character" w:customStyle="1" w:styleId="35">
    <w:name w:val="font11"/>
    <w:basedOn w:val="22"/>
    <w:qFormat/>
    <w:uiPriority w:val="0"/>
    <w:rPr>
      <w:rFonts w:hint="eastAsia" w:ascii="宋体" w:hAnsi="宋体" w:eastAsia="宋体" w:cs="宋体"/>
      <w:color w:val="404040"/>
      <w:sz w:val="20"/>
      <w:szCs w:val="20"/>
      <w:u w:val="none"/>
    </w:rPr>
  </w:style>
  <w:style w:type="paragraph" w:customStyle="1" w:styleId="36">
    <w:name w:val="表格正文"/>
    <w:basedOn w:val="1"/>
    <w:qFormat/>
    <w:uiPriority w:val="0"/>
    <w:pPr>
      <w:adjustRightInd w:val="0"/>
      <w:snapToGrid w:val="0"/>
      <w:spacing w:line="360" w:lineRule="auto"/>
      <w:ind w:firstLine="200" w:firstLineChars="200"/>
      <w:jc w:val="center"/>
    </w:pPr>
    <w:rPr>
      <w:sz w:val="24"/>
      <w:szCs w:val="24"/>
    </w:rPr>
  </w:style>
  <w:style w:type="paragraph" w:customStyle="1" w:styleId="37">
    <w:name w:val="正文部分"/>
    <w:basedOn w:val="1"/>
    <w:qFormat/>
    <w:uiPriority w:val="99"/>
    <w:pPr>
      <w:adjustRightInd w:val="0"/>
      <w:snapToGrid w:val="0"/>
      <w:spacing w:line="460" w:lineRule="exact"/>
      <w:textAlignment w:val="baseline"/>
    </w:pPr>
    <w:rPr>
      <w:rFonts w:ascii="宋体" w:hAnsi="宋体"/>
      <w:kern w:val="0"/>
      <w:sz w:val="3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7.emf"/><Relationship Id="rId27" Type="http://schemas.openxmlformats.org/officeDocument/2006/relationships/oleObject" Target="embeddings/oleObject5.bin"/><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3.bin"/><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111</Pages>
  <Words>14791</Words>
  <Characters>15629</Characters>
  <Lines>0</Lines>
  <Paragraphs>0</Paragraphs>
  <TotalTime>14</TotalTime>
  <ScaleCrop>false</ScaleCrop>
  <LinksUpToDate>false</LinksUpToDate>
  <CharactersWithSpaces>15726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2024-06-24T06:35:00Z</dcterms:created>
  <dc:creator>甜梦中大白兔粘牙</dc:creator>
  <cp:lastModifiedBy>WPS_1723712096</cp:lastModifiedBy>
  <dcterms:modified xsi:type="dcterms:W3CDTF">2025-05-22T02:34:33Z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A660BCD387AF47278453B983E32FCC14_13</vt:lpwstr>
  </property>
  <property fmtid="{D5CDD505-2E9C-101B-9397-08002B2CF9AE}" pid="4" name="KSOTemplateDocerSaveRecord">
    <vt:lpwstr>eyJoZGlkIjoiYTEzZTUyNGQwZTBkNDhlZGFiNDgwNzBmZjUyMWUyZTIiLCJ1c2VySWQiOiIxNjIyMTI3ODEyIn0=</vt:lpwstr>
  </property>
</Properties>
</file>