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exact"/>
        <w:rPr>
          <w:rFonts w:ascii="黑体" w:hAnsi="黑体" w:eastAsia="黑体"/>
          <w:bCs/>
          <w:sz w:val="32"/>
          <w:szCs w:val="32"/>
        </w:rPr>
      </w:pPr>
      <w:r>
        <w:rPr>
          <w:rFonts w:hint="eastAsia" w:ascii="黑体" w:hAnsi="黑体" w:eastAsia="黑体"/>
          <w:bCs/>
          <w:sz w:val="32"/>
          <w:szCs w:val="32"/>
        </w:rPr>
        <w:t xml:space="preserve">                                                                                                   </w:t>
      </w:r>
    </w:p>
    <w:p>
      <w:pPr>
        <w:spacing w:line="579" w:lineRule="exact"/>
        <w:rPr>
          <w:rFonts w:ascii="黑体" w:eastAsia="黑体"/>
          <w:sz w:val="32"/>
          <w:szCs w:val="32"/>
        </w:rPr>
      </w:pPr>
      <w:r>
        <w:rPr>
          <w:rFonts w:ascii="黑体" w:eastAsia="黑体"/>
          <w:sz w:val="32"/>
          <w:szCs w:val="32"/>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342900</wp:posOffset>
                </wp:positionV>
                <wp:extent cx="4826635" cy="1801495"/>
                <wp:effectExtent l="0" t="0" r="0" b="0"/>
                <wp:wrapNone/>
                <wp:docPr id="2" name="文本框 9"/>
                <wp:cNvGraphicFramePr/>
                <a:graphic xmlns:a="http://schemas.openxmlformats.org/drawingml/2006/main">
                  <a:graphicData uri="http://schemas.microsoft.com/office/word/2010/wordprocessingShape">
                    <wps:wsp>
                      <wps:cNvSpPr txBox="1"/>
                      <wps:spPr>
                        <a:xfrm>
                          <a:off x="0" y="0"/>
                          <a:ext cx="4826635" cy="1801495"/>
                        </a:xfrm>
                        <a:prstGeom prst="rect">
                          <a:avLst/>
                        </a:prstGeom>
                        <a:noFill/>
                        <a:ln w="9525">
                          <a:noFill/>
                        </a:ln>
                        <a:effectLst/>
                      </wps:spPr>
                      <wps:txbx>
                        <w:txbxContent>
                          <w:p>
                            <w:pPr>
                              <w:jc w:val="distribute"/>
                              <w:rPr>
                                <w:rFonts w:hint="eastAsia" w:ascii="方正小标宋简体" w:eastAsia="方正小标宋简体"/>
                                <w:color w:val="FF0000"/>
                                <w:sz w:val="72"/>
                                <w:szCs w:val="72"/>
                                <w:lang w:eastAsia="zh-CN"/>
                              </w:rPr>
                            </w:pPr>
                            <w:r>
                              <w:rPr>
                                <w:rFonts w:hint="eastAsia" w:ascii="方正小标宋简体" w:eastAsia="方正小标宋简体"/>
                                <w:color w:val="FF0000"/>
                                <w:sz w:val="72"/>
                                <w:szCs w:val="72"/>
                                <w:lang w:eastAsia="zh-CN"/>
                              </w:rPr>
                              <w:t>佳县人民政府办公室</w:t>
                            </w:r>
                          </w:p>
                          <w:p>
                            <w:pPr>
                              <w:pStyle w:val="2"/>
                              <w:rPr>
                                <w:rFonts w:hint="eastAsia"/>
                                <w:lang w:eastAsia="zh-CN"/>
                              </w:rPr>
                            </w:pPr>
                            <w:r>
                              <w:rPr>
                                <w:rFonts w:hint="eastAsia" w:ascii="方正小标宋简体" w:eastAsia="方正小标宋简体"/>
                                <w:color w:val="FF0000"/>
                                <w:sz w:val="72"/>
                                <w:szCs w:val="72"/>
                                <w:lang w:eastAsia="zh-CN"/>
                              </w:rPr>
                              <w:t>佳县人民武装部军事科</w:t>
                            </w:r>
                          </w:p>
                          <w:p>
                            <w:pPr>
                              <w:jc w:val="distribute"/>
                              <w:rPr>
                                <w:rFonts w:hint="eastAsia" w:eastAsiaTheme="minorEastAsia"/>
                                <w:lang w:eastAsia="zh-CN"/>
                              </w:rPr>
                            </w:pPr>
                          </w:p>
                        </w:txbxContent>
                      </wps:txbx>
                      <wps:bodyPr upright="1"/>
                    </wps:wsp>
                  </a:graphicData>
                </a:graphic>
              </wp:anchor>
            </w:drawing>
          </mc:Choice>
          <mc:Fallback>
            <w:pict>
              <v:shape id="文本框 9" o:spid="_x0000_s1026" o:spt="202" type="#_x0000_t202" style="position:absolute;left:0pt;margin-left:-40.8pt;margin-top:27pt;height:141.85pt;width:380.05pt;z-index:251660288;mso-width-relative:page;mso-height-relative:page;" filled="f" stroked="f" coordsize="21600,21600" o:gfxdata="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kEJwM2AAAAAoBAAAPAAAAAAAA&#10;AAEAIAAAACIAAABkcnMvZG93bnJldi54bWxQSwECFAAUAAAACACHTuJALkJAv6ABAAAYAwAADgAA&#10;AAAAAAABACAAAAAnAQAAZHJzL2Uyb0RvYy54bWxQSwUGAAAAAAYABgBZAQAAOQUAAAAA&#10;">
                <v:fill on="f" focussize="0,0"/>
                <v:stroke on="f"/>
                <v:imagedata o:title=""/>
                <o:lock v:ext="edit" aspectratio="f"/>
                <v:textbox>
                  <w:txbxContent>
                    <w:p>
                      <w:pPr>
                        <w:jc w:val="distribute"/>
                        <w:rPr>
                          <w:rFonts w:hint="eastAsia" w:ascii="方正小标宋简体" w:eastAsia="方正小标宋简体"/>
                          <w:color w:val="FF0000"/>
                          <w:sz w:val="72"/>
                          <w:szCs w:val="72"/>
                          <w:lang w:eastAsia="zh-CN"/>
                        </w:rPr>
                      </w:pPr>
                      <w:r>
                        <w:rPr>
                          <w:rFonts w:hint="eastAsia" w:ascii="方正小标宋简体" w:eastAsia="方正小标宋简体"/>
                          <w:color w:val="FF0000"/>
                          <w:sz w:val="72"/>
                          <w:szCs w:val="72"/>
                          <w:lang w:eastAsia="zh-CN"/>
                        </w:rPr>
                        <w:t>佳县人民政府办公室</w:t>
                      </w:r>
                    </w:p>
                    <w:p>
                      <w:pPr>
                        <w:pStyle w:val="2"/>
                        <w:rPr>
                          <w:rFonts w:hint="eastAsia"/>
                          <w:lang w:eastAsia="zh-CN"/>
                        </w:rPr>
                      </w:pPr>
                      <w:r>
                        <w:rPr>
                          <w:rFonts w:hint="eastAsia" w:ascii="方正小标宋简体" w:eastAsia="方正小标宋简体"/>
                          <w:color w:val="FF0000"/>
                          <w:sz w:val="72"/>
                          <w:szCs w:val="72"/>
                          <w:lang w:eastAsia="zh-CN"/>
                        </w:rPr>
                        <w:t>佳县人民武装部军事科</w:t>
                      </w:r>
                    </w:p>
                    <w:p>
                      <w:pPr>
                        <w:jc w:val="distribute"/>
                        <w:rPr>
                          <w:rFonts w:hint="eastAsia" w:eastAsiaTheme="minorEastAsia"/>
                          <w:lang w:eastAsia="zh-CN"/>
                        </w:rPr>
                      </w:pPr>
                    </w:p>
                  </w:txbxContent>
                </v:textbox>
              </v:shape>
            </w:pict>
          </mc:Fallback>
        </mc:AlternateContent>
      </w:r>
    </w:p>
    <w:p>
      <w:pPr>
        <w:rPr>
          <w:rFonts w:ascii="黑体" w:eastAsia="黑体"/>
          <w:sz w:val="32"/>
          <w:szCs w:val="32"/>
        </w:rPr>
      </w:pPr>
      <w:r>
        <w:rPr>
          <w:rFonts w:ascii="方正小标宋简体" w:eastAsia="方正小标宋简体"/>
          <w:color w:val="FF0000"/>
          <w:sz w:val="72"/>
          <w:szCs w:val="90"/>
        </w:rPr>
        <mc:AlternateContent>
          <mc:Choice Requires="wps">
            <w:drawing>
              <wp:anchor distT="0" distB="0" distL="114300" distR="114300" simplePos="0" relativeHeight="251661312" behindDoc="0" locked="0" layoutInCell="1" allowOverlap="1">
                <wp:simplePos x="0" y="0"/>
                <wp:positionH relativeFrom="column">
                  <wp:posOffset>4175125</wp:posOffset>
                </wp:positionH>
                <wp:positionV relativeFrom="paragraph">
                  <wp:posOffset>212725</wp:posOffset>
                </wp:positionV>
                <wp:extent cx="1461770" cy="1089025"/>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461770" cy="1089025"/>
                        </a:xfrm>
                        <a:prstGeom prst="rect">
                          <a:avLst/>
                        </a:prstGeom>
                        <a:noFill/>
                        <a:ln w="9525">
                          <a:noFill/>
                        </a:ln>
                        <a:effectLst/>
                      </wps:spPr>
                      <wps:txbx>
                        <w:txbxContent>
                          <w:p>
                            <w:pPr>
                              <w:jc w:val="distribute"/>
                              <w:rPr>
                                <w:rFonts w:ascii="方正小标宋简体" w:eastAsia="方正小标宋简体"/>
                                <w:color w:val="FF0000"/>
                                <w:sz w:val="96"/>
                                <w:szCs w:val="64"/>
                              </w:rPr>
                            </w:pPr>
                            <w:r>
                              <w:rPr>
                                <w:rFonts w:hint="eastAsia" w:ascii="方正小标宋简体" w:eastAsia="方正小标宋简体"/>
                                <w:color w:val="FF0000"/>
                                <w:sz w:val="96"/>
                                <w:szCs w:val="64"/>
                              </w:rPr>
                              <w:t>文件</w:t>
                            </w:r>
                          </w:p>
                        </w:txbxContent>
                      </wps:txbx>
                      <wps:bodyPr upright="1"/>
                    </wps:wsp>
                  </a:graphicData>
                </a:graphic>
              </wp:anchor>
            </w:drawing>
          </mc:Choice>
          <mc:Fallback>
            <w:pict>
              <v:shape id="文本框 10" o:spid="_x0000_s1026" o:spt="202" type="#_x0000_t202" style="position:absolute;left:0pt;margin-left:328.75pt;margin-top:16.75pt;height:85.75pt;width:115.1pt;z-index:251661312;mso-width-relative:page;mso-height-relative:page;" filled="f" stroked="f" coordsize="21600,21600" o:gfxdata="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q/xX02AAAAAoBAAAPAAAAAAAAAAEA&#10;IAAAACIAAABkcnMvZG93bnJldi54bWxQSwECFAAUAAAACACHTuJABPR4q50BAAAZAwAADgAAAAAA&#10;AAABACAAAAAnAQAAZHJzL2Uyb0RvYy54bWxQSwUGAAAAAAYABgBZAQAANgUAAAAA&#10;">
                <v:fill on="f" focussize="0,0"/>
                <v:stroke on="f"/>
                <v:imagedata o:title=""/>
                <o:lock v:ext="edit" aspectratio="f"/>
                <v:textbox>
                  <w:txbxContent>
                    <w:p>
                      <w:pPr>
                        <w:jc w:val="distribute"/>
                        <w:rPr>
                          <w:rFonts w:ascii="方正小标宋简体" w:eastAsia="方正小标宋简体"/>
                          <w:color w:val="FF0000"/>
                          <w:sz w:val="96"/>
                          <w:szCs w:val="64"/>
                        </w:rPr>
                      </w:pPr>
                      <w:r>
                        <w:rPr>
                          <w:rFonts w:hint="eastAsia" w:ascii="方正小标宋简体" w:eastAsia="方正小标宋简体"/>
                          <w:color w:val="FF0000"/>
                          <w:sz w:val="96"/>
                          <w:szCs w:val="64"/>
                        </w:rPr>
                        <w:t>文件</w:t>
                      </w:r>
                    </w:p>
                  </w:txbxContent>
                </v:textbox>
              </v:shape>
            </w:pict>
          </mc:Fallback>
        </mc:AlternateContent>
      </w:r>
    </w:p>
    <w:p>
      <w:pPr>
        <w:rPr>
          <w:rFonts w:ascii="方正小标宋简体" w:eastAsia="方正小标宋简体"/>
          <w:color w:val="FF0000"/>
          <w:sz w:val="56"/>
          <w:szCs w:val="64"/>
        </w:rPr>
      </w:pPr>
    </w:p>
    <w:p>
      <w:pPr>
        <w:ind w:firstLine="360" w:firstLineChars="50"/>
        <w:rPr>
          <w:rFonts w:ascii="黑体" w:eastAsia="黑体"/>
          <w:sz w:val="72"/>
          <w:szCs w:val="90"/>
        </w:rPr>
      </w:pPr>
    </w:p>
    <w:p>
      <w:pPr>
        <w:spacing w:line="400" w:lineRule="exact"/>
        <w:rPr>
          <w:rFonts w:ascii="仿宋_GB2312" w:eastAsia="仿宋_GB2312"/>
          <w:sz w:val="32"/>
          <w:szCs w:val="32"/>
        </w:rPr>
      </w:pPr>
    </w:p>
    <w:p>
      <w:pPr>
        <w:spacing w:line="400" w:lineRule="exact"/>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佳政</w:t>
      </w:r>
      <w:r>
        <w:rPr>
          <w:rFonts w:hint="eastAsia" w:ascii="仿宋_GB2312" w:eastAsia="仿宋_GB2312"/>
          <w:sz w:val="32"/>
          <w:szCs w:val="32"/>
          <w:lang w:eastAsia="zh-CN"/>
        </w:rPr>
        <w:t>办</w:t>
      </w:r>
      <w:r>
        <w:rPr>
          <w:rFonts w:hint="eastAsia" w:ascii="仿宋_GB2312" w:eastAsia="仿宋_GB2312"/>
          <w:sz w:val="32"/>
          <w:szCs w:val="32"/>
        </w:rPr>
        <w:t>发〔202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17</w:t>
      </w:r>
      <w:r>
        <w:rPr>
          <w:rFonts w:hint="eastAsia" w:ascii="仿宋_GB2312" w:eastAsia="仿宋_GB2312"/>
          <w:sz w:val="32"/>
          <w:szCs w:val="32"/>
        </w:rPr>
        <w:t>号</w:t>
      </w:r>
    </w:p>
    <w:p>
      <w:pPr>
        <w:spacing w:line="580" w:lineRule="exact"/>
        <w:jc w:val="cente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57785</wp:posOffset>
                </wp:positionV>
                <wp:extent cx="5615940" cy="0"/>
                <wp:effectExtent l="0" t="9525" r="3810" b="9525"/>
                <wp:wrapNone/>
                <wp:docPr id="1"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3.35pt;margin-top:4.55pt;height:0pt;width:442.2pt;z-index:251659264;mso-width-relative:page;mso-height-relative:page;" filled="f" stroked="t" coordsize="21600,21600" o:gfxdata="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8idvdIAAAAFAQAADwAAAAAA&#10;AAABACAAAAAiAAAAZHJzL2Rvd25yZXYueG1sUEsBAhQAFAAAAAgAh07iQGtB3yzgAQAApAMAAA4A&#10;AAAAAAAAAQAgAAAAIQEAAGRycy9lMm9Eb2MueG1sUEsFBgAAAAAGAAYAWQEAAHMFAAAAAA==&#10;">
                <v:fill on="f" focussize="0,0"/>
                <v:stroke weight="1.5pt" color="#FF0000" joinstyle="round"/>
                <v:imagedata o:title=""/>
                <o:lock v:ext="edit" aspectratio="f"/>
              </v:shape>
            </w:pict>
          </mc:Fallback>
        </mc:AlternateContent>
      </w:r>
    </w:p>
    <w:p>
      <w:pPr>
        <w:spacing w:line="58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佳县人民政府</w:t>
      </w:r>
      <w:r>
        <w:rPr>
          <w:rFonts w:hint="eastAsia" w:ascii="方正小标宋简体" w:eastAsia="方正小标宋简体"/>
          <w:sz w:val="44"/>
          <w:szCs w:val="44"/>
          <w:lang w:eastAsia="zh-CN"/>
        </w:rPr>
        <w:t>办公室</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佳县人民武装部</w:t>
      </w:r>
      <w:r>
        <w:rPr>
          <w:rFonts w:hint="eastAsia" w:ascii="方正小标宋简体" w:eastAsia="方正小标宋简体"/>
          <w:sz w:val="44"/>
          <w:szCs w:val="44"/>
          <w:lang w:eastAsia="zh-CN"/>
        </w:rPr>
        <w:t>军事科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pacing w:val="-11"/>
          <w:sz w:val="44"/>
          <w:szCs w:val="44"/>
        </w:rPr>
      </w:pPr>
      <w:r>
        <w:rPr>
          <w:rFonts w:hint="eastAsia" w:ascii="方正小标宋简体" w:eastAsia="方正小标宋简体"/>
          <w:spacing w:val="-11"/>
          <w:sz w:val="44"/>
          <w:szCs w:val="44"/>
        </w:rPr>
        <w:t>关于印发202</w:t>
      </w:r>
      <w:r>
        <w:rPr>
          <w:rFonts w:hint="eastAsia" w:ascii="方正小标宋简体" w:eastAsia="方正小标宋简体"/>
          <w:spacing w:val="-11"/>
          <w:sz w:val="44"/>
          <w:szCs w:val="44"/>
          <w:lang w:val="en-US" w:eastAsia="zh-CN"/>
        </w:rPr>
        <w:t>2</w:t>
      </w:r>
      <w:r>
        <w:rPr>
          <w:rFonts w:hint="eastAsia" w:ascii="方正小标宋简体" w:eastAsia="方正小标宋简体"/>
          <w:spacing w:val="-11"/>
          <w:sz w:val="44"/>
          <w:szCs w:val="44"/>
        </w:rPr>
        <w:t>年</w:t>
      </w:r>
      <w:r>
        <w:rPr>
          <w:rFonts w:ascii="方正小标宋简体" w:hAnsi="Calibri" w:eastAsia="方正小标宋简体" w:cs="Times New Roman"/>
          <w:spacing w:val="-11"/>
          <w:sz w:val="44"/>
          <w:szCs w:val="44"/>
        </w:rPr>
        <w:t>民兵组织整顿工作计划</w:t>
      </w:r>
      <w:r>
        <w:rPr>
          <w:rFonts w:hint="eastAsia" w:ascii="方正小标宋简体" w:eastAsia="方正小标宋简体"/>
          <w:spacing w:val="-11"/>
          <w:sz w:val="44"/>
          <w:szCs w:val="44"/>
        </w:rPr>
        <w:t>的通知</w:t>
      </w:r>
    </w:p>
    <w:p>
      <w:pPr>
        <w:spacing w:line="600" w:lineRule="exact"/>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各镇人民政府</w:t>
      </w:r>
      <w:r>
        <w:rPr>
          <w:rFonts w:hint="eastAsia" w:ascii="仿宋_GB2312" w:eastAsia="仿宋_GB2312"/>
          <w:sz w:val="32"/>
          <w:szCs w:val="32"/>
          <w:lang w:eastAsia="zh-CN"/>
        </w:rPr>
        <w:t>、</w:t>
      </w:r>
      <w:r>
        <w:rPr>
          <w:rFonts w:hint="eastAsia" w:ascii="仿宋_GB2312" w:eastAsia="仿宋_GB2312"/>
          <w:sz w:val="32"/>
          <w:szCs w:val="32"/>
          <w:lang w:val="en-US" w:eastAsia="zh-CN"/>
        </w:rPr>
        <w:t>佳州街道办，</w:t>
      </w:r>
      <w:r>
        <w:rPr>
          <w:rFonts w:hint="eastAsia" w:ascii="仿宋_GB2312" w:eastAsia="仿宋_GB2312"/>
          <w:sz w:val="32"/>
          <w:szCs w:val="32"/>
        </w:rPr>
        <w:t>县政府各工作部门：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为全面加强</w:t>
      </w:r>
      <w:r>
        <w:rPr>
          <w:rFonts w:hint="eastAsia" w:ascii="仿宋_GB2312" w:eastAsia="仿宋_GB2312"/>
          <w:sz w:val="32"/>
          <w:szCs w:val="32"/>
          <w:lang w:val="en-US" w:eastAsia="zh-CN"/>
        </w:rPr>
        <w:t>20222</w:t>
      </w:r>
      <w:r>
        <w:rPr>
          <w:rFonts w:hint="eastAsia" w:ascii="仿宋_GB2312" w:eastAsia="仿宋_GB2312"/>
          <w:sz w:val="32"/>
          <w:szCs w:val="32"/>
        </w:rPr>
        <w:t>年度民兵组织整顿工作指导，现将《佳县2022年民兵组织整顿工作计划》印发你们，望严格落实。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 xml:space="preserve">           佳县人民政府</w:t>
      </w:r>
      <w:r>
        <w:rPr>
          <w:rFonts w:hint="eastAsia" w:ascii="仿宋_GB2312" w:eastAsia="仿宋_GB2312"/>
          <w:sz w:val="32"/>
          <w:szCs w:val="32"/>
          <w:lang w:val="en-US" w:eastAsia="zh-CN"/>
        </w:rPr>
        <w:t xml:space="preserve">办公室  </w:t>
      </w:r>
      <w:r>
        <w:rPr>
          <w:rFonts w:hint="eastAsia" w:ascii="仿宋_GB2312" w:eastAsia="仿宋_GB2312"/>
          <w:sz w:val="32"/>
          <w:szCs w:val="32"/>
        </w:rPr>
        <w:t>佳县人民武装部</w:t>
      </w:r>
      <w:bookmarkStart w:id="0" w:name="_GoBack"/>
      <w:bookmarkEnd w:id="0"/>
      <w:r>
        <w:rPr>
          <w:rFonts w:hint="eastAsia" w:ascii="仿宋_GB2312" w:eastAsia="仿宋_GB2312"/>
          <w:sz w:val="32"/>
          <w:szCs w:val="32"/>
          <w:lang w:val="en-US" w:eastAsia="zh-CN"/>
        </w:rPr>
        <w:t>军事科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2022年3月2</w:t>
      </w:r>
      <w:r>
        <w:rPr>
          <w:rFonts w:hint="eastAsia" w:ascii="仿宋_GB2312" w:eastAsia="仿宋_GB2312"/>
          <w:sz w:val="32"/>
          <w:szCs w:val="32"/>
          <w:lang w:val="en-US" w:eastAsia="zh-CN"/>
        </w:rPr>
        <w:t>3</w:t>
      </w:r>
      <w:r>
        <w:rPr>
          <w:rFonts w:hint="eastAsia" w:ascii="仿宋_GB2312" w:eastAsia="仿宋_GB2312"/>
          <w:sz w:val="32"/>
          <w:szCs w:val="32"/>
        </w:rPr>
        <w:t>日</w:t>
      </w:r>
    </w:p>
    <w:p>
      <w:pPr>
        <w:spacing w:line="600" w:lineRule="exact"/>
        <w:ind w:firstLine="5120" w:firstLineChars="1600"/>
        <w:rPr>
          <w:rFonts w:ascii="仿宋_GB2312" w:eastAsia="仿宋_GB2312"/>
          <w:sz w:val="32"/>
          <w:szCs w:val="32"/>
        </w:rPr>
      </w:pPr>
    </w:p>
    <w:p>
      <w:pPr>
        <w:spacing w:line="600" w:lineRule="exact"/>
        <w:ind w:right="640"/>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atLeast"/>
        <w:ind w:right="641"/>
        <w:jc w:val="center"/>
        <w:textAlignment w:val="auto"/>
        <w:rPr>
          <w:rFonts w:ascii="仿宋_GB2312" w:eastAsia="仿宋_GB2312"/>
          <w:sz w:val="32"/>
          <w:szCs w:val="32"/>
        </w:rPr>
      </w:pPr>
      <w:r>
        <w:rPr>
          <w:rFonts w:hint="eastAsia" w:ascii="方正小标宋简体" w:eastAsia="方正小标宋简体"/>
          <w:sz w:val="44"/>
          <w:szCs w:val="44"/>
        </w:rPr>
        <w:t>佳县2022年民兵组织整顿工作计划</w:t>
      </w:r>
    </w:p>
    <w:p>
      <w:pPr>
        <w:autoSpaceDE w:val="0"/>
        <w:autoSpaceDN w:val="0"/>
        <w:adjustRightInd w:val="0"/>
        <w:spacing w:line="520" w:lineRule="atLeast"/>
        <w:ind w:firstLine="640" w:firstLineChars="200"/>
        <w:rPr>
          <w:rFonts w:ascii="仿宋_GB2312" w:eastAsia="仿宋_GB2312"/>
          <w:kern w:val="0"/>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hAnsi="Calibri" w:eastAsia="仿宋_GB2312" w:cs="Times New Roman"/>
          <w:sz w:val="32"/>
          <w:szCs w:val="32"/>
        </w:rPr>
        <w:t>为</w:t>
      </w:r>
      <w:r>
        <w:rPr>
          <w:rFonts w:hint="eastAsia" w:ascii="仿宋_GB2312" w:eastAsia="仿宋_GB2312"/>
          <w:kern w:val="0"/>
          <w:sz w:val="32"/>
          <w:szCs w:val="32"/>
          <w:lang w:val="zh-CN"/>
        </w:rPr>
        <w:t>扎实抓好</w:t>
      </w:r>
      <w:r>
        <w:rPr>
          <w:rFonts w:hint="eastAsia" w:ascii="仿宋_GB2312" w:eastAsia="仿宋_GB2312"/>
          <w:kern w:val="0"/>
          <w:sz w:val="32"/>
          <w:szCs w:val="32"/>
          <w:lang w:val="en-US" w:eastAsia="zh-CN"/>
        </w:rPr>
        <w:t>2022</w:t>
      </w:r>
      <w:r>
        <w:rPr>
          <w:rFonts w:hint="eastAsia" w:ascii="仿宋_GB2312" w:eastAsia="仿宋_GB2312"/>
          <w:kern w:val="0"/>
          <w:sz w:val="32"/>
          <w:szCs w:val="32"/>
          <w:lang w:val="zh-CN"/>
        </w:rPr>
        <w:t>年度民兵组织整顿工作，巩固深化民兵调整改革成果，推动我县民兵工作高质量发展，</w:t>
      </w:r>
      <w:r>
        <w:rPr>
          <w:rFonts w:hint="eastAsia" w:ascii="仿宋_GB2312" w:hAnsi="Calibri" w:eastAsia="仿宋_GB2312" w:cs="Times New Roman"/>
          <w:sz w:val="32"/>
          <w:szCs w:val="32"/>
        </w:rPr>
        <w:t>依据《</w:t>
      </w:r>
      <w:r>
        <w:rPr>
          <w:rFonts w:hint="eastAsia" w:ascii="仿宋_GB2312" w:eastAsia="仿宋_GB2312"/>
          <w:sz w:val="32"/>
          <w:szCs w:val="32"/>
        </w:rPr>
        <w:t>榆林市</w:t>
      </w:r>
      <w:r>
        <w:rPr>
          <w:rFonts w:hint="eastAsia" w:ascii="仿宋_GB2312" w:hAnsi="Calibri" w:eastAsia="仿宋_GB2312" w:cs="Times New Roman"/>
          <w:sz w:val="32"/>
          <w:szCs w:val="32"/>
        </w:rPr>
        <w:t>2022</w:t>
      </w:r>
      <w:r>
        <w:rPr>
          <w:rFonts w:hint="eastAsia" w:ascii="仿宋_GB2312" w:hAnsi="仿宋_GB2312" w:eastAsia="仿宋_GB2312" w:cs="仿宋_GB2312"/>
          <w:sz w:val="32"/>
          <w:szCs w:val="32"/>
        </w:rPr>
        <w:t>年度民兵组织整顿工作计划</w:t>
      </w:r>
      <w:r>
        <w:rPr>
          <w:rFonts w:hint="eastAsia" w:ascii="仿宋_GB2312" w:hAnsi="Calibri" w:eastAsia="仿宋_GB2312" w:cs="Times New Roman"/>
          <w:sz w:val="32"/>
          <w:szCs w:val="32"/>
        </w:rPr>
        <w:t>》，结合我县实际，</w:t>
      </w:r>
      <w:r>
        <w:rPr>
          <w:rFonts w:hint="eastAsia" w:ascii="仿宋_GB2312" w:eastAsia="仿宋_GB2312"/>
          <w:sz w:val="32"/>
          <w:szCs w:val="32"/>
        </w:rPr>
        <w:t>制定本计划。</w:t>
      </w:r>
    </w:p>
    <w:p>
      <w:pPr>
        <w:pStyle w:val="3"/>
        <w:keepNext w:val="0"/>
        <w:keepLines w:val="0"/>
        <w:pageBreakBefore w:val="0"/>
        <w:widowControl w:val="0"/>
        <w:kinsoku/>
        <w:wordWrap/>
        <w:overflowPunct/>
        <w:topLinePunct w:val="0"/>
        <w:bidi w:val="0"/>
        <w:snapToGrid/>
        <w:spacing w:line="560" w:lineRule="exact"/>
        <w:ind w:firstLine="629"/>
        <w:textAlignment w:val="auto"/>
        <w:rPr>
          <w:rFonts w:ascii="黑体" w:hAnsi="黑体" w:eastAsia="黑体"/>
          <w:color w:val="000000"/>
          <w:szCs w:val="32"/>
        </w:rPr>
      </w:pPr>
      <w:r>
        <w:rPr>
          <w:rFonts w:hint="eastAsia" w:ascii="黑体" w:hAnsi="黑体" w:eastAsia="黑体"/>
          <w:szCs w:val="32"/>
        </w:rPr>
        <w:t>一、</w:t>
      </w:r>
      <w:r>
        <w:rPr>
          <w:rFonts w:hint="eastAsia" w:ascii="黑体" w:hAnsi="黑体" w:eastAsia="黑体"/>
          <w:color w:val="000000"/>
          <w:szCs w:val="32"/>
        </w:rPr>
        <w:t>指导思想</w:t>
      </w:r>
    </w:p>
    <w:p>
      <w:pPr>
        <w:pStyle w:val="3"/>
        <w:keepNext w:val="0"/>
        <w:keepLines w:val="0"/>
        <w:pageBreakBefore w:val="0"/>
        <w:widowControl w:val="0"/>
        <w:kinsoku/>
        <w:wordWrap/>
        <w:overflowPunct/>
        <w:topLinePunct w:val="0"/>
        <w:bidi w:val="0"/>
        <w:snapToGrid/>
        <w:spacing w:line="560" w:lineRule="exact"/>
        <w:ind w:firstLine="629"/>
        <w:textAlignment w:val="auto"/>
        <w:rPr>
          <w:rFonts w:ascii="仿宋_GB2312" w:hAnsiTheme="minorHAnsi" w:cstheme="minorBidi"/>
          <w:szCs w:val="32"/>
        </w:rPr>
      </w:pPr>
      <w:r>
        <w:rPr>
          <w:rFonts w:hint="eastAsia" w:ascii="仿宋_GB2312" w:hAnsiTheme="minorHAnsi" w:cstheme="minorBidi"/>
          <w:szCs w:val="32"/>
        </w:rPr>
        <w:t>2022年民兵组织整顿工作，坚持以习近平新时代中国特色社会主义思想为指导，全面贯彻习近平强军思想，认真落实党中央、国务院、中央军委决策部署，以党在新时代的强军目标为引领，牢固树立精准建设、精细管理、精确动员理念，坚持党管武装，坚持军民融合，进一步优化民兵结构布局、发展民兵新质力量、规范民兵建设秩序，推动新时代民兵建设转型升级，不断提高民兵基于打赢战争和服务大局的组织动员力、快速反应力、支援保障力。</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s="Times New Roman"/>
          <w:sz w:val="32"/>
          <w:szCs w:val="32"/>
        </w:rPr>
      </w:pPr>
      <w:r>
        <w:rPr>
          <w:rFonts w:hint="eastAsia" w:ascii="黑体" w:hAnsi="黑体" w:eastAsia="黑体" w:cs="Times New Roman"/>
          <w:sz w:val="32"/>
          <w:szCs w:val="32"/>
        </w:rPr>
        <w:t>二、总体安排</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6月中旬前完成，按照筹划部署、组织实施、检查验收和总结上报四个阶段进行。</w:t>
      </w:r>
    </w:p>
    <w:p>
      <w:pPr>
        <w:keepNext w:val="0"/>
        <w:keepLines w:val="0"/>
        <w:pageBreakBefore w:val="0"/>
        <w:widowControl w:val="0"/>
        <w:kinsoku/>
        <w:wordWrap/>
        <w:overflowPunct/>
        <w:topLinePunct w:val="0"/>
        <w:bidi w:val="0"/>
        <w:snapToGrid/>
        <w:spacing w:line="560" w:lineRule="exact"/>
        <w:ind w:firstLine="643"/>
        <w:textAlignment w:val="auto"/>
        <w:rPr>
          <w:rFonts w:ascii="仿宋_GB2312" w:hAnsi="Times New Roman" w:eastAsia="仿宋_GB2312" w:cs="Times New Roman"/>
          <w:color w:val="auto"/>
          <w:sz w:val="32"/>
          <w:szCs w:val="32"/>
        </w:rPr>
      </w:pPr>
      <w:r>
        <w:rPr>
          <w:rFonts w:hint="eastAsia" w:ascii="楷体_GB2312" w:hAnsi="楷体_GB2312" w:eastAsia="楷体_GB2312" w:cs="楷体_GB2312"/>
          <w:b w:val="0"/>
          <w:bCs w:val="0"/>
          <w:sz w:val="32"/>
          <w:szCs w:val="32"/>
        </w:rPr>
        <w:t>（一）筹划部署阶段（</w:t>
      </w:r>
      <w:r>
        <w:rPr>
          <w:rFonts w:hint="eastAsia" w:ascii="楷体_GB2312" w:hAnsi="楷体_GB2312" w:eastAsia="楷体_GB2312" w:cs="楷体_GB2312"/>
          <w:b w:val="0"/>
          <w:bCs w:val="0"/>
          <w:color w:val="auto"/>
          <w:sz w:val="32"/>
          <w:szCs w:val="32"/>
          <w:lang w:val="en-US" w:eastAsia="zh-CN"/>
        </w:rPr>
        <w:t>1</w:t>
      </w:r>
      <w:r>
        <w:rPr>
          <w:rFonts w:hint="eastAsia" w:ascii="楷体_GB2312" w:hAnsi="楷体_GB2312" w:eastAsia="楷体_GB2312" w:cs="楷体_GB2312"/>
          <w:b w:val="0"/>
          <w:bCs w:val="0"/>
          <w:sz w:val="32"/>
          <w:szCs w:val="32"/>
        </w:rPr>
        <w:t>月</w:t>
      </w:r>
      <w:r>
        <w:rPr>
          <w:rFonts w:hint="eastAsia" w:ascii="楷体_GB2312" w:hAnsi="楷体_GB2312" w:eastAsia="楷体_GB2312" w:cs="楷体_GB2312"/>
          <w:b w:val="0"/>
          <w:bCs w:val="0"/>
          <w:sz w:val="32"/>
          <w:szCs w:val="32"/>
          <w:lang w:eastAsia="zh-CN"/>
        </w:rPr>
        <w:t>底</w:t>
      </w:r>
      <w:r>
        <w:rPr>
          <w:rFonts w:hint="eastAsia" w:ascii="楷体_GB2312" w:hAnsi="楷体_GB2312" w:eastAsia="楷体_GB2312" w:cs="楷体_GB2312"/>
          <w:b w:val="0"/>
          <w:bCs w:val="0"/>
          <w:sz w:val="32"/>
          <w:szCs w:val="32"/>
        </w:rPr>
        <w:t>前）。</w:t>
      </w: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组织潜力调查。</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下旬</w:t>
      </w:r>
      <w:r>
        <w:rPr>
          <w:rFonts w:hint="eastAsia" w:ascii="仿宋_GB2312" w:hAnsi="仿宋_GB2312" w:eastAsia="仿宋_GB2312" w:cs="仿宋_GB2312"/>
          <w:sz w:val="32"/>
          <w:szCs w:val="32"/>
        </w:rPr>
        <w:t>，采取分批组织、逐单位过的方式，对全县2022年度民兵整组潜力数据进行会审。</w:t>
      </w: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安排部署任务。采取集中会议的形式，组织召开军地任务部署会。</w:t>
      </w:r>
      <w:r>
        <w:rPr>
          <w:rFonts w:hint="eastAsia" w:ascii="仿宋_GB2312" w:hAnsi="仿宋_GB2312" w:eastAsia="仿宋_GB2312" w:cs="仿宋_GB2312"/>
          <w:sz w:val="32"/>
          <w:szCs w:val="32"/>
        </w:rPr>
        <w:sym w:font="Wingdings" w:char="F083"/>
      </w:r>
      <w:r>
        <w:rPr>
          <w:rFonts w:hint="eastAsia" w:ascii="仿宋_GB2312" w:hAnsi="仿宋_GB2312" w:eastAsia="仿宋_GB2312" w:cs="仿宋_GB2312"/>
          <w:sz w:val="32"/>
          <w:szCs w:val="32"/>
        </w:rPr>
        <w:t>组织业务培训。人武部组织所有武干参加分区视频会议和本级会议的方式组织业务培训。④调整补充领导机构。调整补充民兵工作领导机构人员，细化成员单位责任分工。⑤进行任务对接。组织军地相关单位和部门，研究确定民兵队伍编组方案</w:t>
      </w:r>
      <w:r>
        <w:rPr>
          <w:rFonts w:hint="eastAsia" w:ascii="仿宋_GB2312" w:hAnsi="仿宋_GB2312" w:eastAsia="仿宋_GB2312" w:cs="仿宋_GB2312"/>
          <w:color w:val="auto"/>
          <w:sz w:val="32"/>
          <w:szCs w:val="32"/>
        </w:rPr>
        <w:t>，报军分区审核。同步研究论证“十四五”时期民兵建设有关问题。⑥</w:t>
      </w:r>
      <w:r>
        <w:rPr>
          <w:rFonts w:hint="eastAsia" w:ascii="仿宋_GB2312" w:hAnsi="Times New Roman" w:eastAsia="仿宋_GB2312" w:cs="Times New Roman"/>
          <w:color w:val="auto"/>
          <w:sz w:val="32"/>
          <w:szCs w:val="32"/>
        </w:rPr>
        <w:t>军地联合制定下发整组工作计划方案。</w:t>
      </w:r>
    </w:p>
    <w:p>
      <w:pPr>
        <w:keepNext w:val="0"/>
        <w:keepLines w:val="0"/>
        <w:pageBreakBefore w:val="0"/>
        <w:widowControl w:val="0"/>
        <w:kinsoku/>
        <w:wordWrap/>
        <w:overflowPunct/>
        <w:topLinePunct w:val="0"/>
        <w:bidi w:val="0"/>
        <w:snapToGrid/>
        <w:spacing w:line="560" w:lineRule="exact"/>
        <w:ind w:firstLine="643"/>
        <w:textAlignment w:val="auto"/>
        <w:rPr>
          <w:rFonts w:ascii="仿宋_GB2312" w:hAnsi="Times New Roman" w:eastAsia="仿宋_GB2312" w:cs="Times New Roman"/>
          <w:color w:val="auto"/>
          <w:sz w:val="32"/>
          <w:szCs w:val="32"/>
        </w:rPr>
      </w:pPr>
      <w:r>
        <w:rPr>
          <w:rFonts w:hint="eastAsia" w:ascii="楷体_GB2312" w:hAnsi="楷体" w:eastAsia="楷体_GB2312" w:cs="Times New Roman"/>
          <w:b w:val="0"/>
          <w:bCs w:val="0"/>
          <w:color w:val="auto"/>
          <w:sz w:val="32"/>
          <w:szCs w:val="32"/>
        </w:rPr>
        <w:t>（二）组织实施阶段（</w:t>
      </w:r>
      <w:r>
        <w:rPr>
          <w:rFonts w:hint="eastAsia" w:ascii="楷体_GB2312" w:hAnsi="楷体" w:eastAsia="楷体_GB2312" w:cs="Times New Roman"/>
          <w:b w:val="0"/>
          <w:bCs w:val="0"/>
          <w:color w:val="auto"/>
          <w:sz w:val="32"/>
          <w:szCs w:val="32"/>
          <w:lang w:val="en-US" w:eastAsia="zh-CN"/>
        </w:rPr>
        <w:t>3</w:t>
      </w:r>
      <w:r>
        <w:rPr>
          <w:rFonts w:hint="eastAsia" w:ascii="楷体_GB2312" w:hAnsi="楷体" w:eastAsia="楷体_GB2312" w:cs="Times New Roman"/>
          <w:b w:val="0"/>
          <w:bCs w:val="0"/>
          <w:color w:val="auto"/>
          <w:sz w:val="32"/>
          <w:szCs w:val="32"/>
        </w:rPr>
        <w:t>月</w:t>
      </w:r>
      <w:r>
        <w:rPr>
          <w:rFonts w:hint="eastAsia" w:ascii="楷体_GB2312" w:hAnsi="楷体" w:eastAsia="楷体_GB2312" w:cs="Times New Roman"/>
          <w:b w:val="0"/>
          <w:bCs w:val="0"/>
          <w:color w:val="auto"/>
          <w:sz w:val="32"/>
          <w:szCs w:val="32"/>
          <w:lang w:eastAsia="zh-CN"/>
        </w:rPr>
        <w:t>中旬</w:t>
      </w:r>
      <w:r>
        <w:rPr>
          <w:rFonts w:hint="eastAsia" w:ascii="楷体_GB2312" w:hAnsi="楷体" w:eastAsia="楷体_GB2312" w:cs="Times New Roman"/>
          <w:b w:val="0"/>
          <w:bCs w:val="0"/>
          <w:color w:val="auto"/>
          <w:sz w:val="32"/>
          <w:szCs w:val="32"/>
          <w:lang w:val="en-US" w:eastAsia="zh-CN"/>
        </w:rPr>
        <w:t>-4月上旬</w:t>
      </w:r>
      <w:r>
        <w:rPr>
          <w:rFonts w:hint="eastAsia" w:ascii="楷体_GB2312" w:hAnsi="楷体" w:eastAsia="楷体_GB2312" w:cs="Times New Roman"/>
          <w:b w:val="0"/>
          <w:bCs w:val="0"/>
          <w:color w:val="auto"/>
          <w:sz w:val="32"/>
          <w:szCs w:val="32"/>
        </w:rPr>
        <w:t>）。</w:t>
      </w:r>
      <w:r>
        <w:rPr>
          <w:rFonts w:hint="eastAsia" w:ascii="仿宋_GB2312" w:hAnsi="Times New Roman" w:eastAsia="仿宋_GB2312" w:cs="Times New Roman"/>
          <w:color w:val="auto"/>
          <w:sz w:val="32"/>
          <w:szCs w:val="32"/>
        </w:rPr>
        <w:t>按照《民兵组织整顿工作实施办法（试行）》规定的内容程序，认真抓好整组各项工作落实。</w:t>
      </w:r>
    </w:p>
    <w:p>
      <w:pPr>
        <w:keepNext w:val="0"/>
        <w:keepLines w:val="0"/>
        <w:pageBreakBefore w:val="0"/>
        <w:widowControl w:val="0"/>
        <w:kinsoku/>
        <w:wordWrap/>
        <w:overflowPunct/>
        <w:topLinePunct w:val="0"/>
        <w:bidi w:val="0"/>
        <w:snapToGrid/>
        <w:spacing w:line="560" w:lineRule="exact"/>
        <w:ind w:firstLine="640" w:firstLineChars="200"/>
        <w:contextualSpacing/>
        <w:textAlignment w:val="auto"/>
        <w:rPr>
          <w:rFonts w:ascii="仿宋_GB2312" w:hAnsi="Times New Roman" w:eastAsia="仿宋_GB2312" w:cs="Times New Roman"/>
          <w:color w:val="auto"/>
          <w:sz w:val="32"/>
          <w:szCs w:val="32"/>
        </w:rPr>
      </w:pPr>
      <w:r>
        <w:rPr>
          <w:rFonts w:hint="eastAsia" w:ascii="楷体_GB2312" w:hAnsi="楷体" w:eastAsia="楷体_GB2312" w:cs="Times New Roman"/>
          <w:b w:val="0"/>
          <w:bCs w:val="0"/>
          <w:color w:val="auto"/>
          <w:sz w:val="32"/>
          <w:szCs w:val="32"/>
        </w:rPr>
        <w:t>（三）检查验收阶段（5月底前）。</w:t>
      </w:r>
      <w:r>
        <w:rPr>
          <w:rFonts w:hint="eastAsia" w:ascii="仿宋_GB2312" w:hAnsi="Times New Roman" w:eastAsia="仿宋_GB2312" w:cs="Times New Roman"/>
          <w:color w:val="auto"/>
          <w:sz w:val="32"/>
          <w:szCs w:val="32"/>
        </w:rPr>
        <w:t>成立军地联合检查组，采取查阅资料、抽查核对、拉动点验等方式，按照规定的检查抽查比例，自下而上组织检查验收。5月底前，</w:t>
      </w:r>
      <w:r>
        <w:rPr>
          <w:rFonts w:hint="eastAsia" w:ascii="仿宋_GB2312" w:eastAsia="仿宋_GB2312"/>
          <w:color w:val="auto"/>
          <w:sz w:val="32"/>
          <w:szCs w:val="32"/>
        </w:rPr>
        <w:t>对所有基层武装部和基干民兵队伍进行检查。</w:t>
      </w:r>
    </w:p>
    <w:p>
      <w:pPr>
        <w:keepNext w:val="0"/>
        <w:keepLines w:val="0"/>
        <w:pageBreakBefore w:val="0"/>
        <w:widowControl w:val="0"/>
        <w:kinsoku/>
        <w:wordWrap/>
        <w:overflowPunct/>
        <w:topLinePunct w:val="0"/>
        <w:bidi w:val="0"/>
        <w:snapToGrid/>
        <w:spacing w:line="560" w:lineRule="exact"/>
        <w:ind w:firstLine="643"/>
        <w:textAlignment w:val="auto"/>
        <w:rPr>
          <w:rFonts w:ascii="仿宋_GB2312" w:hAnsi="仿宋_GB2312" w:eastAsia="仿宋_GB2312" w:cs="仿宋_GB2312"/>
          <w:color w:val="auto"/>
          <w:sz w:val="32"/>
          <w:szCs w:val="32"/>
        </w:rPr>
      </w:pPr>
      <w:r>
        <w:rPr>
          <w:rFonts w:hint="eastAsia" w:ascii="楷体_GB2312" w:hAnsi="楷体" w:eastAsia="楷体_GB2312" w:cs="Times New Roman"/>
          <w:b w:val="0"/>
          <w:bCs w:val="0"/>
          <w:color w:val="auto"/>
          <w:sz w:val="32"/>
          <w:szCs w:val="32"/>
        </w:rPr>
        <w:t>（四）总结上报阶段（6月上旬）。</w:t>
      </w:r>
      <w:r>
        <w:rPr>
          <w:rFonts w:hint="eastAsia" w:ascii="仿宋_GB2312" w:hAnsi="Times New Roman" w:eastAsia="仿宋_GB2312" w:cs="Times New Roman"/>
          <w:color w:val="auto"/>
          <w:sz w:val="32"/>
          <w:szCs w:val="32"/>
        </w:rPr>
        <w:t>采取自下而上的方式，逐级组织整组工作总结，上报民兵整组情况报告、组织实力数据，以及对下检查考评评分记录、问题清单、检查通报等资料。</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s="Times New Roman"/>
          <w:color w:val="auto"/>
          <w:sz w:val="32"/>
          <w:szCs w:val="32"/>
        </w:rPr>
      </w:pPr>
      <w:r>
        <w:rPr>
          <w:rFonts w:hint="eastAsia" w:ascii="黑体" w:hAnsi="黑体" w:eastAsia="黑体" w:cs="Times New Roman"/>
          <w:color w:val="auto"/>
          <w:sz w:val="32"/>
          <w:szCs w:val="32"/>
        </w:rPr>
        <w:t>三、主要任务</w:t>
      </w:r>
    </w:p>
    <w:p>
      <w:pPr>
        <w:keepNext w:val="0"/>
        <w:keepLines w:val="0"/>
        <w:pageBreakBefore w:val="0"/>
        <w:widowControl w:val="0"/>
        <w:kinsoku/>
        <w:wordWrap/>
        <w:overflowPunct/>
        <w:topLinePunct w:val="0"/>
        <w:bidi w:val="0"/>
        <w:snapToGrid/>
        <w:spacing w:line="560" w:lineRule="exact"/>
        <w:ind w:firstLine="640"/>
        <w:textAlignment w:val="auto"/>
        <w:rPr>
          <w:rFonts w:ascii="仿宋_GB2312" w:hAnsi="Times New Roman" w:eastAsia="仿宋_GB2312" w:cs="Times New Roman"/>
          <w:sz w:val="32"/>
          <w:szCs w:val="32"/>
        </w:rPr>
      </w:pPr>
      <w:r>
        <w:rPr>
          <w:rFonts w:hint="eastAsia" w:ascii="仿宋_GB2312" w:eastAsia="仿宋_GB2312"/>
          <w:color w:val="auto"/>
          <w:sz w:val="32"/>
          <w:szCs w:val="32"/>
        </w:rPr>
        <w:t>今年</w:t>
      </w:r>
      <w:r>
        <w:rPr>
          <w:rFonts w:hint="eastAsia" w:ascii="仿宋_GB2312" w:hAnsi="黑体" w:eastAsia="仿宋_GB2312" w:cs="Times New Roman"/>
          <w:color w:val="auto"/>
          <w:sz w:val="32"/>
          <w:szCs w:val="32"/>
        </w:rPr>
        <w:t>在保持民兵队伍基本稳定的基础上，对部分专业不对口、编建种类与担负使命任务结合不紧密、结构布局不合理</w:t>
      </w:r>
      <w:r>
        <w:rPr>
          <w:rFonts w:hint="eastAsia" w:ascii="仿宋_GB2312" w:hAnsi="黑体" w:eastAsia="仿宋_GB2312" w:cs="Times New Roman"/>
          <w:sz w:val="32"/>
          <w:szCs w:val="32"/>
        </w:rPr>
        <w:t>的队伍类型进行调整。重点做好六个方面的工作：</w:t>
      </w:r>
    </w:p>
    <w:p>
      <w:pPr>
        <w:keepNext w:val="0"/>
        <w:keepLines w:val="0"/>
        <w:pageBreakBefore w:val="0"/>
        <w:widowControl w:val="0"/>
        <w:kinsoku/>
        <w:wordWrap/>
        <w:overflowPunct/>
        <w:topLinePunct w:val="0"/>
        <w:bidi w:val="0"/>
        <w:snapToGrid/>
        <w:spacing w:line="560" w:lineRule="exact"/>
        <w:ind w:firstLine="643"/>
        <w:contextualSpacing/>
        <w:textAlignment w:val="auto"/>
        <w:rPr>
          <w:rFonts w:ascii="仿宋_GB2312" w:hAnsi="Times New Roman" w:eastAsia="仿宋_GB2312" w:cs="Times New Roman"/>
          <w:sz w:val="32"/>
          <w:szCs w:val="32"/>
        </w:rPr>
      </w:pPr>
      <w:r>
        <w:rPr>
          <w:rFonts w:hint="eastAsia" w:ascii="楷体_GB2312" w:hAnsi="楷体" w:eastAsia="楷体_GB2312" w:cs="Times New Roman"/>
          <w:b w:val="0"/>
          <w:bCs w:val="0"/>
          <w:sz w:val="32"/>
          <w:szCs w:val="32"/>
        </w:rPr>
        <w:t>（一）落实党管武装要求。</w:t>
      </w:r>
      <w:r>
        <w:rPr>
          <w:rFonts w:hint="eastAsia" w:ascii="仿宋_GB2312" w:hAnsi="Times New Roman" w:eastAsia="仿宋_GB2312" w:cs="Times New Roman"/>
          <w:sz w:val="32"/>
          <w:szCs w:val="32"/>
        </w:rPr>
        <w:t>坚持党委议军会、双向兼职、述职考评等制度，将民兵建设纳入党管武装工作考评内容体系，纳入军地联合督查范围。从严落实排以上民兵干部必须是中共正式党员、县域范围内基干民兵中党员比例达到30%以上的基本条件，军地联合对基干民兵进行年度政治考核。按照《关于进一步规范基干民兵队伍预建党组织建设的意见（试行）》（陕政联</w:t>
      </w:r>
      <w:r>
        <w:rPr>
          <w:rFonts w:hint="eastAsia" w:ascii="仿宋_GB2312" w:hAnsi="仿宋_GB2312" w:eastAsia="仿宋_GB2312" w:cs="仿宋_GB2312"/>
          <w:sz w:val="32"/>
          <w:szCs w:val="32"/>
        </w:rPr>
        <w:t>〔2020〕50号</w:t>
      </w:r>
      <w:r>
        <w:rPr>
          <w:rFonts w:hint="eastAsia" w:ascii="仿宋_GB2312" w:hAnsi="Times New Roman" w:eastAsia="仿宋_GB2312" w:cs="Times New Roman"/>
          <w:sz w:val="32"/>
          <w:szCs w:val="32"/>
        </w:rPr>
        <w:t>）精神，加强和规范基干民兵预建党组织建设，理顺领导管理关系，落实组织生活制度。严格执行标准要求，深入开展基层人民武装部和民兵基层规范化建设达标活动。加强专武干部队伍建设，组织专武干部集训培训，落实专武干部资格认证和考核制度。</w:t>
      </w:r>
    </w:p>
    <w:p>
      <w:pPr>
        <w:keepNext w:val="0"/>
        <w:keepLines w:val="0"/>
        <w:pageBreakBefore w:val="0"/>
        <w:widowControl w:val="0"/>
        <w:kinsoku/>
        <w:wordWrap/>
        <w:overflowPunct/>
        <w:topLinePunct w:val="0"/>
        <w:bidi w:val="0"/>
        <w:snapToGrid/>
        <w:spacing w:line="560" w:lineRule="exact"/>
        <w:ind w:firstLine="643"/>
        <w:textAlignment w:val="auto"/>
        <w:rPr>
          <w:rFonts w:ascii="仿宋_GB2312" w:eastAsia="仿宋_GB2312"/>
          <w:kern w:val="0"/>
          <w:sz w:val="32"/>
          <w:szCs w:val="32"/>
        </w:rPr>
      </w:pPr>
      <w:r>
        <w:rPr>
          <w:rFonts w:hint="eastAsia" w:ascii="楷体_GB2312" w:hAnsi="楷体" w:eastAsia="楷体_GB2312" w:cs="Times New Roman"/>
          <w:b w:val="0"/>
          <w:bCs w:val="0"/>
          <w:sz w:val="32"/>
          <w:szCs w:val="32"/>
        </w:rPr>
        <w:t>（二）调整优化结构布局。</w:t>
      </w:r>
      <w:r>
        <w:rPr>
          <w:rFonts w:hint="eastAsia" w:ascii="仿宋_GB2312" w:eastAsia="仿宋_GB2312"/>
          <w:kern w:val="0"/>
          <w:sz w:val="32"/>
          <w:szCs w:val="32"/>
        </w:rPr>
        <w:t>坚持稳中求进工作总基调，深化“十四五”时期民兵建设和改革成果，在保持现有规模和布局结构基本稳定的基础上，调整优化主要方向、重点地区民兵规模、结构、布局，撤销或合并专业不对口、拼凑新质力量指标、地方没有潜力资源的队伍。进一步巩固国有企业阵地、深耕民营企业厚土、吸纳民间专业力量，坚定不移地向新兴领域拓展编兵。适应深化国防动员体制和预备役部队改革进程，统筹基干民兵、预备役部队、国防动员专业保障队伍和地方应急力量建设，防止各类队伍交叉编兵，推动构建应急应战一体、组织指挥高效、共建共享共用的民兵力量体系。</w:t>
      </w:r>
    </w:p>
    <w:p>
      <w:pPr>
        <w:keepNext w:val="0"/>
        <w:keepLines w:val="0"/>
        <w:pageBreakBefore w:val="0"/>
        <w:widowControl w:val="0"/>
        <w:kinsoku/>
        <w:wordWrap/>
        <w:overflowPunct/>
        <w:topLinePunct w:val="0"/>
        <w:bidi w:val="0"/>
        <w:snapToGrid/>
        <w:spacing w:line="560" w:lineRule="exact"/>
        <w:ind w:firstLine="643"/>
        <w:textAlignment w:val="auto"/>
        <w:rPr>
          <w:rFonts w:ascii="仿宋_GB2312" w:hAnsi="Times New Roman" w:eastAsia="仿宋_GB2312" w:cs="Times New Roman"/>
          <w:sz w:val="32"/>
          <w:szCs w:val="32"/>
        </w:rPr>
      </w:pPr>
      <w:r>
        <w:rPr>
          <w:rFonts w:hint="eastAsia" w:ascii="楷体_GB2312" w:hAnsi="楷体" w:eastAsia="楷体_GB2312" w:cs="Times New Roman"/>
          <w:b w:val="0"/>
          <w:bCs w:val="0"/>
          <w:sz w:val="32"/>
          <w:szCs w:val="32"/>
        </w:rPr>
        <w:t>（三）提升队伍编建质量。</w:t>
      </w:r>
      <w:r>
        <w:rPr>
          <w:rFonts w:hint="eastAsia" w:ascii="仿宋_GB2312" w:eastAsia="仿宋_GB2312"/>
          <w:kern w:val="0"/>
          <w:sz w:val="32"/>
          <w:szCs w:val="32"/>
        </w:rPr>
        <w:t>坚持编组优先原则，编实建强担负专项任务民兵队伍和应急应战亟需力量，优先遴选符合编建条件、适编兵员装备充足、可成建制编兵的单位，优先选编党员、退役军人、技术岗位专业对口人员，退役军人比例不低于30%。严格执行准入制度，准确把握企业编兵和基干民兵身体、政治、专业技术等资格条件，认真落实基干民兵党员和退役军人比例、专业技术岗位对口率等硬性指标。加大审查考核力度，合理确定出入队人员，保持民兵组织稳定，年度出入队比例控制在20%以内。各单位要坚定不移向各类企业、行业系统、科研机构、工业园区和“两新组织”拓展编兵，探索新兴领域编兵和民兵新质队伍建设运用的方法路子。</w:t>
      </w:r>
    </w:p>
    <w:p>
      <w:pPr>
        <w:keepNext w:val="0"/>
        <w:keepLines w:val="0"/>
        <w:pageBreakBefore w:val="0"/>
        <w:widowControl w:val="0"/>
        <w:kinsoku/>
        <w:wordWrap/>
        <w:overflowPunct/>
        <w:topLinePunct w:val="0"/>
        <w:bidi w:val="0"/>
        <w:snapToGrid/>
        <w:spacing w:line="560" w:lineRule="exact"/>
        <w:ind w:firstLine="643"/>
        <w:contextualSpacing/>
        <w:textAlignment w:val="auto"/>
        <w:rPr>
          <w:rFonts w:ascii="仿宋_GB2312" w:eastAsia="仿宋_GB2312"/>
          <w:kern w:val="0"/>
          <w:sz w:val="32"/>
          <w:szCs w:val="32"/>
        </w:rPr>
      </w:pPr>
      <w:r>
        <w:rPr>
          <w:rFonts w:hint="eastAsia" w:ascii="楷体_GB2312" w:hAnsi="楷体" w:eastAsia="楷体_GB2312" w:cs="Times New Roman"/>
          <w:b w:val="0"/>
          <w:bCs w:val="0"/>
          <w:sz w:val="32"/>
          <w:szCs w:val="32"/>
        </w:rPr>
        <w:t>（四）强化政治工作落实。</w:t>
      </w:r>
      <w:r>
        <w:rPr>
          <w:rFonts w:hint="eastAsia" w:ascii="仿宋_GB2312" w:eastAsia="仿宋_GB2312"/>
          <w:kern w:val="0"/>
          <w:sz w:val="32"/>
          <w:szCs w:val="32"/>
        </w:rPr>
        <w:t>按照基层党建坚强、政治教育落实、开展活动经常、队伍素质过硬的要求，创新政治工作方法手段，改进思想政治教育内容形式，广泛开展“双争”活动，挖掘培塑先进典型，不断增强政治工作生机和活力。将民兵政治教育纳入年度政治工作总体筹划，结合整组点验、集中训练，扎实开展民兵职能使命和党史、军史教育，提升民兵政治素质。</w:t>
      </w:r>
      <w:r>
        <w:rPr>
          <w:rFonts w:hint="eastAsia" w:ascii="仿宋_GB2312" w:hAnsi="Times New Roman" w:eastAsia="仿宋_GB2312" w:cs="Times New Roman"/>
          <w:sz w:val="32"/>
          <w:szCs w:val="32"/>
        </w:rPr>
        <w:t>坚持把民兵党建工作纳入军地党建一并筹划，注重发挥民兵预建党组织功能，落实党日、党课等组织生活制度。</w:t>
      </w:r>
      <w:r>
        <w:rPr>
          <w:rFonts w:hint="eastAsia" w:ascii="仿宋_GB2312" w:eastAsia="仿宋_GB2312"/>
          <w:kern w:val="0"/>
          <w:sz w:val="32"/>
          <w:szCs w:val="32"/>
        </w:rPr>
        <w:t>严格按程序规范选拔任命民兵干部，切实把好入口关。广泛开展民兵入队宣誓和出队欢送仪式，提升民兵荣誉感。积极组织民兵参加精准扶贫、生态环境保护、文明城市创建等活动，支援地方经济建设。</w:t>
      </w:r>
    </w:p>
    <w:p>
      <w:pPr>
        <w:keepNext w:val="0"/>
        <w:keepLines w:val="0"/>
        <w:pageBreakBefore w:val="0"/>
        <w:widowControl w:val="0"/>
        <w:kinsoku/>
        <w:wordWrap/>
        <w:overflowPunct/>
        <w:topLinePunct w:val="0"/>
        <w:bidi w:val="0"/>
        <w:snapToGrid/>
        <w:spacing w:line="560" w:lineRule="exact"/>
        <w:ind w:firstLine="643"/>
        <w:contextualSpacing/>
        <w:textAlignment w:val="auto"/>
        <w:rPr>
          <w:rFonts w:ascii="仿宋_GB2312" w:hAnsi="Times New Roman" w:eastAsia="仿宋_GB2312" w:cs="Times New Roman"/>
          <w:sz w:val="32"/>
          <w:szCs w:val="32"/>
        </w:rPr>
      </w:pPr>
      <w:r>
        <w:rPr>
          <w:rFonts w:hint="eastAsia" w:ascii="楷体_GB2312" w:hAnsi="楷体" w:eastAsia="楷体_GB2312" w:cs="Times New Roman"/>
          <w:b w:val="0"/>
          <w:bCs w:val="0"/>
          <w:sz w:val="32"/>
          <w:szCs w:val="32"/>
        </w:rPr>
        <w:t>（五）健全保障制度措施。</w:t>
      </w:r>
      <w:r>
        <w:rPr>
          <w:rFonts w:hint="eastAsia" w:ascii="仿宋_GB2312" w:hAnsi="Times New Roman" w:eastAsia="仿宋_GB2312" w:cs="Times New Roman"/>
          <w:sz w:val="32"/>
          <w:szCs w:val="32"/>
        </w:rPr>
        <w:t>完善民兵奖励优待和伤亡抚恤制度机制，探索建立民兵履职补助和保险制度。严格执行《陕西省民兵事业费管理暂行办法》和《榆林市贯彻落实&lt;陕西省民兵基层建设规范（试行）&gt;措施》，落实市、县两级训练补助经费，细化民兵权益保障政策措施。</w:t>
      </w:r>
    </w:p>
    <w:p>
      <w:pPr>
        <w:pStyle w:val="3"/>
        <w:keepNext w:val="0"/>
        <w:keepLines w:val="0"/>
        <w:pageBreakBefore w:val="0"/>
        <w:widowControl w:val="0"/>
        <w:kinsoku/>
        <w:wordWrap/>
        <w:overflowPunct/>
        <w:topLinePunct w:val="0"/>
        <w:bidi w:val="0"/>
        <w:snapToGrid/>
        <w:spacing w:line="560" w:lineRule="exact"/>
        <w:ind w:firstLine="629"/>
        <w:textAlignment w:val="auto"/>
        <w:rPr>
          <w:rFonts w:ascii="黑体" w:hAnsi="黑体" w:eastAsia="黑体"/>
          <w:szCs w:val="32"/>
        </w:rPr>
      </w:pPr>
      <w:r>
        <w:rPr>
          <w:rFonts w:hint="eastAsia" w:ascii="黑体" w:hAnsi="黑体" w:eastAsia="黑体"/>
          <w:szCs w:val="32"/>
        </w:rPr>
        <w:t>四、组织领导</w:t>
      </w:r>
    </w:p>
    <w:p>
      <w:pPr>
        <w:keepNext w:val="0"/>
        <w:keepLines w:val="0"/>
        <w:pageBreakBefore w:val="0"/>
        <w:widowControl w:val="0"/>
        <w:kinsoku/>
        <w:wordWrap/>
        <w:overflowPunct/>
        <w:topLinePunct w:val="0"/>
        <w:bidi w:val="0"/>
        <w:snapToGrid/>
        <w:spacing w:line="560" w:lineRule="exact"/>
        <w:ind w:firstLine="643"/>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全县民兵组织整顿工作在县政府、人武部统一领导下，由县民兵工作领导小组具体组织实施。县民兵工作领导小组按照有关要求，健全军地联合领导机构，组织指导军地有关单位和部门做好相关工作。</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s="Times New Roman"/>
          <w:sz w:val="32"/>
          <w:szCs w:val="32"/>
        </w:rPr>
      </w:pPr>
      <w:r>
        <w:rPr>
          <w:rFonts w:hint="eastAsia" w:ascii="黑体" w:hAnsi="黑体" w:eastAsia="黑体" w:cs="Times New Roman"/>
          <w:sz w:val="32"/>
          <w:szCs w:val="32"/>
        </w:rPr>
        <w:t>五、有关要求</w:t>
      </w:r>
    </w:p>
    <w:p>
      <w:pPr>
        <w:keepNext w:val="0"/>
        <w:keepLines w:val="0"/>
        <w:pageBreakBefore w:val="0"/>
        <w:widowControl w:val="0"/>
        <w:kinsoku/>
        <w:wordWrap/>
        <w:overflowPunct/>
        <w:topLinePunct w:val="0"/>
        <w:bidi w:val="0"/>
        <w:snapToGrid/>
        <w:spacing w:line="560" w:lineRule="exact"/>
        <w:ind w:firstLine="640" w:firstLineChars="200"/>
        <w:contextualSpacing/>
        <w:textAlignment w:val="auto"/>
        <w:rPr>
          <w:rFonts w:ascii="黑体" w:hAnsi="黑体" w:eastAsia="黑体" w:cs="Times New Roman"/>
          <w:sz w:val="32"/>
          <w:szCs w:val="32"/>
        </w:rPr>
      </w:pPr>
      <w:r>
        <w:rPr>
          <w:rFonts w:hint="eastAsia" w:ascii="仿宋_GB2312" w:eastAsia="仿宋_GB2312"/>
          <w:sz w:val="32"/>
          <w:szCs w:val="32"/>
        </w:rPr>
        <w:t>2022年是贯彻国务院、中央军委《民兵建设“十四五”规划》的开局一年，也是进一步加强和改进民兵组织整顿工作，规范组建秩序，提高编组质量的关键之年</w:t>
      </w:r>
      <w:r>
        <w:rPr>
          <w:rFonts w:hint="eastAsia" w:ascii="仿宋_GB2312" w:hAnsi="Times New Roman" w:eastAsia="仿宋_GB2312" w:cs="Times New Roman"/>
          <w:sz w:val="32"/>
          <w:szCs w:val="32"/>
        </w:rPr>
        <w:t>。各级要认清形势任务，始终把民兵建设摆在突出位置，作为政治任务和主责主业来抓，切实推动我县民兵工作迈上新台阶。各级各部门要强化责任担当，始终</w:t>
      </w:r>
      <w:r>
        <w:rPr>
          <w:rFonts w:hint="eastAsia" w:ascii="仿宋_GB2312" w:eastAsia="仿宋_GB2312"/>
          <w:sz w:val="32"/>
          <w:szCs w:val="32"/>
        </w:rPr>
        <w:t>坚持标准不降低、力度不削弱、作风不松懈的严实作风，</w:t>
      </w:r>
      <w:r>
        <w:rPr>
          <w:rFonts w:hint="eastAsia" w:ascii="仿宋_GB2312" w:hAnsi="Times New Roman" w:eastAsia="仿宋_GB2312" w:cs="Times New Roman"/>
          <w:sz w:val="32"/>
          <w:szCs w:val="32"/>
        </w:rPr>
        <w:t>创新方式方法，加强指导帮带，协调解决基层实际困难，让各项工作在末端有效落实。要深入学习研究军委国防动员部今年在考评时机、考评对象、考评方式等方面的调整变化，在整组全程抓好落实，确保不偏方向、不漏关键环节。要坚持问题导向，紧盯近两年来上级通报的具体问题，下大气力攻坚克难，确保各类问题有效防范克服和解决。要搞好宣传教育，利用民兵集合点验、集中训练等时机，有针对性地开展民兵优抚优待和后备力量建设政策法规宣传，强化民兵人员荣誉感使命感，营造全社会关心支持民兵建设的良好氛围。</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27" w:firstLineChars="196"/>
        <w:textAlignment w:val="auto"/>
        <w:rPr>
          <w:rFonts w:ascii="仿宋_GB2312" w:eastAsia="仿宋_GB2312"/>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附件：1.佳县2022年民兵编组任务分配计划表</w:t>
      </w:r>
    </w:p>
    <w:p>
      <w:pPr>
        <w:keepNext w:val="0"/>
        <w:keepLines w:val="0"/>
        <w:pageBreakBefore w:val="0"/>
        <w:widowControl w:val="0"/>
        <w:kinsoku/>
        <w:wordWrap/>
        <w:overflowPunct/>
        <w:topLinePunct w:val="0"/>
        <w:bidi w:val="0"/>
        <w:snapToGrid/>
        <w:spacing w:line="560" w:lineRule="exact"/>
        <w:ind w:firstLine="1600" w:firstLineChars="500"/>
        <w:textAlignment w:val="auto"/>
        <w:rPr>
          <w:rFonts w:ascii="仿宋_GB2312" w:eastAsia="仿宋_GB2312"/>
          <w:sz w:val="32"/>
          <w:szCs w:val="32"/>
        </w:rPr>
      </w:pPr>
      <w:r>
        <w:rPr>
          <w:rFonts w:hint="eastAsia" w:ascii="仿宋_GB2312" w:eastAsia="仿宋_GB2312"/>
          <w:sz w:val="32"/>
          <w:szCs w:val="32"/>
        </w:rPr>
        <w:t>2.佳县2022年度民兵组织整顿工作领导小组名单</w:t>
      </w:r>
    </w:p>
    <w:p>
      <w:pPr>
        <w:keepNext w:val="0"/>
        <w:keepLines w:val="0"/>
        <w:pageBreakBefore w:val="0"/>
        <w:widowControl w:val="0"/>
        <w:kinsoku/>
        <w:wordWrap/>
        <w:overflowPunct/>
        <w:topLinePunct w:val="0"/>
        <w:bidi w:val="0"/>
        <w:snapToGrid/>
        <w:spacing w:line="560" w:lineRule="exact"/>
        <w:ind w:left="1918" w:leftChars="304" w:hanging="1280" w:hangingChars="400"/>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3.佳县2022年民兵组织整顿工作领导小组成员单位任务分工</w:t>
      </w:r>
    </w:p>
    <w:p>
      <w:pPr>
        <w:keepNext w:val="0"/>
        <w:keepLines w:val="0"/>
        <w:pageBreakBefore w:val="0"/>
        <w:widowControl w:val="0"/>
        <w:kinsoku/>
        <w:wordWrap/>
        <w:overflowPunct/>
        <w:topLinePunct w:val="0"/>
        <w:bidi w:val="0"/>
        <w:snapToGrid/>
        <w:spacing w:line="560" w:lineRule="exact"/>
        <w:textAlignment w:val="auto"/>
        <w:rPr>
          <w:rFonts w:ascii="仿宋_GB2312" w:eastAsia="仿宋_GB2312"/>
          <w:sz w:val="32"/>
          <w:szCs w:val="32"/>
        </w:rPr>
        <w:sectPr>
          <w:headerReference r:id="rId3" w:type="first"/>
          <w:footerReference r:id="rId6" w:type="first"/>
          <w:footerReference r:id="rId4" w:type="default"/>
          <w:footerReference r:id="rId5" w:type="even"/>
          <w:pgSz w:w="11906" w:h="16838"/>
          <w:pgMar w:top="1984" w:right="1474" w:bottom="1701" w:left="1588" w:header="851" w:footer="907" w:gutter="0"/>
          <w:pgNumType w:fmt="numberInDash"/>
          <w:cols w:space="425" w:num="1"/>
          <w:titlePg/>
          <w:docGrid w:linePitch="312" w:charSpace="0"/>
        </w:sectPr>
      </w:pPr>
    </w:p>
    <w:p>
      <w:pPr>
        <w:widowControl/>
        <w:spacing w:line="600" w:lineRule="exact"/>
        <w:jc w:val="left"/>
        <w:rPr>
          <w:rFonts w:ascii="黑体" w:hAnsi="黑体" w:eastAsia="黑体" w:cs="宋体"/>
          <w:kern w:val="0"/>
          <w:sz w:val="32"/>
          <w:szCs w:val="32"/>
        </w:rPr>
      </w:pPr>
      <w:r>
        <mc:AlternateContent>
          <mc:Choice Requires="wps">
            <w:drawing>
              <wp:anchor distT="0" distB="0" distL="114300" distR="114300" simplePos="0" relativeHeight="251666432" behindDoc="0" locked="0" layoutInCell="1" allowOverlap="1">
                <wp:simplePos x="0" y="0"/>
                <wp:positionH relativeFrom="column">
                  <wp:posOffset>-347345</wp:posOffset>
                </wp:positionH>
                <wp:positionV relativeFrom="paragraph">
                  <wp:posOffset>0</wp:posOffset>
                </wp:positionV>
                <wp:extent cx="520700" cy="635000"/>
                <wp:effectExtent l="4445" t="5080" r="8255" b="7620"/>
                <wp:wrapSquare wrapText="bothSides"/>
                <wp:docPr id="4" name="文本框 4"/>
                <wp:cNvGraphicFramePr/>
                <a:graphic xmlns:a="http://schemas.openxmlformats.org/drawingml/2006/main">
                  <a:graphicData uri="http://schemas.microsoft.com/office/word/2010/wordprocessingShape">
                    <wps:wsp>
                      <wps:cNvSpPr txBox="1"/>
                      <wps:spPr>
                        <a:xfrm>
                          <a:off x="0" y="0"/>
                          <a:ext cx="520700" cy="6350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Cs w:val="28"/>
                              </w:rPr>
                            </w:pPr>
                          </w:p>
                        </w:txbxContent>
                      </wps:txbx>
                      <wps:bodyPr vert="eaVert" wrap="none" upright="1"/>
                    </wps:wsp>
                  </a:graphicData>
                </a:graphic>
              </wp:anchor>
            </w:drawing>
          </mc:Choice>
          <mc:Fallback>
            <w:pict>
              <v:shape id="_x0000_s1026" o:spid="_x0000_s1026" o:spt="202" type="#_x0000_t202" style="position:absolute;left:0pt;margin-left:-27.35pt;margin-top:0pt;height:50pt;width:41pt;mso-wrap-distance-bottom:0pt;mso-wrap-distance-left:9pt;mso-wrap-distance-right:9pt;mso-wrap-distance-top:0pt;mso-wrap-style:none;z-index:251666432;mso-width-relative:page;mso-height-relative:page;" fillcolor="#FFFFFF" filled="t" stroked="t" coordsize="21600,21600" o:gfxdata="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9blW1gAAAAcBAAAPAAAAAAAAAAEAIAAAACIAAABkcnMvZG93bnJldi54&#10;bWxQSwECFAAUAAAACACHTuJAD0fo/fwBAAAPBAAADgAAAAAAAAABACAAAAAlAQAAZHJzL2Uyb0Rv&#10;Yy54bWxQSwUGAAAAAAYABgBZAQAAkwUAAAAA&#10;">
                <v:fill on="t" focussize="0,0"/>
                <v:stroke color="#FFFFFF" joinstyle="miter"/>
                <v:imagedata o:title=""/>
                <o:lock v:ext="edit" aspectratio="f"/>
                <v:textbox style="layout-flow:vertical-ideographic;">
                  <w:txbxContent>
                    <w:p>
                      <w:pPr>
                        <w:rPr>
                          <w:szCs w:val="28"/>
                        </w:rPr>
                      </w:pPr>
                    </w:p>
                  </w:txbxContent>
                </v:textbox>
                <w10:wrap type="square"/>
              </v:shape>
            </w:pict>
          </mc:Fallback>
        </mc:AlternateContent>
      </w:r>
      <w:r>
        <w:rPr>
          <w:rFonts w:hint="eastAsia" w:ascii="黑体" w:hAnsi="黑体" w:eastAsia="黑体" w:cs="宋体"/>
          <w:kern w:val="0"/>
          <w:sz w:val="32"/>
          <w:szCs w:val="32"/>
        </w:rPr>
        <w:t>附件1</w:t>
      </w:r>
    </w:p>
    <w:p>
      <w:pPr>
        <w:widowControl/>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佳县2022年民兵编组任务分配计划表</w:t>
      </w:r>
    </w:p>
    <w:tbl>
      <w:tblPr>
        <w:tblStyle w:val="8"/>
        <w:tblpPr w:leftFromText="180" w:rightFromText="180" w:vertAnchor="text" w:tblpY="1"/>
        <w:tblOverlap w:val="never"/>
        <w:tblW w:w="10602" w:type="dxa"/>
        <w:tblInd w:w="42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55"/>
        <w:gridCol w:w="1026"/>
        <w:gridCol w:w="1134"/>
        <w:gridCol w:w="992"/>
        <w:gridCol w:w="1134"/>
        <w:gridCol w:w="1134"/>
        <w:gridCol w:w="1276"/>
        <w:gridCol w:w="850"/>
        <w:gridCol w:w="851"/>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4" w:hRule="exact"/>
        </w:trPr>
        <w:tc>
          <w:tcPr>
            <w:tcW w:w="1355" w:type="dxa"/>
            <w:vMerge w:val="restart"/>
            <w:vAlign w:val="center"/>
          </w:tcPr>
          <w:p>
            <w:pPr>
              <w:widowControl/>
              <w:jc w:val="center"/>
              <w:rPr>
                <w:rFonts w:ascii="黑体" w:hAnsi="黑体" w:eastAsia="黑体"/>
                <w:sz w:val="22"/>
              </w:rPr>
            </w:pPr>
            <w:r>
              <w:rPr>
                <w:rFonts w:hint="eastAsia" w:ascii="黑体" w:hAnsi="黑体" w:eastAsia="黑体"/>
                <w:sz w:val="22"/>
              </w:rPr>
              <w:t>单位</w:t>
            </w:r>
          </w:p>
        </w:tc>
        <w:tc>
          <w:tcPr>
            <w:tcW w:w="3152" w:type="dxa"/>
            <w:gridSpan w:val="3"/>
            <w:vMerge w:val="restart"/>
            <w:vAlign w:val="center"/>
          </w:tcPr>
          <w:p>
            <w:pPr>
              <w:widowControl/>
              <w:jc w:val="center"/>
              <w:rPr>
                <w:rFonts w:ascii="黑体" w:hAnsi="黑体" w:eastAsia="黑体"/>
                <w:sz w:val="22"/>
              </w:rPr>
            </w:pPr>
            <w:r>
              <w:rPr>
                <w:rFonts w:hint="eastAsia" w:ascii="黑体" w:hAnsi="黑体" w:eastAsia="黑体"/>
                <w:sz w:val="22"/>
              </w:rPr>
              <w:t>普通民兵总数</w:t>
            </w:r>
          </w:p>
          <w:p>
            <w:pPr>
              <w:widowControl/>
              <w:jc w:val="center"/>
              <w:rPr>
                <w:rFonts w:ascii="黑体" w:hAnsi="黑体" w:eastAsia="黑体"/>
                <w:sz w:val="22"/>
              </w:rPr>
            </w:pPr>
            <w:r>
              <w:rPr>
                <w:rFonts w:hint="eastAsia" w:ascii="黑体" w:hAnsi="黑体" w:eastAsia="黑体"/>
                <w:sz w:val="22"/>
              </w:rPr>
              <w:t>（人）</w:t>
            </w:r>
          </w:p>
        </w:tc>
        <w:tc>
          <w:tcPr>
            <w:tcW w:w="6095" w:type="dxa"/>
            <w:gridSpan w:val="6"/>
            <w:vAlign w:val="center"/>
          </w:tcPr>
          <w:p>
            <w:pPr>
              <w:widowControl/>
              <w:jc w:val="center"/>
              <w:rPr>
                <w:rFonts w:ascii="黑体" w:hAnsi="黑体" w:eastAsia="黑体"/>
                <w:sz w:val="22"/>
              </w:rPr>
            </w:pPr>
            <w:r>
              <w:rPr>
                <w:rFonts w:hint="eastAsia" w:ascii="黑体" w:hAnsi="黑体" w:eastAsia="黑体"/>
                <w:sz w:val="22"/>
              </w:rPr>
              <w:t>基干民兵（人）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8" w:hRule="exact"/>
        </w:trPr>
        <w:tc>
          <w:tcPr>
            <w:tcW w:w="1355" w:type="dxa"/>
            <w:vMerge w:val="continue"/>
            <w:vAlign w:val="center"/>
          </w:tcPr>
          <w:p>
            <w:pPr>
              <w:widowControl/>
              <w:jc w:val="center"/>
              <w:rPr>
                <w:rFonts w:ascii="黑体" w:hAnsi="黑体" w:eastAsia="黑体"/>
                <w:sz w:val="22"/>
              </w:rPr>
            </w:pPr>
          </w:p>
        </w:tc>
        <w:tc>
          <w:tcPr>
            <w:tcW w:w="3152" w:type="dxa"/>
            <w:gridSpan w:val="3"/>
            <w:vMerge w:val="continue"/>
            <w:vAlign w:val="center"/>
          </w:tcPr>
          <w:p>
            <w:pPr>
              <w:widowControl/>
              <w:jc w:val="center"/>
              <w:rPr>
                <w:rFonts w:ascii="黑体" w:hAnsi="黑体" w:eastAsia="黑体"/>
                <w:sz w:val="22"/>
              </w:rPr>
            </w:pPr>
          </w:p>
        </w:tc>
        <w:tc>
          <w:tcPr>
            <w:tcW w:w="1134" w:type="dxa"/>
            <w:vMerge w:val="restart"/>
            <w:vAlign w:val="center"/>
          </w:tcPr>
          <w:p>
            <w:pPr>
              <w:widowControl/>
              <w:jc w:val="center"/>
              <w:rPr>
                <w:rFonts w:ascii="黑体" w:hAnsi="黑体" w:eastAsia="黑体"/>
                <w:sz w:val="22"/>
              </w:rPr>
            </w:pPr>
            <w:r>
              <w:rPr>
                <w:rFonts w:hint="eastAsia" w:ascii="黑体" w:hAnsi="黑体" w:eastAsia="黑体"/>
                <w:sz w:val="22"/>
              </w:rPr>
              <w:t>编组人数总计</w:t>
            </w:r>
          </w:p>
        </w:tc>
        <w:tc>
          <w:tcPr>
            <w:tcW w:w="2410" w:type="dxa"/>
            <w:gridSpan w:val="2"/>
            <w:vAlign w:val="center"/>
          </w:tcPr>
          <w:p>
            <w:pPr>
              <w:widowControl/>
              <w:jc w:val="center"/>
              <w:rPr>
                <w:rFonts w:ascii="黑体" w:hAnsi="黑体" w:eastAsia="黑体"/>
                <w:sz w:val="22"/>
              </w:rPr>
            </w:pPr>
            <w:r>
              <w:rPr>
                <w:rFonts w:hint="eastAsia" w:ascii="黑体" w:hAnsi="黑体" w:eastAsia="黑体"/>
                <w:sz w:val="22"/>
              </w:rPr>
              <w:t>应急力量</w:t>
            </w:r>
          </w:p>
        </w:tc>
        <w:tc>
          <w:tcPr>
            <w:tcW w:w="1701" w:type="dxa"/>
            <w:gridSpan w:val="2"/>
            <w:vAlign w:val="center"/>
          </w:tcPr>
          <w:p>
            <w:pPr>
              <w:widowControl/>
              <w:jc w:val="center"/>
              <w:rPr>
                <w:rFonts w:ascii="黑体" w:hAnsi="黑体" w:eastAsia="黑体"/>
                <w:sz w:val="22"/>
              </w:rPr>
            </w:pPr>
            <w:r>
              <w:rPr>
                <w:rFonts w:hint="eastAsia" w:ascii="黑体" w:hAnsi="黑体" w:eastAsia="黑体"/>
                <w:sz w:val="22"/>
                <w:lang w:eastAsia="zh-CN"/>
              </w:rPr>
              <w:t>支援</w:t>
            </w:r>
            <w:r>
              <w:rPr>
                <w:rFonts w:hint="eastAsia" w:ascii="黑体" w:hAnsi="黑体" w:eastAsia="黑体"/>
                <w:sz w:val="22"/>
              </w:rPr>
              <w:t>力量</w:t>
            </w:r>
          </w:p>
        </w:tc>
        <w:tc>
          <w:tcPr>
            <w:tcW w:w="850" w:type="dxa"/>
            <w:vMerge w:val="restart"/>
            <w:vAlign w:val="center"/>
          </w:tcPr>
          <w:p>
            <w:pPr>
              <w:widowControl/>
              <w:jc w:val="center"/>
              <w:rPr>
                <w:rFonts w:ascii="黑体" w:hAnsi="黑体" w:eastAsia="黑体"/>
                <w:sz w:val="22"/>
              </w:rPr>
            </w:pPr>
            <w:r>
              <w:rPr>
                <w:rFonts w:hint="eastAsia" w:ascii="黑体" w:hAnsi="黑体" w:eastAsia="黑体"/>
                <w:sz w:val="22"/>
              </w:rPr>
              <w:t>骨干侦察情报员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2" w:hRule="atLeast"/>
        </w:trPr>
        <w:tc>
          <w:tcPr>
            <w:tcW w:w="1355" w:type="dxa"/>
            <w:vMerge w:val="continue"/>
            <w:vAlign w:val="center"/>
          </w:tcPr>
          <w:p>
            <w:pPr>
              <w:widowControl/>
              <w:jc w:val="center"/>
              <w:rPr>
                <w:rFonts w:ascii="仿宋_GB2312" w:eastAsia="仿宋_GB2312"/>
                <w:sz w:val="22"/>
              </w:rPr>
            </w:pPr>
          </w:p>
        </w:tc>
        <w:tc>
          <w:tcPr>
            <w:tcW w:w="1026" w:type="dxa"/>
            <w:vAlign w:val="center"/>
          </w:tcPr>
          <w:p>
            <w:pPr>
              <w:widowControl/>
              <w:jc w:val="center"/>
              <w:rPr>
                <w:rFonts w:ascii="仿宋_GB2312" w:eastAsia="仿宋_GB2312"/>
                <w:sz w:val="22"/>
              </w:rPr>
            </w:pPr>
            <w:r>
              <w:rPr>
                <w:rFonts w:hint="eastAsia" w:ascii="仿宋_GB2312" w:eastAsia="仿宋_GB2312"/>
                <w:sz w:val="22"/>
              </w:rPr>
              <w:t>18-45周岁男性</w:t>
            </w:r>
          </w:p>
        </w:tc>
        <w:tc>
          <w:tcPr>
            <w:tcW w:w="1134" w:type="dxa"/>
            <w:vAlign w:val="center"/>
          </w:tcPr>
          <w:p>
            <w:pPr>
              <w:widowControl/>
              <w:jc w:val="center"/>
              <w:rPr>
                <w:rFonts w:ascii="仿宋_GB2312" w:eastAsia="仿宋_GB2312"/>
                <w:sz w:val="22"/>
              </w:rPr>
            </w:pPr>
            <w:r>
              <w:rPr>
                <w:rFonts w:hint="eastAsia" w:ascii="仿宋_GB2312" w:eastAsia="仿宋_GB2312"/>
                <w:sz w:val="22"/>
              </w:rPr>
              <w:t>行政村</w:t>
            </w:r>
          </w:p>
        </w:tc>
        <w:tc>
          <w:tcPr>
            <w:tcW w:w="992" w:type="dxa"/>
            <w:vAlign w:val="center"/>
          </w:tcPr>
          <w:p>
            <w:pPr>
              <w:widowControl/>
              <w:jc w:val="center"/>
              <w:rPr>
                <w:rFonts w:ascii="仿宋_GB2312" w:eastAsia="仿宋_GB2312"/>
                <w:sz w:val="22"/>
              </w:rPr>
            </w:pPr>
            <w:r>
              <w:rPr>
                <w:rFonts w:hint="eastAsia" w:ascii="仿宋_GB2312" w:eastAsia="仿宋_GB2312"/>
                <w:sz w:val="22"/>
              </w:rPr>
              <w:t>应编人数</w:t>
            </w:r>
          </w:p>
        </w:tc>
        <w:tc>
          <w:tcPr>
            <w:tcW w:w="1134" w:type="dxa"/>
            <w:vMerge w:val="continue"/>
            <w:vAlign w:val="center"/>
          </w:tcPr>
          <w:p>
            <w:pPr>
              <w:widowControl/>
              <w:jc w:val="center"/>
              <w:rPr>
                <w:rFonts w:ascii="仿宋_GB2312" w:eastAsia="仿宋_GB2312"/>
                <w:sz w:val="22"/>
              </w:rPr>
            </w:pPr>
          </w:p>
        </w:tc>
        <w:tc>
          <w:tcPr>
            <w:tcW w:w="1134" w:type="dxa"/>
            <w:vAlign w:val="center"/>
          </w:tcPr>
          <w:p>
            <w:pPr>
              <w:widowControl/>
              <w:jc w:val="center"/>
              <w:rPr>
                <w:rFonts w:ascii="仿宋_GB2312" w:eastAsia="仿宋_GB2312"/>
                <w:sz w:val="22"/>
              </w:rPr>
            </w:pPr>
            <w:r>
              <w:rPr>
                <w:rFonts w:hint="eastAsia" w:ascii="仿宋_GB2312" w:eastAsia="仿宋_GB2312"/>
                <w:sz w:val="22"/>
              </w:rPr>
              <w:t>应急连</w:t>
            </w:r>
          </w:p>
        </w:tc>
        <w:tc>
          <w:tcPr>
            <w:tcW w:w="1276" w:type="dxa"/>
            <w:vAlign w:val="center"/>
          </w:tcPr>
          <w:p>
            <w:pPr>
              <w:widowControl/>
              <w:jc w:val="center"/>
              <w:rPr>
                <w:rFonts w:ascii="仿宋_GB2312" w:eastAsia="仿宋_GB2312"/>
                <w:sz w:val="22"/>
              </w:rPr>
            </w:pPr>
            <w:r>
              <w:rPr>
                <w:rFonts w:hint="eastAsia" w:ascii="仿宋_GB2312" w:eastAsia="仿宋_GB2312"/>
                <w:sz w:val="22"/>
              </w:rPr>
              <w:t>应急排</w:t>
            </w:r>
          </w:p>
        </w:tc>
        <w:tc>
          <w:tcPr>
            <w:tcW w:w="850" w:type="dxa"/>
            <w:vAlign w:val="center"/>
          </w:tcPr>
          <w:p>
            <w:pPr>
              <w:widowControl/>
              <w:jc w:val="center"/>
              <w:rPr>
                <w:rFonts w:ascii="黑体" w:hAnsi="黑体" w:eastAsia="黑体"/>
                <w:sz w:val="22"/>
              </w:rPr>
            </w:pPr>
            <w:r>
              <w:rPr>
                <w:rFonts w:hint="eastAsia" w:ascii="黑体" w:hAnsi="黑体" w:eastAsia="黑体"/>
                <w:sz w:val="22"/>
              </w:rPr>
              <w:t>分计</w:t>
            </w:r>
          </w:p>
        </w:tc>
        <w:tc>
          <w:tcPr>
            <w:tcW w:w="851" w:type="dxa"/>
            <w:vAlign w:val="center"/>
          </w:tcPr>
          <w:p>
            <w:pPr>
              <w:widowControl/>
              <w:jc w:val="center"/>
              <w:rPr>
                <w:rFonts w:ascii="黑体" w:hAnsi="黑体" w:eastAsia="黑体"/>
                <w:sz w:val="22"/>
              </w:rPr>
            </w:pPr>
            <w:r>
              <w:rPr>
                <w:rFonts w:hint="eastAsia" w:ascii="黑体" w:hAnsi="黑体" w:eastAsia="黑体"/>
                <w:sz w:val="22"/>
              </w:rPr>
              <w:t>其他</w:t>
            </w:r>
          </w:p>
          <w:p>
            <w:pPr>
              <w:widowControl/>
              <w:jc w:val="center"/>
              <w:rPr>
                <w:rFonts w:ascii="黑体" w:hAnsi="黑体" w:eastAsia="黑体"/>
                <w:sz w:val="22"/>
              </w:rPr>
            </w:pPr>
            <w:r>
              <w:rPr>
                <w:rFonts w:hint="eastAsia" w:ascii="黑体" w:hAnsi="黑体" w:eastAsia="黑体"/>
                <w:sz w:val="22"/>
              </w:rPr>
              <w:t>专业</w:t>
            </w:r>
          </w:p>
        </w:tc>
        <w:tc>
          <w:tcPr>
            <w:tcW w:w="850" w:type="dxa"/>
            <w:vMerge w:val="continue"/>
            <w:vAlign w:val="center"/>
          </w:tcPr>
          <w:p>
            <w:pPr>
              <w:widowControl/>
              <w:jc w:val="center"/>
              <w:rPr>
                <w:rFonts w:ascii="仿宋_GB2312" w:eastAsia="仿宋_GB2312"/>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exact"/>
        </w:trPr>
        <w:tc>
          <w:tcPr>
            <w:tcW w:w="1355" w:type="dxa"/>
            <w:vAlign w:val="center"/>
          </w:tcPr>
          <w:p>
            <w:pPr>
              <w:widowControl/>
              <w:jc w:val="center"/>
              <w:rPr>
                <w:rFonts w:ascii="仿宋_GB2312" w:eastAsia="仿宋_GB2312"/>
                <w:b/>
                <w:sz w:val="22"/>
              </w:rPr>
            </w:pPr>
            <w:r>
              <w:rPr>
                <w:rFonts w:hint="eastAsia" w:ascii="宋体" w:hAnsi="宋体" w:eastAsia="宋体" w:cs="宋体"/>
                <w:b/>
                <w:color w:val="000000"/>
                <w:kern w:val="0"/>
                <w:sz w:val="22"/>
              </w:rPr>
              <w:t>合  计</w:t>
            </w:r>
          </w:p>
        </w:tc>
        <w:tc>
          <w:tcPr>
            <w:tcW w:w="1026"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57115</w:t>
            </w:r>
          </w:p>
        </w:tc>
        <w:tc>
          <w:tcPr>
            <w:tcW w:w="1134"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329</w:t>
            </w:r>
          </w:p>
        </w:tc>
        <w:tc>
          <w:tcPr>
            <w:tcW w:w="992"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8100</w:t>
            </w:r>
          </w:p>
        </w:tc>
        <w:tc>
          <w:tcPr>
            <w:tcW w:w="1134"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830</w:t>
            </w:r>
          </w:p>
        </w:tc>
        <w:tc>
          <w:tcPr>
            <w:tcW w:w="1134"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120</w:t>
            </w:r>
          </w:p>
        </w:tc>
        <w:tc>
          <w:tcPr>
            <w:tcW w:w="1276"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600</w:t>
            </w:r>
          </w:p>
        </w:tc>
        <w:tc>
          <w:tcPr>
            <w:tcW w:w="850"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110</w:t>
            </w:r>
          </w:p>
        </w:tc>
        <w:tc>
          <w:tcPr>
            <w:tcW w:w="851"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100</w:t>
            </w:r>
          </w:p>
        </w:tc>
        <w:tc>
          <w:tcPr>
            <w:tcW w:w="850" w:type="dxa"/>
            <w:vAlign w:val="center"/>
          </w:tcPr>
          <w:p>
            <w:pPr>
              <w:widowControl/>
              <w:jc w:val="center"/>
              <w:rPr>
                <w:rFonts w:ascii="宋体" w:hAnsi="宋体" w:eastAsia="宋体" w:cs="宋体"/>
                <w:b/>
                <w:color w:val="000000"/>
                <w:kern w:val="0"/>
                <w:sz w:val="22"/>
              </w:rPr>
            </w:pPr>
            <w:r>
              <w:rPr>
                <w:rFonts w:hint="eastAsia" w:ascii="宋体" w:hAnsi="宋体" w:eastAsia="宋体" w:cs="宋体"/>
                <w:b/>
                <w:color w:val="000000"/>
                <w:kern w:val="0"/>
                <w:sz w:val="22"/>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bottom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县本级</w:t>
            </w:r>
          </w:p>
        </w:tc>
        <w:tc>
          <w:tcPr>
            <w:tcW w:w="1026" w:type="dxa"/>
            <w:tcBorders>
              <w:bottom w:val="single" w:color="auto" w:sz="4" w:space="0"/>
            </w:tcBorders>
            <w:vAlign w:val="center"/>
          </w:tcPr>
          <w:p>
            <w:pPr>
              <w:widowControl/>
              <w:jc w:val="center"/>
              <w:rPr>
                <w:rFonts w:ascii="宋体" w:hAnsi="宋体" w:eastAsia="宋体" w:cs="宋体"/>
                <w:color w:val="000000"/>
                <w:kern w:val="0"/>
                <w:sz w:val="22"/>
              </w:rPr>
            </w:pPr>
          </w:p>
        </w:tc>
        <w:tc>
          <w:tcPr>
            <w:tcW w:w="1134" w:type="dxa"/>
            <w:tcBorders>
              <w:bottom w:val="single" w:color="auto" w:sz="4" w:space="0"/>
            </w:tcBorders>
            <w:vAlign w:val="center"/>
          </w:tcPr>
          <w:p>
            <w:pPr>
              <w:widowControl/>
              <w:jc w:val="center"/>
              <w:rPr>
                <w:rFonts w:ascii="宋体" w:hAnsi="宋体" w:eastAsia="宋体" w:cs="宋体"/>
                <w:color w:val="000000"/>
                <w:kern w:val="0"/>
                <w:sz w:val="22"/>
              </w:rPr>
            </w:pPr>
          </w:p>
        </w:tc>
        <w:tc>
          <w:tcPr>
            <w:tcW w:w="992" w:type="dxa"/>
            <w:tcBorders>
              <w:bottom w:val="single" w:color="auto" w:sz="4" w:space="0"/>
            </w:tcBorders>
            <w:vAlign w:val="center"/>
          </w:tcPr>
          <w:p>
            <w:pPr>
              <w:widowControl/>
              <w:jc w:val="center"/>
              <w:rPr>
                <w:rFonts w:ascii="宋体" w:hAnsi="宋体" w:eastAsia="宋体" w:cs="宋体"/>
                <w:color w:val="000000"/>
                <w:kern w:val="0"/>
                <w:sz w:val="22"/>
              </w:rPr>
            </w:pPr>
          </w:p>
        </w:tc>
        <w:tc>
          <w:tcPr>
            <w:tcW w:w="1134" w:type="dxa"/>
            <w:tcBorders>
              <w:bottom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230</w:t>
            </w:r>
          </w:p>
        </w:tc>
        <w:tc>
          <w:tcPr>
            <w:tcW w:w="1134" w:type="dxa"/>
            <w:tcBorders>
              <w:bottom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c>
          <w:tcPr>
            <w:tcW w:w="1276" w:type="dxa"/>
            <w:tcBorders>
              <w:bottom w:val="single" w:color="auto" w:sz="4" w:space="0"/>
            </w:tcBorders>
            <w:vAlign w:val="center"/>
          </w:tcPr>
          <w:p>
            <w:pPr>
              <w:widowControl/>
              <w:jc w:val="center"/>
              <w:rPr>
                <w:rFonts w:ascii="宋体" w:hAnsi="宋体" w:eastAsia="宋体" w:cs="宋体"/>
                <w:color w:val="000000"/>
                <w:kern w:val="0"/>
                <w:sz w:val="22"/>
              </w:rPr>
            </w:pPr>
          </w:p>
        </w:tc>
        <w:tc>
          <w:tcPr>
            <w:tcW w:w="850" w:type="dxa"/>
            <w:tcBorders>
              <w:bottom w:val="single" w:color="auto" w:sz="4" w:space="0"/>
            </w:tcBorders>
            <w:vAlign w:val="center"/>
          </w:tcPr>
          <w:p>
            <w:pPr>
              <w:widowControl/>
              <w:jc w:val="center"/>
              <w:rPr>
                <w:rFonts w:ascii="宋体" w:hAnsi="宋体" w:eastAsia="宋体" w:cs="宋体"/>
                <w:color w:val="000000"/>
                <w:kern w:val="0"/>
                <w:sz w:val="22"/>
              </w:rPr>
            </w:pPr>
          </w:p>
        </w:tc>
        <w:tc>
          <w:tcPr>
            <w:tcW w:w="851" w:type="dxa"/>
            <w:tcBorders>
              <w:bottom w:val="single" w:color="auto" w:sz="4" w:space="0"/>
            </w:tcBorders>
            <w:vAlign w:val="center"/>
          </w:tcPr>
          <w:p>
            <w:pPr>
              <w:widowControl/>
              <w:jc w:val="center"/>
              <w:rPr>
                <w:rFonts w:ascii="宋体" w:hAnsi="宋体" w:eastAsia="宋体" w:cs="宋体"/>
                <w:color w:val="000000"/>
                <w:kern w:val="0"/>
                <w:sz w:val="22"/>
              </w:rPr>
            </w:pPr>
          </w:p>
        </w:tc>
        <w:tc>
          <w:tcPr>
            <w:tcW w:w="850" w:type="dxa"/>
            <w:tcBorders>
              <w:bottom w:val="single" w:color="auto" w:sz="4" w:space="0"/>
            </w:tcBorders>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8" w:hRule="exact"/>
        </w:trPr>
        <w:tc>
          <w:tcPr>
            <w:tcW w:w="1355" w:type="dxa"/>
            <w:tcBorders>
              <w:top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佳州街道办事处</w:t>
            </w:r>
          </w:p>
        </w:tc>
        <w:tc>
          <w:tcPr>
            <w:tcW w:w="1026" w:type="dxa"/>
            <w:tcBorders>
              <w:top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7322</w:t>
            </w:r>
          </w:p>
        </w:tc>
        <w:tc>
          <w:tcPr>
            <w:tcW w:w="1134" w:type="dxa"/>
            <w:tcBorders>
              <w:top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992" w:type="dxa"/>
            <w:tcBorders>
              <w:top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1050</w:t>
            </w:r>
          </w:p>
        </w:tc>
        <w:tc>
          <w:tcPr>
            <w:tcW w:w="1134" w:type="dxa"/>
            <w:tcBorders>
              <w:top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w:t>
            </w:r>
          </w:p>
        </w:tc>
        <w:tc>
          <w:tcPr>
            <w:tcW w:w="1134" w:type="dxa"/>
            <w:tcBorders>
              <w:top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18</w:t>
            </w:r>
          </w:p>
        </w:tc>
        <w:tc>
          <w:tcPr>
            <w:tcW w:w="1276" w:type="dxa"/>
            <w:tcBorders>
              <w:top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top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tcBorders>
            <w:vAlign w:val="center"/>
          </w:tcPr>
          <w:p>
            <w:pPr>
              <w:widowControl/>
              <w:jc w:val="center"/>
              <w:rPr>
                <w:rFonts w:ascii="宋体" w:hAnsi="宋体" w:eastAsia="宋体" w:cs="宋体"/>
                <w:color w:val="000000"/>
                <w:kern w:val="0"/>
                <w:sz w:val="22"/>
              </w:rPr>
            </w:pPr>
          </w:p>
        </w:tc>
        <w:tc>
          <w:tcPr>
            <w:tcW w:w="850" w:type="dxa"/>
            <w:tcBorders>
              <w:top w:val="single" w:color="auto" w:sz="4" w:space="0"/>
            </w:tcBorders>
            <w:vAlign w:val="center"/>
          </w:tcPr>
          <w:p>
            <w:pPr>
              <w:widowControl/>
              <w:jc w:val="center"/>
              <w:rPr>
                <w:rFonts w:hint="eastAsia" w:ascii="宋体" w:hAnsi="宋体" w:eastAsia="宋体" w:cs="宋体"/>
                <w:color w:val="000000"/>
                <w:kern w:val="0"/>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通</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镇</w:t>
            </w:r>
          </w:p>
        </w:tc>
        <w:tc>
          <w:tcPr>
            <w:tcW w:w="1026"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7753</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750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朱家坬</w:t>
            </w:r>
          </w:p>
        </w:tc>
        <w:tc>
          <w:tcPr>
            <w:tcW w:w="1026" w:type="dxa"/>
            <w:vMerge w:val="continue"/>
            <w:vAlign w:val="center"/>
          </w:tcPr>
          <w:p>
            <w:pPr>
              <w:widowControl/>
              <w:jc w:val="center"/>
              <w:rPr>
                <w:rFonts w:ascii="宋体" w:hAnsi="宋体" w:eastAsia="宋体" w:cs="宋体"/>
                <w:color w:val="000000"/>
                <w:kern w:val="0"/>
                <w:sz w:val="22"/>
              </w:rPr>
            </w:pP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王家砭</w:t>
            </w:r>
          </w:p>
        </w:tc>
        <w:tc>
          <w:tcPr>
            <w:tcW w:w="102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3177</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1134" w:type="dxa"/>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8</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default" w:ascii="宋体" w:hAnsi="宋体" w:eastAsia="宋体" w:cs="宋体"/>
                <w:color w:val="000000"/>
                <w:kern w:val="0"/>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方</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塌</w:t>
            </w:r>
          </w:p>
        </w:tc>
        <w:tc>
          <w:tcPr>
            <w:tcW w:w="102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2083</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刘国具</w:t>
            </w:r>
          </w:p>
        </w:tc>
        <w:tc>
          <w:tcPr>
            <w:tcW w:w="1026"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4801</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上高寨</w:t>
            </w:r>
          </w:p>
        </w:tc>
        <w:tc>
          <w:tcPr>
            <w:tcW w:w="1026" w:type="dxa"/>
            <w:vMerge w:val="continue"/>
            <w:vAlign w:val="center"/>
          </w:tcPr>
          <w:p>
            <w:pPr>
              <w:widowControl/>
              <w:jc w:val="center"/>
              <w:rPr>
                <w:rFonts w:ascii="宋体" w:hAnsi="宋体" w:eastAsia="宋体" w:cs="宋体"/>
                <w:color w:val="000000"/>
                <w:kern w:val="0"/>
                <w:sz w:val="22"/>
              </w:rPr>
            </w:pP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朱官寨</w:t>
            </w:r>
          </w:p>
        </w:tc>
        <w:tc>
          <w:tcPr>
            <w:tcW w:w="1026"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3424</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5</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eastAsia" w:ascii="宋体" w:hAnsi="宋体" w:eastAsia="宋体" w:cs="宋体"/>
                <w:color w:val="000000"/>
                <w:kern w:val="0"/>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 xml:space="preserve">兴隆寺                                                                                                                                                                                                                                                                                                                                                                                                                                                                                                                                                                                                                                                                                                                                                                                                                                                                                                                                                                                                                                                                                                                                                                                                                                                             </w:t>
            </w:r>
          </w:p>
        </w:tc>
        <w:tc>
          <w:tcPr>
            <w:tcW w:w="1026" w:type="dxa"/>
            <w:vMerge w:val="continue"/>
            <w:vAlign w:val="center"/>
          </w:tcPr>
          <w:p>
            <w:pPr>
              <w:widowControl/>
              <w:jc w:val="center"/>
              <w:rPr>
                <w:rFonts w:ascii="宋体" w:hAnsi="宋体" w:eastAsia="宋体" w:cs="宋体"/>
                <w:color w:val="000000"/>
                <w:kern w:val="0"/>
                <w:sz w:val="22"/>
              </w:rPr>
            </w:pP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134" w:type="dxa"/>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eastAsia" w:ascii="宋体" w:hAnsi="宋体" w:eastAsia="宋体" w:cs="宋体"/>
                <w:color w:val="000000"/>
                <w:kern w:val="0"/>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金明寺</w:t>
            </w:r>
          </w:p>
        </w:tc>
        <w:tc>
          <w:tcPr>
            <w:tcW w:w="1026"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4049</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官</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庄</w:t>
            </w:r>
          </w:p>
        </w:tc>
        <w:tc>
          <w:tcPr>
            <w:tcW w:w="1026" w:type="dxa"/>
            <w:vMerge w:val="continue"/>
            <w:vAlign w:val="center"/>
          </w:tcPr>
          <w:p>
            <w:pPr>
              <w:widowControl/>
              <w:jc w:val="center"/>
              <w:rPr>
                <w:rFonts w:ascii="宋体" w:hAnsi="宋体" w:eastAsia="宋体" w:cs="宋体"/>
                <w:color w:val="000000"/>
                <w:kern w:val="0"/>
                <w:sz w:val="22"/>
              </w:rPr>
            </w:pP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木头峪</w:t>
            </w:r>
          </w:p>
        </w:tc>
        <w:tc>
          <w:tcPr>
            <w:tcW w:w="102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2788</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乌</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镇</w:t>
            </w:r>
          </w:p>
        </w:tc>
        <w:tc>
          <w:tcPr>
            <w:tcW w:w="1026"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6710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992"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630</w:t>
            </w:r>
          </w:p>
        </w:tc>
        <w:tc>
          <w:tcPr>
            <w:tcW w:w="113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1134" w:type="dxa"/>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8</w:t>
            </w:r>
          </w:p>
        </w:tc>
        <w:tc>
          <w:tcPr>
            <w:tcW w:w="1276"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hint="default" w:ascii="宋体" w:hAnsi="宋体" w:eastAsia="宋体" w:cs="宋体"/>
                <w:color w:val="000000"/>
                <w:kern w:val="0"/>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刘家山</w:t>
            </w:r>
          </w:p>
        </w:tc>
        <w:tc>
          <w:tcPr>
            <w:tcW w:w="1026" w:type="dxa"/>
            <w:vMerge w:val="continue"/>
            <w:vAlign w:val="center"/>
          </w:tcPr>
          <w:p>
            <w:pPr>
              <w:widowControl/>
              <w:jc w:val="center"/>
              <w:rPr>
                <w:rFonts w:ascii="宋体" w:hAnsi="宋体" w:eastAsia="宋体" w:cs="宋体"/>
                <w:color w:val="000000"/>
                <w:kern w:val="0"/>
                <w:sz w:val="22"/>
              </w:rPr>
            </w:pPr>
          </w:p>
        </w:tc>
        <w:tc>
          <w:tcPr>
            <w:tcW w:w="1134" w:type="dxa"/>
            <w:tcBorders>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992" w:type="dxa"/>
            <w:tcBorders>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1134"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tcBorders>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left w:val="single" w:color="auto" w:sz="4" w:space="0"/>
            </w:tcBorders>
            <w:vAlign w:val="center"/>
          </w:tcPr>
          <w:p>
            <w:pPr>
              <w:widowControl/>
              <w:jc w:val="center"/>
              <w:rPr>
                <w:rFonts w:ascii="宋体" w:hAnsi="宋体" w:eastAsia="宋体" w:cs="宋体"/>
                <w:color w:val="000000"/>
                <w:kern w:val="0"/>
                <w:sz w:val="22"/>
              </w:rPr>
            </w:pPr>
          </w:p>
        </w:tc>
        <w:tc>
          <w:tcPr>
            <w:tcW w:w="851" w:type="dxa"/>
            <w:vAlign w:val="center"/>
          </w:tcPr>
          <w:p>
            <w:pPr>
              <w:widowControl/>
              <w:jc w:val="center"/>
              <w:rPr>
                <w:rFonts w:ascii="宋体" w:hAnsi="宋体" w:eastAsia="宋体" w:cs="宋体"/>
                <w:color w:val="000000"/>
                <w:kern w:val="0"/>
                <w:sz w:val="22"/>
              </w:rPr>
            </w:pPr>
          </w:p>
        </w:tc>
        <w:tc>
          <w:tcPr>
            <w:tcW w:w="850"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bottom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店</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镇</w:t>
            </w:r>
          </w:p>
        </w:tc>
        <w:tc>
          <w:tcPr>
            <w:tcW w:w="1026" w:type="dxa"/>
            <w:tcBorders>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3224</w:t>
            </w:r>
          </w:p>
        </w:tc>
        <w:tc>
          <w:tcPr>
            <w:tcW w:w="1134" w:type="dxa"/>
            <w:tcBorders>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992" w:type="dxa"/>
            <w:tcBorders>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450</w:t>
            </w:r>
          </w:p>
        </w:tc>
        <w:tc>
          <w:tcPr>
            <w:tcW w:w="1134" w:type="dxa"/>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0" w:type="dxa"/>
            <w:tcBorders>
              <w:left w:val="single" w:color="auto" w:sz="4" w:space="0"/>
              <w:bottom w:val="single" w:color="auto" w:sz="4" w:space="0"/>
            </w:tcBorders>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坑</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镇</w:t>
            </w:r>
          </w:p>
        </w:tc>
        <w:tc>
          <w:tcPr>
            <w:tcW w:w="1026" w:type="dxa"/>
            <w:vMerge w:val="restart"/>
            <w:tcBorders>
              <w:top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5284</w:t>
            </w:r>
          </w:p>
        </w:tc>
        <w:tc>
          <w:tcPr>
            <w:tcW w:w="1134"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992"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0" w:type="dxa"/>
            <w:tcBorders>
              <w:top w:val="single" w:color="auto" w:sz="4" w:space="0"/>
              <w:left w:val="single" w:color="auto" w:sz="4" w:space="0"/>
              <w:bottom w:val="single" w:color="auto" w:sz="4" w:space="0"/>
            </w:tcBorders>
            <w:vAlign w:val="center"/>
          </w:tcPr>
          <w:p>
            <w:pPr>
              <w:widowControl/>
              <w:jc w:val="center"/>
              <w:rPr>
                <w:rFonts w:hint="eastAsia" w:ascii="宋体" w:hAnsi="宋体" w:eastAsia="宋体" w:cs="宋体"/>
                <w:color w:val="000000"/>
                <w:kern w:val="0"/>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大佛寺</w:t>
            </w:r>
          </w:p>
        </w:tc>
        <w:tc>
          <w:tcPr>
            <w:tcW w:w="1026" w:type="dxa"/>
            <w:vMerge w:val="continue"/>
            <w:tcBorders>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134"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992"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螅</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镇</w:t>
            </w:r>
          </w:p>
        </w:tc>
        <w:tc>
          <w:tcPr>
            <w:tcW w:w="1026"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2434</w:t>
            </w:r>
          </w:p>
        </w:tc>
        <w:tc>
          <w:tcPr>
            <w:tcW w:w="1134"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992"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0" w:type="dxa"/>
            <w:tcBorders>
              <w:top w:val="single" w:color="auto" w:sz="4" w:space="0"/>
              <w:left w:val="single" w:color="auto" w:sz="4" w:space="0"/>
              <w:bottom w:val="single" w:color="auto" w:sz="4" w:space="0"/>
            </w:tcBorders>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康家港</w:t>
            </w:r>
          </w:p>
        </w:tc>
        <w:tc>
          <w:tcPr>
            <w:tcW w:w="1026"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2301</w:t>
            </w:r>
          </w:p>
        </w:tc>
        <w:tc>
          <w:tcPr>
            <w:tcW w:w="1134"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992"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0" w:type="dxa"/>
            <w:tcBorders>
              <w:top w:val="single" w:color="auto" w:sz="4" w:space="0"/>
              <w:left w:val="single" w:color="auto" w:sz="4" w:space="0"/>
              <w:bottom w:val="single" w:color="auto" w:sz="4" w:space="0"/>
            </w:tcBorders>
            <w:vAlign w:val="center"/>
          </w:tcPr>
          <w:p>
            <w:pPr>
              <w:widowControl/>
              <w:jc w:val="center"/>
              <w:rPr>
                <w:rFonts w:hint="eastAsia" w:ascii="宋体" w:hAnsi="宋体" w:eastAsia="宋体" w:cs="宋体"/>
                <w:color w:val="000000"/>
                <w:kern w:val="0"/>
                <w:sz w:val="22"/>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ascii="宋体" w:hAnsi="宋体" w:eastAsia="宋体" w:cs="宋体"/>
                <w:color w:val="000000"/>
                <w:kern w:val="0"/>
                <w:sz w:val="22"/>
              </w:rPr>
            </w:pPr>
            <w:r>
              <w:rPr>
                <w:rFonts w:hint="eastAsia" w:ascii="宋体" w:hAnsi="宋体" w:eastAsia="宋体" w:cs="宋体"/>
                <w:color w:val="000000"/>
                <w:kern w:val="0"/>
                <w:sz w:val="22"/>
              </w:rPr>
              <w:t>峪</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口</w:t>
            </w:r>
          </w:p>
        </w:tc>
        <w:tc>
          <w:tcPr>
            <w:tcW w:w="1026"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1865</w:t>
            </w:r>
          </w:p>
        </w:tc>
        <w:tc>
          <w:tcPr>
            <w:tcW w:w="1134"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992"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270</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县卫健局</w:t>
            </w:r>
          </w:p>
        </w:tc>
        <w:tc>
          <w:tcPr>
            <w:tcW w:w="1026"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92"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40</w:t>
            </w:r>
          </w:p>
        </w:tc>
        <w:tc>
          <w:tcPr>
            <w:tcW w:w="85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县工贸局</w:t>
            </w:r>
          </w:p>
        </w:tc>
        <w:tc>
          <w:tcPr>
            <w:tcW w:w="1026"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92"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w:t>
            </w:r>
          </w:p>
        </w:tc>
        <w:tc>
          <w:tcPr>
            <w:tcW w:w="85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县司法局</w:t>
            </w:r>
          </w:p>
        </w:tc>
        <w:tc>
          <w:tcPr>
            <w:tcW w:w="1026"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92"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w:t>
            </w:r>
          </w:p>
        </w:tc>
        <w:tc>
          <w:tcPr>
            <w:tcW w:w="85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000000"/>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exact"/>
        </w:trPr>
        <w:tc>
          <w:tcPr>
            <w:tcW w:w="1355" w:type="dxa"/>
            <w:tcBorders>
              <w:top w:val="single" w:color="auto" w:sz="4" w:space="0"/>
              <w:bottom w:val="single" w:color="auto" w:sz="4" w:space="0"/>
            </w:tcBorders>
            <w:vAlign w:val="center"/>
          </w:tcPr>
          <w:p>
            <w:pPr>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县</w:t>
            </w:r>
            <w:r>
              <w:rPr>
                <w:rFonts w:hint="eastAsia" w:ascii="宋体" w:hAnsi="宋体" w:eastAsia="宋体" w:cs="宋体"/>
                <w:color w:val="000000"/>
                <w:kern w:val="0"/>
                <w:sz w:val="22"/>
                <w:lang w:val="en-US" w:eastAsia="zh-CN"/>
              </w:rPr>
              <w:t>委</w:t>
            </w:r>
            <w:r>
              <w:rPr>
                <w:rFonts w:hint="eastAsia" w:ascii="宋体" w:hAnsi="宋体" w:eastAsia="宋体" w:cs="宋体"/>
                <w:color w:val="000000"/>
                <w:kern w:val="0"/>
                <w:sz w:val="22"/>
                <w:lang w:eastAsia="zh-CN"/>
              </w:rPr>
              <w:t>宣传部</w:t>
            </w:r>
          </w:p>
        </w:tc>
        <w:tc>
          <w:tcPr>
            <w:tcW w:w="1026"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992" w:type="dxa"/>
            <w:tcBorders>
              <w:top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w:t>
            </w:r>
          </w:p>
        </w:tc>
        <w:tc>
          <w:tcPr>
            <w:tcW w:w="85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000000"/>
                <w:kern w:val="0"/>
                <w:sz w:val="22"/>
              </w:rPr>
            </w:pPr>
          </w:p>
        </w:tc>
      </w:tr>
    </w:tbl>
    <w:p>
      <w:pPr>
        <w:widowControl/>
        <w:spacing w:line="600" w:lineRule="exact"/>
        <w:rPr>
          <w:rFonts w:ascii="仿宋_GB2312" w:eastAsia="仿宋_GB2312"/>
          <w:sz w:val="32"/>
          <w:szCs w:val="32"/>
        </w:rPr>
        <w:sectPr>
          <w:footerReference r:id="rId8" w:type="first"/>
          <w:footerReference r:id="rId7" w:type="default"/>
          <w:pgSz w:w="11906" w:h="16838"/>
          <w:pgMar w:top="1418" w:right="567" w:bottom="1418" w:left="567" w:header="851" w:footer="907" w:gutter="0"/>
          <w:pgNumType w:fmt="numberInDash" w:start="7"/>
          <w:cols w:space="425" w:num="1"/>
          <w:docGrid w:linePitch="312" w:charSpace="0"/>
        </w:sectPr>
      </w:pPr>
    </w:p>
    <w:p>
      <w:pPr>
        <w:widowControl/>
        <w:spacing w:line="600" w:lineRule="exact"/>
        <w:jc w:val="left"/>
        <w:rPr>
          <w:rFonts w:ascii="黑体" w:hAnsi="黑体" w:eastAsia="黑体" w:cs="宋体"/>
          <w:kern w:val="0"/>
          <w:sz w:val="32"/>
          <w:szCs w:val="32"/>
        </w:rPr>
      </w:pPr>
      <w:r>
        <mc:AlternateContent>
          <mc:Choice Requires="wps">
            <w:drawing>
              <wp:anchor distT="0" distB="0" distL="114300" distR="114300" simplePos="0" relativeHeight="251670528" behindDoc="0" locked="0" layoutInCell="1" allowOverlap="1">
                <wp:simplePos x="0" y="0"/>
                <wp:positionH relativeFrom="column">
                  <wp:posOffset>-347345</wp:posOffset>
                </wp:positionH>
                <wp:positionV relativeFrom="paragraph">
                  <wp:posOffset>0</wp:posOffset>
                </wp:positionV>
                <wp:extent cx="520700" cy="635000"/>
                <wp:effectExtent l="4445" t="5080" r="8255" b="7620"/>
                <wp:wrapSquare wrapText="bothSides"/>
                <wp:docPr id="11" name="文本框 11"/>
                <wp:cNvGraphicFramePr/>
                <a:graphic xmlns:a="http://schemas.openxmlformats.org/drawingml/2006/main">
                  <a:graphicData uri="http://schemas.microsoft.com/office/word/2010/wordprocessingShape">
                    <wps:wsp>
                      <wps:cNvSpPr txBox="1"/>
                      <wps:spPr>
                        <a:xfrm>
                          <a:off x="0" y="0"/>
                          <a:ext cx="520700" cy="6350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Cs w:val="28"/>
                              </w:rPr>
                            </w:pPr>
                          </w:p>
                        </w:txbxContent>
                      </wps:txbx>
                      <wps:bodyPr vert="eaVert" wrap="none" upright="1"/>
                    </wps:wsp>
                  </a:graphicData>
                </a:graphic>
              </wp:anchor>
            </w:drawing>
          </mc:Choice>
          <mc:Fallback>
            <w:pict>
              <v:shape id="_x0000_s1026" o:spid="_x0000_s1026" o:spt="202" type="#_x0000_t202" style="position:absolute;left:0pt;margin-left:-27.35pt;margin-top:0pt;height:50pt;width:41pt;mso-wrap-distance-bottom:0pt;mso-wrap-distance-left:9pt;mso-wrap-distance-right:9pt;mso-wrap-distance-top:0pt;mso-wrap-style:none;z-index:251670528;mso-width-relative:page;mso-height-relative:page;" fillcolor="#FFFFFF" filled="t" stroked="t" coordsize="21600,21600" o:gfxdata="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9blW1gAAAAcBAAAPAAAAAAAAAAEAIAAAACIAAABkcnMvZG93bnJldi54&#10;bWxQSwECFAAUAAAACACHTuJA243S0PwBAAARBAAADgAAAAAAAAABACAAAAAlAQAAZHJzL2Uyb0Rv&#10;Yy54bWxQSwUGAAAAAAYABgBZAQAAkwUAAAAA&#10;">
                <v:fill on="t" focussize="0,0"/>
                <v:stroke color="#FFFFFF" joinstyle="miter"/>
                <v:imagedata o:title=""/>
                <o:lock v:ext="edit" aspectratio="f"/>
                <v:textbox style="layout-flow:vertical-ideographic;">
                  <w:txbxContent>
                    <w:p>
                      <w:pPr>
                        <w:rPr>
                          <w:szCs w:val="28"/>
                        </w:rPr>
                      </w:pPr>
                    </w:p>
                  </w:txbxContent>
                </v:textbox>
                <w10:wrap type="square"/>
              </v:shape>
            </w:pict>
          </mc:Fallback>
        </mc:AlternateContent>
      </w:r>
      <w:r>
        <w:rPr>
          <w:rFonts w:hint="eastAsia" w:ascii="黑体" w:hAnsi="黑体" w:eastAsia="黑体" w:cs="宋体"/>
          <w:kern w:val="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佳县2022年民兵组织整顿工作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领导小组成员名单</w:t>
      </w:r>
    </w:p>
    <w:p>
      <w:pPr>
        <w:autoSpaceDE w:val="0"/>
        <w:autoSpaceDN w:val="0"/>
        <w:spacing w:line="579" w:lineRule="exact"/>
        <w:rPr>
          <w:rFonts w:hint="eastAsia" w:ascii="黑体" w:hAnsi="黑体" w:eastAsia="黑体"/>
          <w:sz w:val="32"/>
          <w:szCs w:val="32"/>
        </w:rPr>
      </w:pPr>
    </w:p>
    <w:p>
      <w:pPr>
        <w:autoSpaceDE w:val="0"/>
        <w:autoSpaceDN w:val="0"/>
        <w:spacing w:line="579" w:lineRule="exact"/>
        <w:ind w:firstLine="640" w:firstLineChars="200"/>
        <w:rPr>
          <w:rFonts w:ascii="仿宋_GB2312" w:hAnsi="宋体" w:eastAsia="仿宋_GB2312"/>
          <w:sz w:val="32"/>
          <w:szCs w:val="32"/>
        </w:rPr>
      </w:pPr>
      <w:r>
        <w:rPr>
          <w:rFonts w:hint="eastAsia" w:ascii="黑体" w:hAnsi="黑体" w:eastAsia="黑体"/>
          <w:sz w:val="32"/>
          <w:szCs w:val="32"/>
        </w:rPr>
        <w:t>组    长：</w:t>
      </w:r>
      <w:r>
        <w:rPr>
          <w:rFonts w:hint="eastAsia" w:ascii="仿宋_GB2312" w:hAnsi="宋体" w:eastAsia="仿宋_GB2312"/>
          <w:sz w:val="32"/>
          <w:szCs w:val="32"/>
        </w:rPr>
        <w:t>苏晓洁</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县委常委、常务副县长</w:t>
      </w:r>
    </w:p>
    <w:p>
      <w:pPr>
        <w:autoSpaceDE w:val="0"/>
        <w:autoSpaceDN w:val="0"/>
        <w:spacing w:line="579" w:lineRule="exact"/>
        <w:ind w:firstLine="640" w:firstLineChars="200"/>
        <w:rPr>
          <w:rFonts w:ascii="仿宋_GB2312" w:hAnsi="宋体" w:eastAsia="仿宋_GB2312"/>
          <w:sz w:val="32"/>
          <w:szCs w:val="32"/>
        </w:rPr>
      </w:pPr>
      <w:r>
        <w:rPr>
          <w:rFonts w:hint="eastAsia" w:ascii="黑体" w:hAnsi="黑体" w:eastAsia="黑体"/>
          <w:sz w:val="32"/>
          <w:szCs w:val="32"/>
        </w:rPr>
        <w:t>副 组 长：</w:t>
      </w:r>
      <w:r>
        <w:rPr>
          <w:rFonts w:hint="eastAsia" w:ascii="仿宋_GB2312" w:hAnsi="宋体" w:eastAsia="仿宋_GB2312"/>
          <w:sz w:val="32"/>
          <w:szCs w:val="32"/>
        </w:rPr>
        <w:t>刘长宏  县委常委、人武部部长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魏</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强  </w:t>
      </w:r>
      <w:r>
        <w:rPr>
          <w:rFonts w:hint="eastAsia" w:ascii="仿宋_GB2312" w:hAnsi="宋体" w:eastAsia="仿宋_GB2312"/>
          <w:sz w:val="32"/>
          <w:szCs w:val="32"/>
          <w:lang w:val="en-US" w:eastAsia="zh-CN"/>
        </w:rPr>
        <w:t>县</w:t>
      </w:r>
      <w:r>
        <w:rPr>
          <w:rFonts w:hint="eastAsia" w:ascii="仿宋_GB2312" w:hAnsi="宋体" w:eastAsia="仿宋_GB2312"/>
          <w:sz w:val="32"/>
          <w:szCs w:val="32"/>
        </w:rPr>
        <w:t>人武部政治委员</w:t>
      </w:r>
    </w:p>
    <w:p>
      <w:pPr>
        <w:autoSpaceDE w:val="0"/>
        <w:autoSpaceDN w:val="0"/>
        <w:spacing w:line="579" w:lineRule="exact"/>
        <w:ind w:firstLine="640" w:firstLineChars="200"/>
        <w:rPr>
          <w:rFonts w:hint="eastAsia" w:ascii="黑体" w:hAnsi="黑体" w:eastAsia="黑体"/>
          <w:sz w:val="32"/>
          <w:szCs w:val="32"/>
        </w:rPr>
      </w:pPr>
      <w:r>
        <w:rPr>
          <w:rFonts w:hint="eastAsia" w:ascii="黑体" w:hAnsi="黑体" w:eastAsia="黑体"/>
          <w:sz w:val="32"/>
          <w:szCs w:val="32"/>
        </w:rPr>
        <w:t>成    员：</w:t>
      </w:r>
      <w:r>
        <w:rPr>
          <w:rFonts w:hint="eastAsia" w:ascii="仿宋_GB2312" w:hAnsi="宋体" w:eastAsia="仿宋_GB2312"/>
          <w:sz w:val="32"/>
          <w:szCs w:val="32"/>
        </w:rPr>
        <w:t xml:space="preserve">庄怀平 </w:t>
      </w:r>
      <w:r>
        <w:rPr>
          <w:rFonts w:hint="eastAsia" w:ascii="仿宋_GB2312" w:hAnsi="宋体" w:eastAsia="仿宋_GB2312"/>
          <w:sz w:val="32"/>
          <w:szCs w:val="32"/>
          <w:lang w:val="en-US" w:eastAsia="zh-CN"/>
        </w:rPr>
        <w:t xml:space="preserve"> 县政府党组成员、</w:t>
      </w:r>
      <w:r>
        <w:rPr>
          <w:rFonts w:hint="eastAsia" w:ascii="仿宋_GB2312" w:hAnsi="宋体" w:eastAsia="仿宋_GB2312"/>
          <w:sz w:val="32"/>
          <w:szCs w:val="32"/>
        </w:rPr>
        <w:t>县总工会主席</w:t>
      </w:r>
    </w:p>
    <w:p>
      <w:pPr>
        <w:autoSpaceDE w:val="0"/>
        <w:autoSpaceDN w:val="0"/>
        <w:spacing w:line="579" w:lineRule="exact"/>
        <w:ind w:firstLine="2240" w:firstLineChars="700"/>
        <w:rPr>
          <w:rFonts w:ascii="仿宋_GB2312" w:hAnsi="宋体" w:eastAsia="仿宋_GB2312"/>
          <w:sz w:val="32"/>
          <w:szCs w:val="32"/>
        </w:rPr>
      </w:pPr>
      <w:r>
        <w:rPr>
          <w:rFonts w:hint="eastAsia" w:ascii="仿宋_GB2312" w:hAnsi="宋体" w:eastAsia="仿宋_GB2312"/>
          <w:sz w:val="32"/>
          <w:szCs w:val="32"/>
        </w:rPr>
        <w:t xml:space="preserve">王永乐  </w:t>
      </w:r>
      <w:r>
        <w:rPr>
          <w:rFonts w:hint="eastAsia" w:ascii="仿宋_GB2312" w:hAnsi="宋体" w:eastAsia="仿宋_GB2312"/>
          <w:sz w:val="32"/>
          <w:szCs w:val="32"/>
          <w:lang w:val="en-US" w:eastAsia="zh-CN"/>
        </w:rPr>
        <w:t>县</w:t>
      </w:r>
      <w:r>
        <w:rPr>
          <w:rFonts w:hint="eastAsia" w:ascii="仿宋_GB2312" w:hAnsi="宋体" w:eastAsia="仿宋_GB2312"/>
          <w:sz w:val="32"/>
          <w:szCs w:val="32"/>
        </w:rPr>
        <w:t>人武部副部长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徐曙光</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县委办主任</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张树杰 </w:t>
      </w:r>
      <w:r>
        <w:rPr>
          <w:rFonts w:hint="eastAsia" w:ascii="仿宋_GB2312" w:hAnsi="宋体" w:eastAsia="仿宋_GB2312"/>
          <w:sz w:val="32"/>
          <w:szCs w:val="32"/>
          <w:lang w:val="en-US" w:eastAsia="zh-CN"/>
        </w:rPr>
        <w:t xml:space="preserve"> 县</w:t>
      </w:r>
      <w:r>
        <w:rPr>
          <w:rFonts w:hint="eastAsia" w:ascii="仿宋_GB2312" w:hAnsi="宋体" w:eastAsia="仿宋_GB2312"/>
          <w:sz w:val="32"/>
          <w:szCs w:val="32"/>
        </w:rPr>
        <w:t>政府办主任</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张进高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县委组织部常务副部长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高亮珠</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县委宣传部副部长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李</w:t>
      </w:r>
      <w:r>
        <w:rPr>
          <w:rFonts w:hint="eastAsia" w:ascii="仿宋_GB2312" w:hAnsi="宋体" w:eastAsia="仿宋_GB2312"/>
          <w:sz w:val="32"/>
          <w:szCs w:val="32"/>
          <w:lang w:val="en-US" w:eastAsia="zh-CN"/>
        </w:rPr>
        <w:t>亚军</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县委编办主任</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高  剑</w:t>
      </w:r>
      <w:r>
        <w:rPr>
          <w:rFonts w:hint="eastAsia" w:ascii="仿宋_GB2312" w:hAnsi="宋体" w:eastAsia="仿宋_GB2312"/>
          <w:sz w:val="32"/>
          <w:szCs w:val="32"/>
        </w:rPr>
        <w:t xml:space="preserve">  县发展改革和科技局</w:t>
      </w:r>
      <w:r>
        <w:rPr>
          <w:rFonts w:hint="eastAsia" w:ascii="仿宋_GB2312" w:hAnsi="宋体" w:eastAsia="仿宋_GB2312"/>
          <w:sz w:val="32"/>
          <w:szCs w:val="32"/>
          <w:lang w:val="en-US" w:eastAsia="zh-CN"/>
        </w:rPr>
        <w:t>副</w:t>
      </w:r>
      <w:r>
        <w:rPr>
          <w:rFonts w:hint="eastAsia" w:ascii="仿宋_GB2312" w:hAnsi="宋体" w:eastAsia="仿宋_GB2312"/>
          <w:sz w:val="32"/>
          <w:szCs w:val="32"/>
        </w:rPr>
        <w:t>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李世英</w:t>
      </w:r>
      <w:r>
        <w:rPr>
          <w:rFonts w:hint="eastAsia" w:ascii="仿宋_GB2312" w:hAnsi="宋体" w:eastAsia="仿宋_GB2312"/>
          <w:sz w:val="32"/>
          <w:szCs w:val="32"/>
        </w:rPr>
        <w:t xml:space="preserve">  县教育和体育局局长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李学桐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县工业商贸局局长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徐春利  县民政局局长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郭耀文  县司法局局长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张学云</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县财政局</w:t>
      </w:r>
      <w:r>
        <w:rPr>
          <w:rFonts w:hint="eastAsia" w:ascii="仿宋_GB2312" w:hAnsi="宋体" w:eastAsia="仿宋_GB2312"/>
          <w:sz w:val="32"/>
          <w:szCs w:val="32"/>
          <w:lang w:val="en-US" w:eastAsia="zh-CN"/>
        </w:rPr>
        <w:t>副</w:t>
      </w:r>
      <w:r>
        <w:rPr>
          <w:rFonts w:hint="eastAsia" w:ascii="仿宋_GB2312" w:hAnsi="宋体" w:eastAsia="仿宋_GB2312"/>
          <w:sz w:val="32"/>
          <w:szCs w:val="32"/>
        </w:rPr>
        <w:t>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徐迎春</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县人社局</w:t>
      </w:r>
      <w:r>
        <w:rPr>
          <w:rFonts w:hint="eastAsia" w:ascii="仿宋_GB2312" w:hAnsi="宋体" w:eastAsia="仿宋_GB2312"/>
          <w:sz w:val="32"/>
          <w:szCs w:val="32"/>
          <w:lang w:val="en-US" w:eastAsia="zh-CN"/>
        </w:rPr>
        <w:t>副</w:t>
      </w:r>
      <w:r>
        <w:rPr>
          <w:rFonts w:hint="eastAsia" w:ascii="仿宋_GB2312" w:hAnsi="宋体" w:eastAsia="仿宋_GB2312"/>
          <w:sz w:val="32"/>
          <w:szCs w:val="32"/>
        </w:rPr>
        <w:t>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周喜业</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县自然资源和规划局局长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贺文彪</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w:t>
      </w:r>
      <w:r>
        <w:rPr>
          <w:rFonts w:hint="eastAsia" w:ascii="仿宋_GB2312" w:hAnsi="宋体" w:eastAsia="仿宋_GB2312"/>
          <w:sz w:val="32"/>
          <w:szCs w:val="32"/>
          <w:lang w:val="en-US" w:eastAsia="zh-CN"/>
        </w:rPr>
        <w:t>生态环境</w:t>
      </w:r>
      <w:r>
        <w:rPr>
          <w:rFonts w:hint="eastAsia" w:ascii="仿宋_GB2312" w:hAnsi="宋体" w:eastAsia="仿宋_GB2312"/>
          <w:sz w:val="32"/>
          <w:szCs w:val="32"/>
        </w:rPr>
        <w:t>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张志平  县林业局局长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徐建强</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县住建局局长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刘学林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县交通局局长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刘建忠  </w:t>
      </w:r>
      <w:r>
        <w:rPr>
          <w:rFonts w:hint="eastAsia" w:ascii="仿宋_GB2312" w:hAnsi="宋体" w:eastAsia="仿宋_GB2312"/>
          <w:sz w:val="32"/>
          <w:szCs w:val="32"/>
        </w:rPr>
        <w:t>县水利局局长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符永志  县农业农村局局长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高生光  县文化和旅游文物广电局局长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李树峰  县卫健局局长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白爱飞</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县退役军人事务局局长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陈卫军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县应急管理局局长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任锦双</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县审计局局长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高建峰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县市场监管局局长</w:t>
      </w:r>
    </w:p>
    <w:p>
      <w:pPr>
        <w:autoSpaceDE w:val="0"/>
        <w:autoSpaceDN w:val="0"/>
        <w:spacing w:line="579" w:lineRule="exact"/>
        <w:rPr>
          <w:rFonts w:hint="eastAsia" w:ascii="仿宋_GB2312" w:hAnsi="宋体" w:eastAsia="仿宋_GB2312"/>
          <w:color w:val="auto"/>
          <w:sz w:val="32"/>
          <w:szCs w:val="32"/>
        </w:rPr>
      </w:pPr>
      <w:r>
        <w:rPr>
          <w:rFonts w:hint="eastAsia" w:ascii="仿宋_GB2312" w:hAnsi="宋体" w:eastAsia="仿宋_GB2312"/>
          <w:sz w:val="32"/>
          <w:szCs w:val="32"/>
        </w:rPr>
        <w:t xml:space="preserve">          </w:t>
      </w: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 xml:space="preserve">张建业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县统计局局</w:t>
      </w:r>
    </w:p>
    <w:p>
      <w:pPr>
        <w:autoSpaceDE w:val="0"/>
        <w:autoSpaceDN w:val="0"/>
        <w:spacing w:line="579"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高海彪</w:t>
      </w:r>
      <w:r>
        <w:rPr>
          <w:rFonts w:hint="eastAsia" w:ascii="仿宋_GB2312" w:hAnsi="宋体" w:eastAsia="仿宋_GB2312"/>
          <w:color w:val="auto"/>
          <w:sz w:val="32"/>
          <w:szCs w:val="32"/>
        </w:rPr>
        <w:t xml:space="preserve">  县公安局副局长</w:t>
      </w:r>
    </w:p>
    <w:p>
      <w:pPr>
        <w:autoSpaceDE w:val="0"/>
        <w:autoSpaceDN w:val="0"/>
        <w:spacing w:line="579"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贺继荣</w:t>
      </w:r>
      <w:r>
        <w:rPr>
          <w:rFonts w:hint="eastAsia" w:ascii="仿宋_GB2312" w:hAnsi="宋体" w:eastAsia="仿宋_GB2312"/>
          <w:color w:val="auto"/>
          <w:sz w:val="32"/>
          <w:szCs w:val="32"/>
        </w:rPr>
        <w:t xml:space="preserve">  县气象局局长</w:t>
      </w:r>
    </w:p>
    <w:p>
      <w:pPr>
        <w:autoSpaceDE w:val="0"/>
        <w:autoSpaceDN w:val="0"/>
        <w:spacing w:line="579" w:lineRule="exact"/>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 xml:space="preserve">石彦波 </w:t>
      </w:r>
      <w:r>
        <w:rPr>
          <w:rFonts w:hint="eastAsia" w:ascii="仿宋_GB2312" w:hAnsi="宋体" w:eastAsia="仿宋_GB2312"/>
          <w:color w:val="auto"/>
          <w:sz w:val="32"/>
          <w:szCs w:val="32"/>
          <w:lang w:val="en-US" w:eastAsia="zh-CN"/>
        </w:rPr>
        <w:t xml:space="preserve"> 县</w:t>
      </w:r>
      <w:r>
        <w:rPr>
          <w:rFonts w:hint="eastAsia" w:ascii="仿宋_GB2312" w:hAnsi="宋体" w:eastAsia="仿宋_GB2312"/>
          <w:color w:val="auto"/>
          <w:sz w:val="32"/>
          <w:szCs w:val="32"/>
        </w:rPr>
        <w:t>邮政</w:t>
      </w:r>
      <w:r>
        <w:rPr>
          <w:rFonts w:hint="eastAsia" w:ascii="仿宋_GB2312" w:hAnsi="宋体" w:eastAsia="仿宋_GB2312"/>
          <w:color w:val="auto"/>
          <w:sz w:val="32"/>
          <w:szCs w:val="32"/>
          <w:lang w:val="en-US" w:eastAsia="zh-CN"/>
        </w:rPr>
        <w:t>公司总经理</w:t>
      </w:r>
    </w:p>
    <w:p>
      <w:pPr>
        <w:autoSpaceDE w:val="0"/>
        <w:autoSpaceDN w:val="0"/>
        <w:spacing w:line="579" w:lineRule="exact"/>
        <w:rPr>
          <w:rFonts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卢</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伟</w:t>
      </w:r>
      <w:r>
        <w:rPr>
          <w:rFonts w:hint="eastAsia" w:ascii="仿宋_GB2312" w:hAnsi="宋体" w:eastAsia="仿宋_GB2312"/>
          <w:color w:val="auto"/>
          <w:sz w:val="32"/>
          <w:szCs w:val="32"/>
        </w:rPr>
        <w:t xml:space="preserve">  人武部军事科参谋</w:t>
      </w:r>
    </w:p>
    <w:p>
      <w:pPr>
        <w:autoSpaceDE w:val="0"/>
        <w:autoSpaceDN w:val="0"/>
        <w:spacing w:line="579" w:lineRule="exact"/>
        <w:rPr>
          <w:rFonts w:ascii="仿宋_GB2312" w:hAnsi="宋体" w:eastAsia="仿宋_GB2312"/>
          <w:sz w:val="32"/>
          <w:szCs w:val="32"/>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 xml:space="preserve">高永超  </w:t>
      </w:r>
      <w:r>
        <w:rPr>
          <w:rFonts w:hint="eastAsia" w:ascii="仿宋_GB2312" w:hAnsi="宋体" w:eastAsia="仿宋_GB2312"/>
          <w:sz w:val="32"/>
          <w:szCs w:val="32"/>
        </w:rPr>
        <w:t>人武部政治工作科干事</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高小伟  人武部保障科助理</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陈保国</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螅镇镇长  </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申小峰</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坑镇镇长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白本勤</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店镇镇长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李韶敏</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木头峪镇镇长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李全虎</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乌镇镇长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王鹏彦</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佳州街道办事处主任</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党  欣</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朱官寨镇镇长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徐喜军</w:t>
      </w:r>
      <w:r>
        <w:rPr>
          <w:rFonts w:hint="eastAsia" w:ascii="仿宋_GB2312" w:hAnsi="宋体" w:eastAsia="仿宋_GB2312"/>
          <w:sz w:val="32"/>
          <w:szCs w:val="32"/>
        </w:rPr>
        <w:t xml:space="preserve">  金明寺镇镇长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高东红</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通镇镇长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张刘军</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朱家坬镇镇长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徐彦楼</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刘国具镇镇长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马江涛</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王家砭镇镇长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曹  璐</w:t>
      </w:r>
      <w:r>
        <w:rPr>
          <w:rFonts w:hint="eastAsia" w:ascii="仿宋_GB2312" w:hAnsi="宋体" w:eastAsia="仿宋_GB2312"/>
          <w:sz w:val="32"/>
          <w:szCs w:val="32"/>
        </w:rPr>
        <w:t xml:space="preserve">  方塌镇镇长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王永成</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康家港便民服务中心政务负责人</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刘建东</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大佛寺便民服务中心政务负责人</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王雄飞</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峪口便民服务中心政务负责人</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贺海江</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刘家山便民服务中心政务负责人</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高永洲</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官庄便民服务中心政务负责人</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云根平</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兴隆寺便民服务中心政务负责人</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贺锦华</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上高寨便民服务中心政务负责人 </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高亚平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螅镇镇武装部长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白桂平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坑镇镇武装部长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高雷鹏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店镇镇武装部长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王文伟</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木头峪镇武装部长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赵虎虎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乌镇镇武装部长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曹刘孝  佳州街道办事处武装部长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刘金虎  朱官寨镇武装部长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拓开涛  金明寺镇武装部长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王飞耀  通镇镇武装部长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张永杰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朱家坬镇武装部长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高军军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刘国具镇武装部长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高刘峰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王家砭镇武装部长</w:t>
      </w:r>
    </w:p>
    <w:p>
      <w:pPr>
        <w:autoSpaceDE w:val="0"/>
        <w:autoSpaceDN w:val="0"/>
        <w:spacing w:line="579" w:lineRule="exact"/>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张东锋  方塌镇武装部长</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widowControl/>
        <w:spacing w:line="240" w:lineRule="auto"/>
        <w:jc w:val="left"/>
        <w:rPr>
          <w:rFonts w:hint="eastAsia" w:ascii="黑体" w:hAnsi="黑体" w:eastAsia="黑体" w:cs="宋体"/>
          <w:kern w:val="0"/>
          <w:sz w:val="32"/>
          <w:szCs w:val="32"/>
        </w:rPr>
      </w:pPr>
    </w:p>
    <w:p>
      <w:pPr>
        <w:pStyle w:val="2"/>
        <w:rPr>
          <w:rFonts w:hint="eastAsia" w:ascii="黑体" w:hAnsi="黑体" w:eastAsia="黑体" w:cs="宋体"/>
          <w:kern w:val="0"/>
          <w:sz w:val="32"/>
          <w:szCs w:val="32"/>
        </w:rPr>
      </w:pPr>
    </w:p>
    <w:p>
      <w:pPr>
        <w:rPr>
          <w:rFonts w:hint="eastAsia"/>
        </w:rPr>
      </w:pPr>
    </w:p>
    <w:p>
      <w:pPr>
        <w:widowControl/>
        <w:spacing w:line="240" w:lineRule="auto"/>
        <w:jc w:val="left"/>
        <w:rPr>
          <w:rFonts w:ascii="黑体" w:hAnsi="黑体" w:eastAsia="黑体" w:cs="宋体"/>
          <w:kern w:val="0"/>
          <w:sz w:val="32"/>
          <w:szCs w:val="32"/>
        </w:rPr>
      </w:pPr>
      <w:r>
        <mc:AlternateContent>
          <mc:Choice Requires="wps">
            <w:drawing>
              <wp:anchor distT="0" distB="0" distL="114300" distR="114300" simplePos="0" relativeHeight="251671552" behindDoc="0" locked="0" layoutInCell="1" allowOverlap="1">
                <wp:simplePos x="0" y="0"/>
                <wp:positionH relativeFrom="column">
                  <wp:posOffset>-347345</wp:posOffset>
                </wp:positionH>
                <wp:positionV relativeFrom="paragraph">
                  <wp:posOffset>0</wp:posOffset>
                </wp:positionV>
                <wp:extent cx="520700" cy="635000"/>
                <wp:effectExtent l="4445" t="5080" r="8255" b="7620"/>
                <wp:wrapSquare wrapText="bothSides"/>
                <wp:docPr id="12" name="文本框 12"/>
                <wp:cNvGraphicFramePr/>
                <a:graphic xmlns:a="http://schemas.openxmlformats.org/drawingml/2006/main">
                  <a:graphicData uri="http://schemas.microsoft.com/office/word/2010/wordprocessingShape">
                    <wps:wsp>
                      <wps:cNvSpPr txBox="1"/>
                      <wps:spPr>
                        <a:xfrm>
                          <a:off x="0" y="0"/>
                          <a:ext cx="520700" cy="6350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szCs w:val="28"/>
                              </w:rPr>
                            </w:pPr>
                          </w:p>
                        </w:txbxContent>
                      </wps:txbx>
                      <wps:bodyPr vert="eaVert" wrap="none" upright="1"/>
                    </wps:wsp>
                  </a:graphicData>
                </a:graphic>
              </wp:anchor>
            </w:drawing>
          </mc:Choice>
          <mc:Fallback>
            <w:pict>
              <v:shape id="_x0000_s1026" o:spid="_x0000_s1026" o:spt="202" type="#_x0000_t202" style="position:absolute;left:0pt;margin-left:-27.35pt;margin-top:0pt;height:50pt;width:41pt;mso-wrap-distance-bottom:0pt;mso-wrap-distance-left:9pt;mso-wrap-distance-right:9pt;mso-wrap-distance-top:0pt;mso-wrap-style:none;z-index:251671552;mso-width-relative:page;mso-height-relative:page;" fillcolor="#FFFFFF" filled="t" stroked="t" coordsize="21600,21600" o:gfxdata="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9blW1gAAAAcBAAAPAAAAAAAAAAEAIAAAACIAAABkcnMvZG93bnJldi54&#10;bWxQSwECFAAUAAAACACHTuJAKtQFmPwBAAARBAAADgAAAAAAAAABACAAAAAlAQAAZHJzL2Uyb0Rv&#10;Yy54bWxQSwUGAAAAAAYABgBZAQAAkwUAAAAA&#10;">
                <v:fill on="t" focussize="0,0"/>
                <v:stroke color="#FFFFFF" joinstyle="miter"/>
                <v:imagedata o:title=""/>
                <o:lock v:ext="edit" aspectratio="f"/>
                <v:textbox style="layout-flow:vertical-ideographic;">
                  <w:txbxContent>
                    <w:p>
                      <w:pPr>
                        <w:rPr>
                          <w:szCs w:val="28"/>
                        </w:rPr>
                      </w:pPr>
                    </w:p>
                  </w:txbxContent>
                </v:textbox>
                <w10:wrap type="square"/>
              </v:shape>
            </w:pict>
          </mc:Fallback>
        </mc:AlternateContent>
      </w:r>
      <w:r>
        <w:rPr>
          <w:rFonts w:hint="eastAsia" w:ascii="黑体" w:hAnsi="黑体" w:eastAsia="黑体" w:cs="宋体"/>
          <w:kern w:val="0"/>
          <w:sz w:val="32"/>
          <w:szCs w:val="32"/>
        </w:rPr>
        <w:t>附件3</w:t>
      </w: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佳县2022年民兵组织整顿工作</w:t>
      </w:r>
    </w:p>
    <w:p>
      <w:pPr>
        <w:keepNext w:val="0"/>
        <w:keepLines w:val="0"/>
        <w:pageBreakBefore w:val="0"/>
        <w:widowControl/>
        <w:kinsoku/>
        <w:wordWrap/>
        <w:overflowPunct/>
        <w:topLinePunct w:val="0"/>
        <w:autoSpaceDE/>
        <w:autoSpaceDN/>
        <w:bidi w:val="0"/>
        <w:adjustRightInd w:val="0"/>
        <w:snapToGrid w:val="0"/>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领导小组成员单位任务分工</w:t>
      </w:r>
    </w:p>
    <w:p>
      <w:pPr>
        <w:widowControl/>
        <w:adjustRightInd w:val="0"/>
        <w:snapToGrid w:val="0"/>
        <w:spacing w:line="560" w:lineRule="exact"/>
        <w:rPr>
          <w:rFonts w:ascii="仿宋_GB2312" w:eastAsia="仿宋_GB2312"/>
          <w:color w:val="000000"/>
          <w:kern w:val="0"/>
          <w:sz w:val="32"/>
          <w:szCs w:val="32"/>
        </w:rPr>
      </w:pP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负责编兵单位：</w:t>
      </w:r>
      <w:r>
        <w:rPr>
          <w:rFonts w:hint="eastAsia" w:ascii="仿宋_GB2312" w:eastAsia="仿宋_GB2312"/>
          <w:sz w:val="32"/>
          <w:szCs w:val="32"/>
        </w:rPr>
        <w:t>今年编组人员基本与2021年保持一致，各单位编组人数具体由人武部军事科逐一进行对接。涉及的编兵单位负责按要求落实编组具体人员，上报编组名册，完成体检、政考及入队训练等工作，按比例确定年度参加训练人员，组织民兵参加点验集合及年度训练。</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各镇（便民中心）、佳州街道办：</w:t>
      </w:r>
      <w:r>
        <w:rPr>
          <w:rFonts w:hint="eastAsia" w:ascii="仿宋_GB2312" w:eastAsia="仿宋_GB2312"/>
          <w:sz w:val="32"/>
          <w:szCs w:val="32"/>
        </w:rPr>
        <w:t>1.负责本级基干民兵应急排30人和应急连分配任务的编建；2.负责辖区每个行政村或社区45人左右的普通民兵连编建任务；3.负责辖区潜力数据的调查录入；4.负责各类软件资料的整理上报；5.负责辖区基层武装部正规化建设任务。</w:t>
      </w:r>
    </w:p>
    <w:p>
      <w:pPr>
        <w:widowControl/>
        <w:adjustRightInd w:val="0"/>
        <w:snapToGrid w:val="0"/>
        <w:spacing w:line="560" w:lineRule="exact"/>
        <w:ind w:firstLine="643" w:firstLineChars="200"/>
        <w:rPr>
          <w:rFonts w:ascii="楷体" w:hAnsi="楷体" w:eastAsia="楷体"/>
          <w:sz w:val="32"/>
          <w:szCs w:val="32"/>
        </w:rPr>
      </w:pPr>
      <w:r>
        <w:rPr>
          <w:rFonts w:hint="eastAsia" w:ascii="仿宋_GB2312" w:eastAsia="仿宋_GB2312"/>
          <w:b/>
          <w:bCs/>
          <w:color w:val="000000"/>
          <w:kern w:val="0"/>
          <w:sz w:val="32"/>
          <w:szCs w:val="32"/>
        </w:rPr>
        <w:t>县政府办：</w:t>
      </w:r>
      <w:r>
        <w:rPr>
          <w:rFonts w:hint="eastAsia" w:ascii="仿宋_GB2312" w:eastAsia="仿宋_GB2312"/>
          <w:color w:val="000000"/>
          <w:kern w:val="0"/>
          <w:sz w:val="32"/>
          <w:szCs w:val="32"/>
        </w:rPr>
        <w:t>1.</w:t>
      </w:r>
      <w:r>
        <w:rPr>
          <w:rFonts w:hint="eastAsia" w:ascii="仿宋_GB2312" w:eastAsia="仿宋_GB2312"/>
          <w:sz w:val="32"/>
          <w:szCs w:val="32"/>
        </w:rPr>
        <w:t>会同人武部军事科牵头推进民兵调整改革任务落实，牵头协调县政府各部门落实民兵组织整顿工作；2.会同人武部军事科编制全县民兵调整改革实施方案，召开民兵组织整顿相关会议，下发民兵组织整顿工作计划；3.联合人武部军事科搞好全县民兵组织整顿督导检查和考核考评；4.将民兵建设纳入全县经济社会发展总体布局，研究制定出台企事业单位、非公有制经济组织编兵激励政策，推动完善编兵单位支持后备力量建设优惠政策措施。</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县委组织部：</w:t>
      </w:r>
      <w:r>
        <w:rPr>
          <w:rFonts w:hint="eastAsia" w:ascii="仿宋_GB2312" w:eastAsia="仿宋_GB2312"/>
          <w:sz w:val="32"/>
          <w:szCs w:val="32"/>
        </w:rPr>
        <w:t>1.组织指导民兵党的建设工作，将民兵党建工作纳入地方党建一并筹划；2.协助搞好民兵组织整顿过程中的党员实力、“两新组织”调查统计和专武干部补充配备及资格认证制度的推动落实，组织基层专武干部队伍建设。</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县委宣传部：</w:t>
      </w:r>
      <w:r>
        <w:rPr>
          <w:rFonts w:hint="eastAsia" w:ascii="仿宋_GB2312" w:eastAsia="仿宋_GB2312"/>
          <w:sz w:val="32"/>
          <w:szCs w:val="32"/>
        </w:rPr>
        <w:t>1.负责网络舆情监测引导排20人编建任务；2.组织指导民兵组织整顿工作的宣传教育及新闻报道，动员适龄公民积极参加民兵组织；3.挖掘和培塑具有新时代特点的民兵先进典型和先进单位，营造全社会关心、支持和参与民兵工作的良好氛围；4.负责国防教育机构、宣传媒体及监管人员、宣传设备器材</w:t>
      </w:r>
      <w:r>
        <w:rPr>
          <w:rFonts w:hint="eastAsia" w:ascii="仿宋_GB2312" w:eastAsia="仿宋_GB2312"/>
          <w:sz w:val="32"/>
          <w:szCs w:val="32"/>
          <w:lang w:eastAsia="zh-CN"/>
        </w:rPr>
        <w:t>、</w:t>
      </w:r>
      <w:r>
        <w:rPr>
          <w:rFonts w:hint="eastAsia" w:ascii="仿宋_GB2312" w:eastAsia="仿宋_GB2312"/>
          <w:sz w:val="32"/>
          <w:szCs w:val="32"/>
          <w:lang w:val="en-US" w:eastAsia="zh-CN"/>
        </w:rPr>
        <w:t>电视台</w:t>
      </w:r>
      <w:r>
        <w:rPr>
          <w:rFonts w:hint="eastAsia" w:ascii="仿宋_GB2312" w:eastAsia="仿宋_GB2312"/>
          <w:sz w:val="32"/>
          <w:szCs w:val="32"/>
        </w:rPr>
        <w:t>等方面潜力数据调查。</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县发改和科技局：</w:t>
      </w:r>
      <w:r>
        <w:rPr>
          <w:rFonts w:hint="eastAsia" w:ascii="仿宋_GB2312" w:eastAsia="仿宋_GB2312"/>
          <w:sz w:val="32"/>
          <w:szCs w:val="32"/>
        </w:rPr>
        <w:t>负责科研机构、高新技术产业、农林牧渔业、给养物资、储备物资器材、军民通用装备维修企业及保障人员等经济动员相关潜力数据进行调查统计。</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县教体局：</w:t>
      </w:r>
      <w:r>
        <w:rPr>
          <w:rFonts w:hint="eastAsia" w:ascii="仿宋_GB2312" w:eastAsia="仿宋_GB2312"/>
          <w:sz w:val="32"/>
          <w:szCs w:val="32"/>
        </w:rPr>
        <w:t>1.协助搞好辖区所有学校教职员工、科研院所、培训机构人员及体育行业潜力调查工作；2.协助组织辖区适龄学生完成兵役登记工作；3.</w:t>
      </w:r>
      <w:r>
        <w:rPr>
          <w:rFonts w:hint="eastAsia" w:ascii="仿宋_GB2312" w:eastAsia="仿宋_GB2312"/>
          <w:sz w:val="32"/>
          <w:szCs w:val="24"/>
        </w:rPr>
        <w:t>协调提供民兵培训、教育资源，探索依托民兵开展学生军训方法路子。</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县工贸局：</w:t>
      </w:r>
      <w:r>
        <w:rPr>
          <w:rFonts w:hint="eastAsia" w:ascii="仿宋_GB2312" w:eastAsia="仿宋_GB2312"/>
          <w:sz w:val="32"/>
          <w:szCs w:val="32"/>
        </w:rPr>
        <w:t>1.负责网络运维排20人编建任务；2.协助搞好所管辖的工业企业数量规模、党的建设、地域分布、生产经营、员工数量、年龄结构等潜力调查，配合做好编兵组织整顿工作；3.对辖区长途光缆线路、数据通信网、移动通信网、基站、应急机动通信设备设施等内容进行调查统计。</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县民政局：</w:t>
      </w:r>
      <w:r>
        <w:rPr>
          <w:rFonts w:hint="eastAsia" w:ascii="仿宋_GB2312" w:eastAsia="仿宋_GB2312"/>
          <w:sz w:val="32"/>
          <w:szCs w:val="32"/>
        </w:rPr>
        <w:t>提供辖区内各类社团、协会等新社会组织人员组成、党的建设、年龄结构、服务对象、军民融合领域等情况，协助搞好潜力调查。</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县司法局：</w:t>
      </w:r>
      <w:r>
        <w:rPr>
          <w:rFonts w:hint="eastAsia" w:ascii="仿宋_GB2312" w:eastAsia="仿宋_GB2312"/>
          <w:sz w:val="32"/>
          <w:szCs w:val="32"/>
        </w:rPr>
        <w:t>1.负责法力斗争排20人编建任务。2.负责法律行业系统相关潜力数据调查，指导民兵“三战”分队建设。</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县财政局：</w:t>
      </w:r>
      <w:r>
        <w:rPr>
          <w:rFonts w:hint="eastAsia" w:ascii="仿宋_GB2312" w:eastAsia="仿宋_GB2312"/>
          <w:sz w:val="32"/>
          <w:szCs w:val="32"/>
        </w:rPr>
        <w:t>1.配合县人武部制定全县民兵事业经费保障标准，做好民兵事业经费的预算划拨工作；2.负责本行业系统相关潜力数据调查。</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县人社局：</w:t>
      </w:r>
      <w:r>
        <w:rPr>
          <w:rFonts w:hint="eastAsia" w:ascii="仿宋_GB2312" w:eastAsia="仿宋_GB2312"/>
          <w:sz w:val="32"/>
          <w:szCs w:val="32"/>
        </w:rPr>
        <w:t>1.负责指导各类人力资源有效编入民兵队伍，指导、规范党政机关公务员担任民兵组织干部骨干，指导建立民兵参与抢险救灾等行动的保险制度机制；2.指导编兵单位落实民兵在参加训练和执行任务期间应当享受的工资、奖金、福利待遇和训练、生活补助；3.负责本行业系统相关潜力数据调查。</w:t>
      </w:r>
    </w:p>
    <w:p>
      <w:pPr>
        <w:widowControl/>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县住建局：</w:t>
      </w:r>
      <w:r>
        <w:rPr>
          <w:rFonts w:hint="eastAsia" w:ascii="仿宋_GB2312" w:eastAsia="仿宋_GB2312"/>
          <w:sz w:val="32"/>
          <w:szCs w:val="32"/>
        </w:rPr>
        <w:t>负责本行业系统的潜力调查工作。</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县交</w:t>
      </w:r>
      <w:r>
        <w:rPr>
          <w:rFonts w:hint="eastAsia" w:ascii="仿宋_GB2312" w:eastAsia="仿宋_GB2312"/>
          <w:b/>
          <w:bCs/>
          <w:sz w:val="32"/>
          <w:szCs w:val="32"/>
          <w:lang w:val="en-US" w:eastAsia="zh-CN"/>
        </w:rPr>
        <w:t>通</w:t>
      </w:r>
      <w:r>
        <w:rPr>
          <w:rFonts w:hint="eastAsia" w:ascii="仿宋_GB2312" w:eastAsia="仿宋_GB2312"/>
          <w:b/>
          <w:bCs/>
          <w:sz w:val="32"/>
          <w:szCs w:val="32"/>
        </w:rPr>
        <w:t>局：</w:t>
      </w:r>
      <w:r>
        <w:rPr>
          <w:rFonts w:hint="eastAsia" w:ascii="仿宋_GB2312" w:eastAsia="仿宋_GB2312"/>
          <w:sz w:val="32"/>
          <w:szCs w:val="32"/>
        </w:rPr>
        <w:t xml:space="preserve">负责对交通战备相关潜力数据进行调查统计，主要内容有：国防交通机构及人员情况，公路、车辆等。             </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县农业农村局：</w:t>
      </w:r>
      <w:r>
        <w:rPr>
          <w:rFonts w:hint="eastAsia" w:ascii="仿宋_GB2312" w:eastAsia="仿宋_GB2312"/>
          <w:sz w:val="32"/>
          <w:szCs w:val="32"/>
        </w:rPr>
        <w:t>负责本行业系统的潜力调查工作。</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县水利局：</w:t>
      </w:r>
      <w:r>
        <w:rPr>
          <w:rFonts w:hint="eastAsia" w:ascii="仿宋_GB2312" w:eastAsia="仿宋_GB2312"/>
          <w:sz w:val="32"/>
          <w:szCs w:val="32"/>
        </w:rPr>
        <w:t>负责本行业系统的潜力调查工作。</w:t>
      </w:r>
    </w:p>
    <w:p>
      <w:pPr>
        <w:widowControl/>
        <w:adjustRightInd w:val="0"/>
        <w:snapToGrid w:val="0"/>
        <w:spacing w:line="560" w:lineRule="exact"/>
        <w:ind w:firstLine="643" w:firstLineChars="200"/>
        <w:rPr>
          <w:rFonts w:ascii="仿宋_GB2312" w:eastAsia="仿宋_GB2312"/>
          <w:sz w:val="32"/>
          <w:szCs w:val="32"/>
          <w:u w:val="none"/>
        </w:rPr>
      </w:pPr>
      <w:r>
        <w:rPr>
          <w:rFonts w:hint="eastAsia" w:ascii="仿宋_GB2312" w:eastAsia="仿宋_GB2312"/>
          <w:b/>
          <w:bCs/>
          <w:sz w:val="32"/>
          <w:szCs w:val="32"/>
          <w:u w:val="none"/>
        </w:rPr>
        <w:t>县文旅文广局：</w:t>
      </w:r>
      <w:r>
        <w:rPr>
          <w:rFonts w:hint="eastAsia" w:ascii="仿宋_GB2312" w:eastAsia="仿宋_GB2312"/>
          <w:sz w:val="32"/>
          <w:szCs w:val="32"/>
          <w:u w:val="none"/>
        </w:rPr>
        <w:t>负责对电视转播台、广播电台转播台等本行业系统的潜力调查工作。</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县卫健局：</w:t>
      </w:r>
      <w:r>
        <w:rPr>
          <w:rFonts w:hint="eastAsia" w:ascii="仿宋_GB2312" w:eastAsia="仿宋_GB2312"/>
          <w:sz w:val="32"/>
          <w:szCs w:val="32"/>
        </w:rPr>
        <w:t>1.负责心理治疗排20人编建任务，核化洗消排20人编建任务；2.协调落实民兵体格检查工作；3.负责对二甲医院、急救中心、采供血机构等本行业系统内容进行调查统计。</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县退役军人事务局：</w:t>
      </w:r>
      <w:r>
        <w:rPr>
          <w:rFonts w:hint="eastAsia" w:ascii="仿宋_GB2312" w:eastAsia="仿宋_GB2312"/>
          <w:sz w:val="32"/>
          <w:szCs w:val="32"/>
        </w:rPr>
        <w:t>协助搞好辖区内退役军人（退役复学大学生）相关数据信息统计调查。</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县应急管理局：</w:t>
      </w:r>
      <w:r>
        <w:rPr>
          <w:rFonts w:hint="eastAsia" w:ascii="仿宋_GB2312" w:eastAsia="仿宋_GB2312"/>
          <w:sz w:val="32"/>
          <w:szCs w:val="32"/>
        </w:rPr>
        <w:t>1.统筹民兵应急分队建设、管理和使用等工作，与人武部军事科在力量建设、组织指挥、情报共享等方面建立对接机制；2.指导编兵企业搞好民兵组织整顿工作；3.负责本系统相关潜力数据调查。</w:t>
      </w:r>
    </w:p>
    <w:p>
      <w:pPr>
        <w:widowControl/>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县市场监管局：</w:t>
      </w:r>
      <w:r>
        <w:rPr>
          <w:rFonts w:hint="eastAsia" w:ascii="仿宋_GB2312" w:eastAsia="仿宋_GB2312"/>
          <w:sz w:val="32"/>
          <w:szCs w:val="32"/>
        </w:rPr>
        <w:t>负责本行业系统的潜力调查工作。</w:t>
      </w:r>
    </w:p>
    <w:p>
      <w:pPr>
        <w:widowControl/>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县林业局：</w:t>
      </w:r>
      <w:r>
        <w:rPr>
          <w:rFonts w:hint="eastAsia" w:ascii="仿宋_GB2312" w:eastAsia="仿宋_GB2312"/>
          <w:sz w:val="32"/>
          <w:szCs w:val="32"/>
        </w:rPr>
        <w:t>负责本行业系统的潜力调查工作。</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县统计局：</w:t>
      </w:r>
      <w:r>
        <w:rPr>
          <w:rFonts w:hint="eastAsia" w:ascii="仿宋_GB2312" w:eastAsia="仿宋_GB2312"/>
          <w:sz w:val="32"/>
          <w:szCs w:val="32"/>
        </w:rPr>
        <w:t>负责宏观经济情况、自然资源情况等潜力数据调查统计，配合搞好辖区人口、经济、社会发展、科技进步、能源资源、人才队伍建设等潜力调查工作。</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县气象局：</w:t>
      </w:r>
      <w:r>
        <w:rPr>
          <w:rFonts w:hint="eastAsia" w:ascii="仿宋_GB2312" w:eastAsia="仿宋_GB2312"/>
          <w:sz w:val="32"/>
          <w:szCs w:val="32"/>
        </w:rPr>
        <w:t>负责本行业系统的潜力调查工作。</w:t>
      </w:r>
    </w:p>
    <w:p>
      <w:pPr>
        <w:widowControl/>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县公安局：</w:t>
      </w:r>
      <w:r>
        <w:rPr>
          <w:rFonts w:hint="eastAsia" w:ascii="仿宋_GB2312" w:eastAsia="仿宋_GB2312"/>
          <w:sz w:val="32"/>
          <w:szCs w:val="32"/>
        </w:rPr>
        <w:t>1.向辖区派出所下发民兵政治考核文件，督导落实民兵政治考核工作，核查拟入队和在队基干民兵有无违法犯罪记录；2.负责提供辖区常住和流动人口户籍、从业情况、身份证明等人员结构相关潜力信息。</w:t>
      </w:r>
    </w:p>
    <w:p>
      <w:pPr>
        <w:widowControl/>
        <w:adjustRightInd w:val="0"/>
        <w:snapToGrid w:val="0"/>
        <w:spacing w:line="540" w:lineRule="exact"/>
        <w:ind w:firstLine="644"/>
        <w:rPr>
          <w:rFonts w:ascii="仿宋_GB2312" w:eastAsia="仿宋_GB2312"/>
          <w:sz w:val="32"/>
          <w:szCs w:val="24"/>
        </w:rPr>
      </w:pPr>
      <w:r>
        <w:rPr>
          <w:rFonts w:hint="eastAsia" w:ascii="仿宋_GB2312" w:eastAsia="仿宋_GB2312"/>
          <w:b/>
          <w:bCs/>
          <w:sz w:val="32"/>
          <w:szCs w:val="32"/>
        </w:rPr>
        <w:t>人武部军事科：</w:t>
      </w:r>
      <w:r>
        <w:rPr>
          <w:rFonts w:hint="eastAsia" w:ascii="仿宋_GB2312" w:eastAsia="仿宋_GB2312"/>
          <w:sz w:val="32"/>
          <w:szCs w:val="32"/>
        </w:rPr>
        <w:t>1.会同县政府办公室牵头推进民兵调整改革任务落实，牵头协调和落实民兵组织整顿工作，研究民兵力量结构调整布局，提高民兵编组质量，改进民兵军事训练方式；2.会同县政府办编制全县民兵调整改革实施方案，下发民兵组织整顿工作指示；3.联合政府办搞好全县民兵组织整顿督导检查和考核考评；4.牵头抓好民兵组织整顿潜力数据调查工作；5.协调国动委各办公室搞好国防动员专业力量建设，牵头抓好潜力数据调查工作；6.抓好县民兵应急连的编建工作；7.督促指导基层人民武装部抓好民兵组织整顿工作。</w:t>
      </w:r>
    </w:p>
    <w:p>
      <w:pPr>
        <w:widowControl/>
        <w:adjustRightInd w:val="0"/>
        <w:snapToGrid w:val="0"/>
        <w:spacing w:line="540" w:lineRule="exact"/>
        <w:ind w:firstLine="643" w:firstLineChars="200"/>
        <w:rPr>
          <w:rFonts w:ascii="仿宋_GB2312" w:eastAsia="仿宋_GB2312"/>
          <w:sz w:val="32"/>
          <w:szCs w:val="32"/>
        </w:rPr>
      </w:pPr>
      <w:r>
        <w:rPr>
          <w:rFonts w:hint="eastAsia" w:ascii="仿宋_GB2312" w:eastAsia="仿宋_GB2312"/>
          <w:b/>
          <w:bCs/>
          <w:sz w:val="32"/>
          <w:szCs w:val="32"/>
        </w:rPr>
        <w:t>人武部政工科：</w:t>
      </w:r>
      <w:r>
        <w:rPr>
          <w:rFonts w:hint="eastAsia" w:ascii="仿宋_GB2312" w:eastAsia="仿宋_GB2312"/>
          <w:sz w:val="32"/>
          <w:szCs w:val="32"/>
        </w:rPr>
        <w:t>1.牵头协调党管武装制度落实，议军会、武委会议的召开；2.抓好民兵党建、政治教育、双争活动；3.组织专武干部选配任免、资格认证、兼职清理、履职考评，民兵干部选配任免，组织开展评选、表彰民兵工作先进单位和先进个人活动；4.会同地方有关部门将民兵党建工作纳入军地党建一并筹划，纳入各级职责范围共同抓建，理顺基干民兵预建党组织领导管理关系；5.做好县民兵应急连及各专业分队政治建设相关工作；6.协调公安部门搞好基干民兵政治考核工作。</w:t>
      </w:r>
    </w:p>
    <w:p>
      <w:pPr>
        <w:widowControl/>
        <w:adjustRightInd w:val="0"/>
        <w:snapToGrid w:val="0"/>
        <w:spacing w:line="540" w:lineRule="exact"/>
        <w:ind w:firstLine="643" w:firstLineChars="200"/>
        <w:rPr>
          <w:rFonts w:ascii="仿宋_GB2312" w:eastAsia="仿宋_GB2312"/>
          <w:sz w:val="32"/>
          <w:szCs w:val="32"/>
        </w:rPr>
      </w:pPr>
      <w:r>
        <w:rPr>
          <w:rFonts w:hint="eastAsia" w:ascii="仿宋_GB2312" w:eastAsia="仿宋_GB2312"/>
          <w:b/>
          <w:bCs/>
          <w:sz w:val="32"/>
          <w:szCs w:val="32"/>
        </w:rPr>
        <w:t>人武部保障科：</w:t>
      </w:r>
      <w:r>
        <w:rPr>
          <w:rFonts w:hint="eastAsia" w:ascii="仿宋_GB2312" w:eastAsia="仿宋_GB2312"/>
          <w:sz w:val="32"/>
          <w:szCs w:val="32"/>
        </w:rPr>
        <w:t>1.会同县财政搞好民兵经费的预算、划拨工作；2.负责民兵训练补助的报销；3.按照全县民兵组织实力，搞好民兵武器装备调配；4.负责做好县应急连及其它专业分队民兵体格检查工作。</w:t>
      </w:r>
    </w:p>
    <w:p>
      <w:pPr>
        <w:spacing w:line="600" w:lineRule="exact"/>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
      <w:pPr>
        <w:pStyle w:val="2"/>
      </w:pPr>
    </w:p>
    <w:p/>
    <w:p>
      <w:pPr>
        <w:pStyle w:val="2"/>
      </w:pPr>
    </w:p>
    <w:p/>
    <w:p>
      <w:pPr>
        <w:pStyle w:val="2"/>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kern w:val="2"/>
          <w:sz w:val="32"/>
          <w:szCs w:val="24"/>
          <w:lang w:val="en-US" w:eastAsia="zh-CN" w:bidi="ar-SA"/>
        </w:rPr>
      </w:pPr>
      <w:r>
        <w:rPr>
          <w:sz w:val="32"/>
        </w:rPr>
        <mc:AlternateContent>
          <mc:Choice Requires="wps">
            <w:drawing>
              <wp:anchor distT="0" distB="0" distL="114300" distR="114300" simplePos="0" relativeHeight="251664384" behindDoc="0" locked="0" layoutInCell="1" allowOverlap="1">
                <wp:simplePos x="0" y="0"/>
                <wp:positionH relativeFrom="column">
                  <wp:posOffset>-93345</wp:posOffset>
                </wp:positionH>
                <wp:positionV relativeFrom="paragraph">
                  <wp:posOffset>26670</wp:posOffset>
                </wp:positionV>
                <wp:extent cx="580072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8007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35pt;margin-top:2.1pt;height:0.05pt;width:456.75pt;z-index:251664384;mso-width-relative:page;mso-height-relative:page;" filled="f" stroked="t" coordsize="21600,21600" o:gfxdata="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LKaw1wAAAAcB&#10;AAAPAAAAAAAAAAEAIAAAACIAAABkcnMvZG93bnJldi54bWxQSwECFAAUAAAACACHTuJAeqy7BOMB&#10;AACnAwAADgAAAAAAAAABACAAAAAmAQAAZHJzL2Uyb0RvYy54bWxQSwUGAAAAAAYABgBZAQAAewUA&#10;AAAA&#10;">
                <v:fill on="f" focussize="0,0"/>
                <v:stroke weight="1pt" color="#000000" joinstyle="round"/>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w:t>抄送：县委，人大，政协，纪委监委，人武部，法院，检察院。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kern w:val="2"/>
          <w:sz w:val="28"/>
          <w:szCs w:val="28"/>
          <w:lang w:val="en-US" w:eastAsia="zh-CN" w:bidi="ar-SA"/>
        </w:rPr>
      </w:pPr>
      <w:r>
        <w:rPr>
          <w:sz w:val="32"/>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30480</wp:posOffset>
                </wp:positionV>
                <wp:extent cx="580072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8007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2.4pt;height:0.05pt;width:456.75pt;z-index:251662336;mso-width-relative:page;mso-height-relative:page;" filled="f" stroked="t" coordsize="21600,21600" o:gfxdata="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5/5MtcAAAAHAQAA&#10;DwAAAAAAAAABACAAAAAiAAAAZHJzL2Rvd25yZXYueG1sUEsBAhQAFAAAAAgAh07iQBJc2gThAQAA&#10;pwMAAA4AAAAAAAAAAQAgAAAAJgEAAGRycy9lMm9Eb2MueG1sUEsFBgAAAAAGAAYAWQEAAHkFAAAA&#10;AA==&#10;">
                <v:fill on="f" focussize="0,0"/>
                <v:stroke weight="1pt" color="#000000" joinstyle="round"/>
                <v:imagedata o:title=""/>
                <o:lock v:ext="edit" aspectratio="f"/>
              </v:lin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362585</wp:posOffset>
                </wp:positionV>
                <wp:extent cx="580072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80072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1pt;margin-top:28.55pt;height:0.05pt;width:456.75pt;z-index:251663360;mso-width-relative:page;mso-height-relative:page;" filled="f" stroked="t" coordsize="21600,21600" o:gfxdata="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fdyr2QAAAAkB&#10;AAAPAAAAAAAAAAEAIAAAACIAAABkcnMvZG93bnJldi54bWxQSwECFAAUAAAACACHTuJAGHKkoeEB&#10;AACpAwAADgAAAAAAAAABACAAAAAoAQAAZHJzL2Uyb0RvYy54bWxQSwUGAAAAAAYABgBZAQAAewUA&#10;AAAA&#10;">
                <v:fill on="f" focussize="0,0"/>
                <v:stroke weight="1pt" color="#000000" joinstyle="round"/>
                <v:imagedata o:title=""/>
                <o:lock v:ext="edit" aspectratio="f"/>
              </v:line>
            </w:pict>
          </mc:Fallback>
        </mc:AlternateContent>
      </w:r>
      <w:r>
        <w:rPr>
          <w:rFonts w:hint="eastAsia" w:ascii="仿宋_GB2312" w:hAnsi="仿宋_GB2312" w:eastAsia="仿宋_GB2312" w:cs="仿宋_GB2312"/>
          <w:kern w:val="2"/>
          <w:sz w:val="28"/>
          <w:szCs w:val="28"/>
          <w:lang w:val="en-US" w:eastAsia="zh-CN" w:bidi="ar-SA"/>
        </w:rPr>
        <w:t>佳县人民政府办公室                          2022年3月23日印发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43" w:firstLineChars="0"/>
        <w:jc w:val="both"/>
        <w:textAlignment w:val="auto"/>
        <w:outlineLvl w:val="9"/>
        <w:rPr>
          <w:rFonts w:ascii="仿宋_GB2312" w:eastAsia="仿宋_GB2312"/>
          <w:sz w:val="32"/>
          <w:szCs w:val="32"/>
        </w:rPr>
      </w:pPr>
      <w:r>
        <w:rPr>
          <w:rFonts w:hint="eastAsia" w:ascii="宋体" w:hAnsi="宋体" w:eastAsia="宋体" w:cs="宋体"/>
          <w:kern w:val="2"/>
          <w:sz w:val="28"/>
          <w:szCs w:val="28"/>
          <w:lang w:val="en-US" w:eastAsia="zh-CN" w:bidi="ar-SA"/>
        </w:rPr>
        <w:t xml:space="preserve">                                                   </w:t>
      </w: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t>共印60份</w:t>
      </w:r>
    </w:p>
    <w:sectPr>
      <w:footerReference r:id="rId9" w:type="default"/>
      <w:footerReference r:id="rId10" w:type="even"/>
      <w:pgSz w:w="11906" w:h="16838"/>
      <w:pgMar w:top="1984" w:right="1474" w:bottom="1701" w:left="1588" w:header="851" w:footer="1417" w:gutter="0"/>
      <w:pgNumType w:fmt="numberInDash"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140"/>
      <w:jc w:val="right"/>
      <w:rPr>
        <w:rFonts w:asciiTheme="minorEastAsia" w:hAnsiTheme="minorEastAsia"/>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24.75pt;height:144pt;width:144pt;mso-position-horizontal:outside;mso-position-horizontal-relative:margin;mso-wrap-style:none;z-index:251668480;mso-width-relative:page;mso-height-relative:page;" filled="f" stroked="f" coordsize="21600,21600" o:gfxdata="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Geh7U1QAAAAgBAAAPAAAAAAAAAAEAIAAAACIAAABkcnMvZG93bnJldi54bWxQSwEC&#10;FAAUAAAACACHTuJADZPV2L4BAABiAwAADgAAAAAAAAABACAAAAAkAQAAZHJzL2Uyb0RvYy54bWxQ&#10;SwUGAAAAAAYABgBZAQAAVAUAAAAA&#10;">
              <v:fill on="f" focussize="0,0"/>
              <v:stroke on="f"/>
              <v:imagedata o:title=""/>
              <o:lock v:ext="edit" aspectratio="f"/>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659"/>
        <w:tab w:val="right" w:pos="8704"/>
      </w:tabs>
      <w:ind w:right="280"/>
      <w:rPr>
        <w:rFonts w:asciiTheme="minorEastAsia" w:hAnsiTheme="minorEastAsia"/>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posOffset>43815</wp:posOffset>
              </wp:positionH>
              <wp:positionV relativeFrom="paragraph">
                <wp:posOffset>-295275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3.45pt;margin-top:-23.25pt;height:144pt;width:144pt;mso-position-horizontal-relative:margin;mso-wrap-style:none;z-index:251669504;mso-width-relative:page;mso-height-relative:page;" filled="f" stroked="f" coordsize="21600,21600" o:gfxdata="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3d41I1gAAAAkBAAAPAAAAAAAAAAEAIAAAACIAAABkcnMvZG93bnJldi54bWxQSwEC&#10;FAAUAAAACACHTuJAhveUBL0BAABiAwAADgAAAAAAAAABACAAAAAlAQAAZHJzL2Uyb0RvYy54bWxQ&#10;SwUGAAAAAAYABgBZAQAAVAUAAAAA&#10;">
              <v:fill on="f" focussize="0,0"/>
              <v:stroke on="f"/>
              <v:imagedata o:title=""/>
              <o:lock v:ext="edit" aspectratio="f"/>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140"/>
      <w:jc w:val="right"/>
      <w:rPr>
        <w:rFonts w:asciiTheme="minorEastAsia" w:hAnsiTheme="minorEastAsia"/>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asciiTheme="minorEastAsia" w:hAnsiTheme="minorEastAsia"/>
        <w:sz w:val="28"/>
        <w:szCs w:val="28"/>
      </w:rPr>
      <mc:AlternateContent>
        <mc:Choice Requires="wps">
          <w:drawing>
            <wp:anchor distT="0" distB="0" distL="114300" distR="114300" simplePos="0" relativeHeight="251665408" behindDoc="0" locked="0" layoutInCell="1" allowOverlap="1">
              <wp:simplePos x="0" y="0"/>
              <wp:positionH relativeFrom="column">
                <wp:posOffset>-941705</wp:posOffset>
              </wp:positionH>
              <wp:positionV relativeFrom="paragraph">
                <wp:posOffset>-1019810</wp:posOffset>
              </wp:positionV>
              <wp:extent cx="438150" cy="914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38150" cy="914400"/>
                      </a:xfrm>
                      <a:prstGeom prst="rect">
                        <a:avLst/>
                      </a:prstGeom>
                      <a:solidFill>
                        <a:srgbClr val="FFFFFF"/>
                      </a:solidFill>
                      <a:ln w="9525">
                        <a:noFill/>
                      </a:ln>
                      <a:effectLst/>
                    </wps:spPr>
                    <wps:txbx>
                      <w:txbxContent>
                        <w:p/>
                      </w:txbxContent>
                    </wps:txbx>
                    <wps:bodyPr vert="eaVert" upright="1"/>
                  </wps:wsp>
                </a:graphicData>
              </a:graphic>
            </wp:anchor>
          </w:drawing>
        </mc:Choice>
        <mc:Fallback>
          <w:pict>
            <v:shape id="_x0000_s1026" o:spid="_x0000_s1026" o:spt="202" type="#_x0000_t202" style="position:absolute;left:0pt;margin-left:-74.15pt;margin-top:-80.3pt;height:72pt;width:34.5pt;z-index:251665408;mso-width-relative:page;mso-height-relative:page;" fillcolor="#FFFFFF" filled="t" stroked="f" coordsize="21600,21600" o:gfxdata="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adK19sAAAANAQAADwAAAAAAAAABACAAAAAiAAAAZHJzL2Rvd25yZXYueG1s&#10;UEsBAhQAFAAAAAgAh07iQPpY13e8AQAATQMAAA4AAAAAAAAAAQAgAAAAKgEAAGRycy9lMm9Eb2Mu&#10;eG1sUEsFBgAAAAAGAAYAWQEAAFgFAAAAAA==&#10;">
              <v:fill on="t" focussize="0,0"/>
              <v:stroke on="f"/>
              <v:imagedata o:title=""/>
              <o:lock v:ext="edit" aspectratio="f"/>
              <v:textbox style="layout-flow:vertical-ideographic;">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Theme="minorEastAsia" w:hAnsiTheme="minorEastAsia"/>
        <w:sz w:val="28"/>
        <w:szCs w:val="28"/>
      </w:rPr>
    </w:pPr>
    <w:r>
      <w:rPr>
        <w:rFonts w:hint="eastAsia" w:asciiTheme="minorEastAsia" w:hAnsiTheme="minorEastAsia"/>
        <w:sz w:val="28"/>
        <w:szCs w:val="28"/>
      </w:rPr>
      <w:t>—</w:t>
    </w:r>
    <w:sdt>
      <w:sdtPr>
        <w:rPr>
          <w:rFonts w:asciiTheme="minorEastAsia" w:hAnsiTheme="minorEastAsia"/>
          <w:sz w:val="28"/>
          <w:szCs w:val="28"/>
        </w:rPr>
        <w:id w:val="273566523"/>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659"/>
        <w:tab w:val="right" w:pos="8704"/>
      </w:tabs>
      <w:ind w:right="140"/>
      <w:jc w:val="right"/>
      <w:rPr>
        <w:rFonts w:asciiTheme="minorEastAsia" w:hAnsiTheme="minorEastAsia"/>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659"/>
        <w:tab w:val="right" w:pos="8704"/>
      </w:tabs>
      <w:ind w:right="280" w:firstLine="140" w:firstLineChars="50"/>
      <w:rPr>
        <w:rFonts w:asciiTheme="minorEastAsia" w:hAnsiTheme="minorEastAsia"/>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9"/>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EE"/>
    <w:rsid w:val="0000253C"/>
    <w:rsid w:val="000279CE"/>
    <w:rsid w:val="00030DF4"/>
    <w:rsid w:val="0007400F"/>
    <w:rsid w:val="000C1090"/>
    <w:rsid w:val="000F243C"/>
    <w:rsid w:val="00102726"/>
    <w:rsid w:val="001033F5"/>
    <w:rsid w:val="0010397B"/>
    <w:rsid w:val="0014366A"/>
    <w:rsid w:val="00166777"/>
    <w:rsid w:val="00171EBD"/>
    <w:rsid w:val="00180096"/>
    <w:rsid w:val="001B2981"/>
    <w:rsid w:val="0020058D"/>
    <w:rsid w:val="00233B80"/>
    <w:rsid w:val="00236809"/>
    <w:rsid w:val="00237185"/>
    <w:rsid w:val="002521C9"/>
    <w:rsid w:val="00270D1A"/>
    <w:rsid w:val="002C5F62"/>
    <w:rsid w:val="002D02FC"/>
    <w:rsid w:val="002E4AAD"/>
    <w:rsid w:val="002E4FCE"/>
    <w:rsid w:val="002E5F69"/>
    <w:rsid w:val="002F033E"/>
    <w:rsid w:val="002F7B53"/>
    <w:rsid w:val="00301B1A"/>
    <w:rsid w:val="00371FFE"/>
    <w:rsid w:val="003725FC"/>
    <w:rsid w:val="00391838"/>
    <w:rsid w:val="003A6D74"/>
    <w:rsid w:val="003B18C3"/>
    <w:rsid w:val="003C7101"/>
    <w:rsid w:val="00426C68"/>
    <w:rsid w:val="00430F32"/>
    <w:rsid w:val="00461EC3"/>
    <w:rsid w:val="004800FB"/>
    <w:rsid w:val="004B58DB"/>
    <w:rsid w:val="004D2FEE"/>
    <w:rsid w:val="004F0E07"/>
    <w:rsid w:val="004F2CA5"/>
    <w:rsid w:val="005412A4"/>
    <w:rsid w:val="00552C0D"/>
    <w:rsid w:val="00554FCF"/>
    <w:rsid w:val="005B26DF"/>
    <w:rsid w:val="005B29E1"/>
    <w:rsid w:val="00607F58"/>
    <w:rsid w:val="00683155"/>
    <w:rsid w:val="006D47C0"/>
    <w:rsid w:val="006D608E"/>
    <w:rsid w:val="006E41DE"/>
    <w:rsid w:val="006F44F7"/>
    <w:rsid w:val="006F79AE"/>
    <w:rsid w:val="0070471D"/>
    <w:rsid w:val="0070551F"/>
    <w:rsid w:val="0071254A"/>
    <w:rsid w:val="00713423"/>
    <w:rsid w:val="00717F2F"/>
    <w:rsid w:val="007302FA"/>
    <w:rsid w:val="00731B02"/>
    <w:rsid w:val="00745931"/>
    <w:rsid w:val="00753912"/>
    <w:rsid w:val="007630A6"/>
    <w:rsid w:val="00774856"/>
    <w:rsid w:val="007925F7"/>
    <w:rsid w:val="00794711"/>
    <w:rsid w:val="007B1F39"/>
    <w:rsid w:val="007C1045"/>
    <w:rsid w:val="007E52B8"/>
    <w:rsid w:val="007F4DDC"/>
    <w:rsid w:val="00832FE3"/>
    <w:rsid w:val="0083555E"/>
    <w:rsid w:val="008546A9"/>
    <w:rsid w:val="0090174A"/>
    <w:rsid w:val="009152A0"/>
    <w:rsid w:val="00915915"/>
    <w:rsid w:val="009217CE"/>
    <w:rsid w:val="009275C2"/>
    <w:rsid w:val="0096432E"/>
    <w:rsid w:val="00992577"/>
    <w:rsid w:val="00992E04"/>
    <w:rsid w:val="00993573"/>
    <w:rsid w:val="0099475B"/>
    <w:rsid w:val="009D1BC6"/>
    <w:rsid w:val="009D5B3C"/>
    <w:rsid w:val="009E3059"/>
    <w:rsid w:val="00A0065F"/>
    <w:rsid w:val="00A05BAB"/>
    <w:rsid w:val="00A1172E"/>
    <w:rsid w:val="00A532FF"/>
    <w:rsid w:val="00A6187D"/>
    <w:rsid w:val="00A84CF4"/>
    <w:rsid w:val="00A8735A"/>
    <w:rsid w:val="00A96A52"/>
    <w:rsid w:val="00AA5801"/>
    <w:rsid w:val="00AE60C8"/>
    <w:rsid w:val="00B05CCA"/>
    <w:rsid w:val="00B33DBF"/>
    <w:rsid w:val="00B4634B"/>
    <w:rsid w:val="00B5703C"/>
    <w:rsid w:val="00B65655"/>
    <w:rsid w:val="00B65F8F"/>
    <w:rsid w:val="00BA3739"/>
    <w:rsid w:val="00BA4341"/>
    <w:rsid w:val="00BA5BCB"/>
    <w:rsid w:val="00BE255F"/>
    <w:rsid w:val="00C079D7"/>
    <w:rsid w:val="00C2064E"/>
    <w:rsid w:val="00C2693A"/>
    <w:rsid w:val="00C409A6"/>
    <w:rsid w:val="00C638B3"/>
    <w:rsid w:val="00C743E3"/>
    <w:rsid w:val="00C849A5"/>
    <w:rsid w:val="00C86487"/>
    <w:rsid w:val="00CA3D95"/>
    <w:rsid w:val="00CC7CC5"/>
    <w:rsid w:val="00CF01BC"/>
    <w:rsid w:val="00CF0E09"/>
    <w:rsid w:val="00CF4D5B"/>
    <w:rsid w:val="00CF67C6"/>
    <w:rsid w:val="00D03FB5"/>
    <w:rsid w:val="00D060F1"/>
    <w:rsid w:val="00D100F1"/>
    <w:rsid w:val="00D224AA"/>
    <w:rsid w:val="00D32F13"/>
    <w:rsid w:val="00D65F7A"/>
    <w:rsid w:val="00D81B1E"/>
    <w:rsid w:val="00DA12B1"/>
    <w:rsid w:val="00DE28EF"/>
    <w:rsid w:val="00E220F4"/>
    <w:rsid w:val="00E450EE"/>
    <w:rsid w:val="00E54D8D"/>
    <w:rsid w:val="00E56563"/>
    <w:rsid w:val="00E61CBE"/>
    <w:rsid w:val="00E76C05"/>
    <w:rsid w:val="00EA48C0"/>
    <w:rsid w:val="00ED7C65"/>
    <w:rsid w:val="00F0348F"/>
    <w:rsid w:val="00F03ED5"/>
    <w:rsid w:val="00F36D8C"/>
    <w:rsid w:val="00F378F9"/>
    <w:rsid w:val="00F60C34"/>
    <w:rsid w:val="00FB6267"/>
    <w:rsid w:val="00FC2022"/>
    <w:rsid w:val="00FD103B"/>
    <w:rsid w:val="00FD42CA"/>
    <w:rsid w:val="03BF01BC"/>
    <w:rsid w:val="04643F9A"/>
    <w:rsid w:val="055D7FC5"/>
    <w:rsid w:val="056B2346"/>
    <w:rsid w:val="05C62D11"/>
    <w:rsid w:val="072E285F"/>
    <w:rsid w:val="0976157D"/>
    <w:rsid w:val="0B0E0460"/>
    <w:rsid w:val="0DDC18A5"/>
    <w:rsid w:val="0EB13D39"/>
    <w:rsid w:val="115305E6"/>
    <w:rsid w:val="136D3A57"/>
    <w:rsid w:val="16A40265"/>
    <w:rsid w:val="1A790DE8"/>
    <w:rsid w:val="2A0F2AF8"/>
    <w:rsid w:val="2D9378B4"/>
    <w:rsid w:val="30473906"/>
    <w:rsid w:val="3072622C"/>
    <w:rsid w:val="31091273"/>
    <w:rsid w:val="312B66A5"/>
    <w:rsid w:val="313270AD"/>
    <w:rsid w:val="381A199F"/>
    <w:rsid w:val="3C7A45C7"/>
    <w:rsid w:val="426D268A"/>
    <w:rsid w:val="4E1A3C1B"/>
    <w:rsid w:val="4EBC6D26"/>
    <w:rsid w:val="5075640D"/>
    <w:rsid w:val="519843C9"/>
    <w:rsid w:val="56FF6F1A"/>
    <w:rsid w:val="571277B5"/>
    <w:rsid w:val="5B2051CE"/>
    <w:rsid w:val="610C273F"/>
    <w:rsid w:val="66676F22"/>
    <w:rsid w:val="66BD27B9"/>
    <w:rsid w:val="6C62227C"/>
    <w:rsid w:val="708E418F"/>
    <w:rsid w:val="72B7451F"/>
    <w:rsid w:val="75BD2E15"/>
    <w:rsid w:val="7739223A"/>
    <w:rsid w:val="795B3DD1"/>
    <w:rsid w:val="79DF144B"/>
    <w:rsid w:val="7AF20C8F"/>
    <w:rsid w:val="7DC055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link w:val="15"/>
    <w:qFormat/>
    <w:uiPriority w:val="0"/>
    <w:pPr>
      <w:ind w:firstLine="630"/>
    </w:pPr>
    <w:rPr>
      <w:rFonts w:ascii="Times New Roman" w:hAnsi="Times New Roman" w:eastAsia="仿宋_GB2312" w:cs="Times New Roman"/>
      <w:sz w:val="32"/>
      <w:szCs w:val="24"/>
    </w:r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占位符文本1"/>
    <w:basedOn w:val="9"/>
    <w:semiHidden/>
    <w:qFormat/>
    <w:uiPriority w:val="99"/>
    <w:rPr>
      <w:color w:val="808080"/>
    </w:r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customStyle="1" w:styleId="14">
    <w:name w:val="Char Char Char Char"/>
    <w:basedOn w:val="1"/>
    <w:qFormat/>
    <w:uiPriority w:val="0"/>
    <w:rPr>
      <w:rFonts w:ascii="Times New Roman" w:hAnsi="Times New Roman" w:eastAsia="宋体" w:cs="Times New Roman"/>
      <w:sz w:val="36"/>
      <w:szCs w:val="20"/>
    </w:rPr>
  </w:style>
  <w:style w:type="character" w:customStyle="1" w:styleId="15">
    <w:name w:val="正文文本缩进 Char"/>
    <w:basedOn w:val="9"/>
    <w:link w:val="3"/>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FDF5D-7F6D-486B-AAB5-C91EA3139B5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6452</Words>
  <Characters>6763</Characters>
  <Lines>37</Lines>
  <Paragraphs>10</Paragraphs>
  <TotalTime>6</TotalTime>
  <ScaleCrop>false</ScaleCrop>
  <LinksUpToDate>false</LinksUpToDate>
  <CharactersWithSpaces>9282</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2017-08-07T08:11:00Z</dcterms:created>
  <dc:creator>Administrator</dc:creator>
  <cp:lastModifiedBy>lenovo</cp:lastModifiedBy>
  <cp:lastPrinted>2021-04-21T03:17:00Z</cp:lastPrinted>
  <dcterms:modified xsi:type="dcterms:W3CDTF">2022-03-24T03:21:34Z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DB33A9BFE8DF47B89CDD38D61C10302A</vt:lpwstr>
  </property>
</Properties>
</file>